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1.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2.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charts/chart13.xml" ContentType="application/vnd.openxmlformats-officedocument.drawingml.chart+xml"/>
  <Override PartName="/word/charts/style11.xml" ContentType="application/vnd.ms-office.chartstyle+xml"/>
  <Override PartName="/word/charts/colors11.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BA3" w:rsidRPr="00467F9C" w:rsidRDefault="00A83BA3" w:rsidP="00191861">
      <w:pPr>
        <w:rPr>
          <w:sz w:val="28"/>
          <w:szCs w:val="28"/>
        </w:rPr>
      </w:pPr>
      <w:r w:rsidRPr="00467F9C">
        <w:rPr>
          <w:noProof/>
          <w:sz w:val="28"/>
          <w:szCs w:val="28"/>
        </w:rPr>
        <w:drawing>
          <wp:anchor distT="0" distB="0" distL="114300" distR="114300" simplePos="0" relativeHeight="251659264" behindDoc="0" locked="0" layoutInCell="1" allowOverlap="1">
            <wp:simplePos x="0" y="0"/>
            <wp:positionH relativeFrom="column">
              <wp:posOffset>1984375</wp:posOffset>
            </wp:positionH>
            <wp:positionV relativeFrom="paragraph">
              <wp:posOffset>-51435</wp:posOffset>
            </wp:positionV>
            <wp:extent cx="2077085" cy="2006600"/>
            <wp:effectExtent l="19050" t="0" r="0" b="0"/>
            <wp:wrapSquare wrapText="bothSides"/>
            <wp:docPr id="2" name="Рисунок 2" descr="C:\Users\Тодавчич.PALATATSL\Desktop\Мои документы\Счетная палата\10 лет\Буклет 10 лет\БУКЛЕТ\КУРСКУ -Исходные\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одавчич.PALATATSL\Desktop\Мои документы\Счетная палата\10 лет\Буклет 10 лет\БУКЛЕТ\КУРСКУ -Исходные\Герб.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7085" cy="2006600"/>
                    </a:xfrm>
                    <a:prstGeom prst="rect">
                      <a:avLst/>
                    </a:prstGeom>
                    <a:noFill/>
                    <a:ln>
                      <a:noFill/>
                    </a:ln>
                  </pic:spPr>
                </pic:pic>
              </a:graphicData>
            </a:graphic>
          </wp:anchor>
        </w:drawing>
      </w:r>
    </w:p>
    <w:p w:rsidR="00A83BA3" w:rsidRPr="00467F9C" w:rsidRDefault="00A83BA3" w:rsidP="00191861">
      <w:pPr>
        <w:rPr>
          <w:sz w:val="28"/>
          <w:szCs w:val="28"/>
        </w:rPr>
      </w:pPr>
    </w:p>
    <w:p w:rsidR="00A83BA3" w:rsidRPr="00467F9C" w:rsidRDefault="00A83BA3" w:rsidP="00191861">
      <w:pPr>
        <w:rPr>
          <w:sz w:val="28"/>
          <w:szCs w:val="28"/>
        </w:rPr>
      </w:pPr>
    </w:p>
    <w:p w:rsidR="00A83BA3" w:rsidRPr="00467F9C" w:rsidRDefault="00A83BA3" w:rsidP="00191861">
      <w:pPr>
        <w:rPr>
          <w:sz w:val="28"/>
          <w:szCs w:val="28"/>
        </w:rPr>
      </w:pPr>
    </w:p>
    <w:p w:rsidR="00A83BA3" w:rsidRPr="00467F9C" w:rsidRDefault="00A83BA3" w:rsidP="00191861">
      <w:pPr>
        <w:rPr>
          <w:sz w:val="28"/>
          <w:szCs w:val="28"/>
        </w:rPr>
      </w:pPr>
    </w:p>
    <w:p w:rsidR="00A83BA3" w:rsidRPr="00467F9C" w:rsidRDefault="00A83BA3" w:rsidP="00191861">
      <w:pPr>
        <w:rPr>
          <w:sz w:val="28"/>
          <w:szCs w:val="28"/>
        </w:rPr>
      </w:pPr>
    </w:p>
    <w:p w:rsidR="00A83BA3" w:rsidRPr="00467F9C" w:rsidRDefault="00A83BA3" w:rsidP="00191861">
      <w:pPr>
        <w:rPr>
          <w:sz w:val="28"/>
          <w:szCs w:val="28"/>
        </w:rPr>
      </w:pPr>
    </w:p>
    <w:p w:rsidR="00A83BA3" w:rsidRPr="00467F9C" w:rsidRDefault="00A83BA3" w:rsidP="00191861">
      <w:pPr>
        <w:rPr>
          <w:sz w:val="28"/>
          <w:szCs w:val="28"/>
        </w:rPr>
      </w:pPr>
    </w:p>
    <w:p w:rsidR="00A83BA3" w:rsidRPr="00467F9C" w:rsidRDefault="00A83BA3" w:rsidP="00191861">
      <w:pPr>
        <w:rPr>
          <w:sz w:val="28"/>
          <w:szCs w:val="28"/>
        </w:rPr>
      </w:pPr>
    </w:p>
    <w:p w:rsidR="00A83BA3" w:rsidRPr="00467F9C" w:rsidRDefault="00A83BA3" w:rsidP="00191861">
      <w:pPr>
        <w:rPr>
          <w:sz w:val="28"/>
          <w:szCs w:val="28"/>
        </w:rPr>
      </w:pPr>
    </w:p>
    <w:p w:rsidR="00A83BA3" w:rsidRPr="00467F9C" w:rsidRDefault="00A83BA3" w:rsidP="00191861">
      <w:pPr>
        <w:rPr>
          <w:sz w:val="28"/>
          <w:szCs w:val="28"/>
        </w:rPr>
      </w:pPr>
    </w:p>
    <w:p w:rsidR="00A83BA3" w:rsidRPr="00467F9C" w:rsidRDefault="00A83BA3" w:rsidP="00191861">
      <w:pPr>
        <w:rPr>
          <w:sz w:val="28"/>
          <w:szCs w:val="28"/>
        </w:rPr>
      </w:pPr>
    </w:p>
    <w:p w:rsidR="00A83BA3" w:rsidRPr="00467F9C" w:rsidRDefault="00A83BA3" w:rsidP="00191861">
      <w:pPr>
        <w:rPr>
          <w:sz w:val="28"/>
          <w:szCs w:val="28"/>
        </w:rPr>
      </w:pPr>
    </w:p>
    <w:p w:rsidR="00A83BA3" w:rsidRPr="00467F9C" w:rsidRDefault="00A83BA3" w:rsidP="00191861">
      <w:pPr>
        <w:rPr>
          <w:sz w:val="28"/>
          <w:szCs w:val="28"/>
        </w:rPr>
      </w:pPr>
    </w:p>
    <w:p w:rsidR="00A83BA3" w:rsidRPr="00467F9C" w:rsidRDefault="00A83BA3" w:rsidP="00191861">
      <w:pPr>
        <w:jc w:val="center"/>
        <w:rPr>
          <w:b/>
          <w:sz w:val="30"/>
          <w:szCs w:val="30"/>
        </w:rPr>
      </w:pPr>
      <w:r w:rsidRPr="00467F9C">
        <w:rPr>
          <w:b/>
          <w:sz w:val="30"/>
          <w:szCs w:val="30"/>
        </w:rPr>
        <w:t xml:space="preserve">СЧЕТНАЯ ПАЛАТА ЧУКОТСКОГО АВТОНОМНОГО </w:t>
      </w:r>
      <w:r w:rsidR="00B91CFD" w:rsidRPr="00467F9C">
        <w:rPr>
          <w:b/>
          <w:sz w:val="30"/>
          <w:szCs w:val="30"/>
        </w:rPr>
        <w:t>О</w:t>
      </w:r>
      <w:r w:rsidRPr="00467F9C">
        <w:rPr>
          <w:b/>
          <w:sz w:val="30"/>
          <w:szCs w:val="30"/>
        </w:rPr>
        <w:t>КРУГА</w:t>
      </w:r>
    </w:p>
    <w:p w:rsidR="00B91CFD" w:rsidRPr="00467F9C" w:rsidRDefault="00B91CFD" w:rsidP="00191861">
      <w:pPr>
        <w:rPr>
          <w:b/>
        </w:rPr>
      </w:pPr>
    </w:p>
    <w:p w:rsidR="00A83BA3" w:rsidRPr="00467F9C" w:rsidRDefault="00A83BA3" w:rsidP="00191861">
      <w:pPr>
        <w:jc w:val="center"/>
        <w:rPr>
          <w:b/>
        </w:rPr>
      </w:pPr>
    </w:p>
    <w:p w:rsidR="00A83BA3" w:rsidRPr="00467F9C" w:rsidRDefault="00A83BA3" w:rsidP="00191861">
      <w:pPr>
        <w:jc w:val="center"/>
        <w:rPr>
          <w:b/>
          <w:sz w:val="72"/>
        </w:rPr>
      </w:pPr>
      <w:r w:rsidRPr="00467F9C">
        <w:rPr>
          <w:b/>
          <w:sz w:val="72"/>
        </w:rPr>
        <w:t xml:space="preserve">Б Ю Л </w:t>
      </w:r>
      <w:proofErr w:type="spellStart"/>
      <w:r w:rsidRPr="00467F9C">
        <w:rPr>
          <w:b/>
          <w:sz w:val="72"/>
        </w:rPr>
        <w:t>Л</w:t>
      </w:r>
      <w:proofErr w:type="spellEnd"/>
      <w:r w:rsidRPr="00467F9C">
        <w:rPr>
          <w:b/>
          <w:sz w:val="72"/>
        </w:rPr>
        <w:t xml:space="preserve"> Е Т Е Н Ь</w:t>
      </w:r>
    </w:p>
    <w:p w:rsidR="00A83BA3" w:rsidRPr="00467F9C" w:rsidRDefault="00A83BA3" w:rsidP="00191861">
      <w:pPr>
        <w:jc w:val="center"/>
        <w:rPr>
          <w:b/>
          <w:sz w:val="72"/>
        </w:rPr>
      </w:pPr>
      <w:r w:rsidRPr="00467F9C">
        <w:rPr>
          <w:b/>
          <w:sz w:val="72"/>
        </w:rPr>
        <w:t xml:space="preserve">№ </w:t>
      </w:r>
      <w:r w:rsidR="00EF07B7" w:rsidRPr="00467F9C">
        <w:rPr>
          <w:b/>
          <w:sz w:val="72"/>
        </w:rPr>
        <w:t>2</w:t>
      </w:r>
    </w:p>
    <w:p w:rsidR="00A83BA3" w:rsidRPr="00467F9C" w:rsidRDefault="00A83BA3" w:rsidP="00191861">
      <w:pPr>
        <w:jc w:val="center"/>
        <w:rPr>
          <w:b/>
        </w:rPr>
      </w:pPr>
    </w:p>
    <w:p w:rsidR="00A83BA3" w:rsidRPr="00467F9C" w:rsidRDefault="00A83BA3" w:rsidP="00191861"/>
    <w:p w:rsidR="00A83BA3" w:rsidRPr="00467F9C" w:rsidRDefault="00A83BA3" w:rsidP="00191861"/>
    <w:p w:rsidR="00A83BA3" w:rsidRPr="00467F9C" w:rsidRDefault="00A83BA3" w:rsidP="00191861"/>
    <w:p w:rsidR="00A83BA3" w:rsidRPr="00467F9C" w:rsidRDefault="00A83BA3" w:rsidP="00191861"/>
    <w:p w:rsidR="00A83BA3" w:rsidRPr="00467F9C" w:rsidRDefault="00A83BA3" w:rsidP="00191861"/>
    <w:p w:rsidR="00A83BA3" w:rsidRPr="00467F9C" w:rsidRDefault="00A83BA3" w:rsidP="00191861"/>
    <w:p w:rsidR="00A83BA3" w:rsidRPr="00467F9C" w:rsidRDefault="00A83BA3" w:rsidP="00191861"/>
    <w:p w:rsidR="00A83BA3" w:rsidRPr="00467F9C" w:rsidRDefault="00A83BA3" w:rsidP="00191861"/>
    <w:p w:rsidR="00A83BA3" w:rsidRPr="00467F9C" w:rsidRDefault="00A83BA3" w:rsidP="00191861"/>
    <w:p w:rsidR="00A83BA3" w:rsidRPr="00467F9C" w:rsidRDefault="00A83BA3" w:rsidP="00191861"/>
    <w:p w:rsidR="00A83BA3" w:rsidRPr="00467F9C" w:rsidRDefault="00A83BA3" w:rsidP="00191861"/>
    <w:p w:rsidR="00B464E4" w:rsidRPr="00467F9C" w:rsidRDefault="00B464E4" w:rsidP="00191861"/>
    <w:p w:rsidR="00B464E4" w:rsidRPr="00467F9C" w:rsidRDefault="00B464E4" w:rsidP="00191861"/>
    <w:p w:rsidR="00B464E4" w:rsidRPr="00467F9C" w:rsidRDefault="00B464E4" w:rsidP="00191861"/>
    <w:p w:rsidR="00B464E4" w:rsidRPr="00467F9C" w:rsidRDefault="00B464E4" w:rsidP="00191861"/>
    <w:p w:rsidR="005F17E7" w:rsidRPr="00467F9C" w:rsidRDefault="005F17E7" w:rsidP="00191861"/>
    <w:p w:rsidR="00B464E4" w:rsidRPr="00467F9C" w:rsidRDefault="00B464E4" w:rsidP="00191861"/>
    <w:p w:rsidR="00756ECA" w:rsidRPr="00467F9C" w:rsidRDefault="00756ECA" w:rsidP="00191861"/>
    <w:p w:rsidR="00B464E4" w:rsidRPr="00467F9C" w:rsidRDefault="00B464E4" w:rsidP="00191861"/>
    <w:p w:rsidR="00BD754D" w:rsidRPr="00467F9C" w:rsidRDefault="00BD754D" w:rsidP="00191861"/>
    <w:p w:rsidR="00BD754D" w:rsidRDefault="00BD754D" w:rsidP="00191861"/>
    <w:p w:rsidR="00410767" w:rsidRPr="00467F9C" w:rsidRDefault="00410767" w:rsidP="00191861"/>
    <w:p w:rsidR="00B464E4" w:rsidRPr="00467F9C" w:rsidRDefault="00B464E4" w:rsidP="00191861"/>
    <w:p w:rsidR="00B464E4" w:rsidRPr="00467F9C" w:rsidRDefault="00B464E4" w:rsidP="00191861"/>
    <w:p w:rsidR="00B464E4" w:rsidRPr="00467F9C" w:rsidRDefault="00B464E4" w:rsidP="00191861">
      <w:pPr>
        <w:jc w:val="center"/>
        <w:rPr>
          <w:sz w:val="28"/>
          <w:szCs w:val="28"/>
        </w:rPr>
      </w:pPr>
      <w:proofErr w:type="spellStart"/>
      <w:r w:rsidRPr="00467F9C">
        <w:rPr>
          <w:sz w:val="28"/>
          <w:szCs w:val="28"/>
        </w:rPr>
        <w:t>г.Анадырь</w:t>
      </w:r>
      <w:proofErr w:type="spellEnd"/>
    </w:p>
    <w:p w:rsidR="00BD754D" w:rsidRPr="00467F9C" w:rsidRDefault="00B464E4" w:rsidP="00191861">
      <w:pPr>
        <w:jc w:val="center"/>
        <w:rPr>
          <w:sz w:val="28"/>
          <w:szCs w:val="28"/>
        </w:rPr>
      </w:pPr>
      <w:r w:rsidRPr="00467F9C">
        <w:rPr>
          <w:sz w:val="28"/>
          <w:szCs w:val="28"/>
        </w:rPr>
        <w:t>20</w:t>
      </w:r>
      <w:r w:rsidR="00483B62" w:rsidRPr="00467F9C">
        <w:rPr>
          <w:sz w:val="28"/>
          <w:szCs w:val="28"/>
        </w:rPr>
        <w:t>2</w:t>
      </w:r>
      <w:r w:rsidR="00854AC5" w:rsidRPr="00467F9C">
        <w:rPr>
          <w:sz w:val="28"/>
          <w:szCs w:val="28"/>
        </w:rPr>
        <w:t>2</w:t>
      </w:r>
      <w:r w:rsidRPr="00467F9C">
        <w:rPr>
          <w:sz w:val="28"/>
          <w:szCs w:val="28"/>
        </w:rPr>
        <w:t xml:space="preserve"> год</w:t>
      </w:r>
    </w:p>
    <w:p w:rsidR="00477185" w:rsidRPr="00467F9C" w:rsidRDefault="00BD754D" w:rsidP="00191861">
      <w:pPr>
        <w:spacing w:after="200"/>
        <w:jc w:val="center"/>
        <w:rPr>
          <w:sz w:val="32"/>
          <w:szCs w:val="32"/>
        </w:rPr>
      </w:pPr>
      <w:r w:rsidRPr="00467F9C">
        <w:rPr>
          <w:sz w:val="28"/>
          <w:szCs w:val="28"/>
        </w:rPr>
        <w:br w:type="page"/>
      </w:r>
      <w:r w:rsidR="00B464E4" w:rsidRPr="00467F9C">
        <w:rPr>
          <w:sz w:val="32"/>
          <w:szCs w:val="32"/>
        </w:rPr>
        <w:lastRenderedPageBreak/>
        <w:t>СОДЕРЖАНИЕ</w:t>
      </w:r>
    </w:p>
    <w:p w:rsidR="00E85471" w:rsidRPr="00467F9C" w:rsidRDefault="00B464E4" w:rsidP="00191861">
      <w:pPr>
        <w:jc w:val="both"/>
        <w:rPr>
          <w:sz w:val="28"/>
          <w:szCs w:val="28"/>
        </w:rPr>
      </w:pPr>
      <w:r w:rsidRPr="00467F9C">
        <w:rPr>
          <w:sz w:val="28"/>
          <w:szCs w:val="28"/>
        </w:rPr>
        <w:t xml:space="preserve">1. </w:t>
      </w:r>
      <w:r w:rsidR="004F7CCC" w:rsidRPr="00467F9C">
        <w:rPr>
          <w:sz w:val="28"/>
          <w:szCs w:val="28"/>
        </w:rPr>
        <w:t>ОТЧЕТ</w:t>
      </w:r>
      <w:r w:rsidR="00016EB5" w:rsidRPr="00467F9C">
        <w:rPr>
          <w:sz w:val="28"/>
          <w:szCs w:val="28"/>
        </w:rPr>
        <w:t xml:space="preserve"> </w:t>
      </w:r>
      <w:r w:rsidR="004D54D7" w:rsidRPr="00467F9C">
        <w:rPr>
          <w:bCs/>
          <w:sz w:val="28"/>
          <w:szCs w:val="28"/>
        </w:rPr>
        <w:t>о результатах контрольного мероприятия «Внешняя проверка бюджетной отчетности Чукотского территориального фонда обязательного медицинского страхования за 2021 год</w:t>
      </w:r>
      <w:proofErr w:type="gramStart"/>
      <w:r w:rsidR="004D54D7" w:rsidRPr="00467F9C">
        <w:rPr>
          <w:bCs/>
          <w:sz w:val="28"/>
          <w:szCs w:val="28"/>
        </w:rPr>
        <w:t>»</w:t>
      </w:r>
      <w:r w:rsidR="00586BC1" w:rsidRPr="00467F9C">
        <w:rPr>
          <w:bCs/>
          <w:sz w:val="28"/>
          <w:szCs w:val="28"/>
        </w:rPr>
        <w:t>….</w:t>
      </w:r>
      <w:proofErr w:type="gramEnd"/>
      <w:r w:rsidR="00E85471" w:rsidRPr="00467F9C">
        <w:rPr>
          <w:sz w:val="28"/>
          <w:szCs w:val="28"/>
        </w:rPr>
        <w:t>…</w:t>
      </w:r>
      <w:r w:rsidR="00BD754D" w:rsidRPr="00467F9C">
        <w:rPr>
          <w:sz w:val="28"/>
          <w:szCs w:val="28"/>
        </w:rPr>
        <w:t>…………………………………</w:t>
      </w:r>
      <w:r w:rsidR="00A34913">
        <w:rPr>
          <w:sz w:val="28"/>
          <w:szCs w:val="28"/>
        </w:rPr>
        <w:t>..</w:t>
      </w:r>
      <w:r w:rsidR="005A508C">
        <w:rPr>
          <w:sz w:val="28"/>
          <w:szCs w:val="28"/>
        </w:rPr>
        <w:t>…..</w:t>
      </w:r>
      <w:r w:rsidR="00E85471" w:rsidRPr="00467F9C">
        <w:rPr>
          <w:sz w:val="28"/>
          <w:szCs w:val="28"/>
        </w:rPr>
        <w:t>...</w:t>
      </w:r>
      <w:r w:rsidR="005A508C">
        <w:rPr>
          <w:sz w:val="28"/>
          <w:szCs w:val="28"/>
        </w:rPr>
        <w:t>4</w:t>
      </w:r>
    </w:p>
    <w:p w:rsidR="00BD754D" w:rsidRPr="00467F9C" w:rsidRDefault="00BD754D" w:rsidP="00191861">
      <w:pPr>
        <w:jc w:val="both"/>
        <w:rPr>
          <w:sz w:val="6"/>
          <w:szCs w:val="6"/>
        </w:rPr>
      </w:pPr>
    </w:p>
    <w:p w:rsidR="00C4763D" w:rsidRPr="00467F9C" w:rsidRDefault="00E85471" w:rsidP="00191861">
      <w:pPr>
        <w:tabs>
          <w:tab w:val="left" w:pos="8222"/>
        </w:tabs>
        <w:jc w:val="both"/>
        <w:rPr>
          <w:bCs/>
          <w:sz w:val="28"/>
          <w:szCs w:val="28"/>
        </w:rPr>
      </w:pPr>
      <w:r w:rsidRPr="00467F9C">
        <w:rPr>
          <w:sz w:val="28"/>
          <w:szCs w:val="28"/>
        </w:rPr>
        <w:t xml:space="preserve">2. </w:t>
      </w:r>
      <w:r w:rsidR="00BD754D" w:rsidRPr="00467F9C">
        <w:rPr>
          <w:sz w:val="28"/>
          <w:szCs w:val="28"/>
        </w:rPr>
        <w:t xml:space="preserve">ЗАКЛЮЧЕНИЕ о результатах экспертно-аналитического мероприятия «Внешняя проверка годового отчета об исполнении бюджета Чукотского территориального фонда обязательного медицинского страхования за 2021 </w:t>
      </w:r>
      <w:proofErr w:type="gramStart"/>
      <w:r w:rsidR="00BD754D" w:rsidRPr="00467F9C">
        <w:rPr>
          <w:sz w:val="28"/>
          <w:szCs w:val="28"/>
        </w:rPr>
        <w:t>год»</w:t>
      </w:r>
      <w:r w:rsidR="00FA48BF" w:rsidRPr="00467F9C">
        <w:rPr>
          <w:sz w:val="28"/>
          <w:szCs w:val="28"/>
        </w:rPr>
        <w:t>…</w:t>
      </w:r>
      <w:proofErr w:type="gramEnd"/>
      <w:r w:rsidR="00FA48BF" w:rsidRPr="00467F9C">
        <w:rPr>
          <w:sz w:val="28"/>
          <w:szCs w:val="28"/>
        </w:rPr>
        <w:t>……….</w:t>
      </w:r>
      <w:r w:rsidR="00372B54" w:rsidRPr="00467F9C">
        <w:rPr>
          <w:sz w:val="28"/>
          <w:szCs w:val="28"/>
        </w:rPr>
        <w:t>…….</w:t>
      </w:r>
      <w:r w:rsidR="00C4763D" w:rsidRPr="00467F9C">
        <w:rPr>
          <w:sz w:val="28"/>
          <w:szCs w:val="28"/>
        </w:rPr>
        <w:t>..</w:t>
      </w:r>
      <w:r w:rsidR="002C0B68" w:rsidRPr="00467F9C">
        <w:rPr>
          <w:sz w:val="28"/>
          <w:szCs w:val="28"/>
        </w:rPr>
        <w:t>......</w:t>
      </w:r>
      <w:r w:rsidR="00F60C2E" w:rsidRPr="00467F9C">
        <w:rPr>
          <w:sz w:val="28"/>
          <w:szCs w:val="28"/>
        </w:rPr>
        <w:t>..</w:t>
      </w:r>
      <w:r w:rsidR="00BD754D" w:rsidRPr="00467F9C">
        <w:rPr>
          <w:sz w:val="28"/>
          <w:szCs w:val="28"/>
        </w:rPr>
        <w:t>..............................................................</w:t>
      </w:r>
      <w:r w:rsidR="00A34913">
        <w:rPr>
          <w:sz w:val="28"/>
          <w:szCs w:val="28"/>
        </w:rPr>
        <w:t>....</w:t>
      </w:r>
      <w:r w:rsidR="00BD754D" w:rsidRPr="00467F9C">
        <w:rPr>
          <w:sz w:val="28"/>
          <w:szCs w:val="28"/>
        </w:rPr>
        <w:t>............................</w:t>
      </w:r>
      <w:r w:rsidR="005A508C">
        <w:rPr>
          <w:sz w:val="28"/>
          <w:szCs w:val="28"/>
        </w:rPr>
        <w:t>16</w:t>
      </w:r>
    </w:p>
    <w:p w:rsidR="00C4763D" w:rsidRPr="00467F9C" w:rsidRDefault="00A34913" w:rsidP="00191861">
      <w:pPr>
        <w:jc w:val="both"/>
        <w:rPr>
          <w:sz w:val="6"/>
          <w:szCs w:val="6"/>
        </w:rPr>
      </w:pPr>
      <w:r>
        <w:rPr>
          <w:sz w:val="6"/>
          <w:szCs w:val="6"/>
        </w:rPr>
        <w:t>..</w:t>
      </w:r>
    </w:p>
    <w:p w:rsidR="00E00101" w:rsidRPr="00467F9C" w:rsidRDefault="00E00101" w:rsidP="00191861">
      <w:pPr>
        <w:jc w:val="both"/>
        <w:rPr>
          <w:sz w:val="28"/>
          <w:szCs w:val="28"/>
        </w:rPr>
      </w:pPr>
      <w:r w:rsidRPr="00467F9C">
        <w:rPr>
          <w:sz w:val="28"/>
          <w:szCs w:val="28"/>
        </w:rPr>
        <w:t>3. ЗАКЛЮЧЕНИЕ</w:t>
      </w:r>
      <w:r w:rsidR="003E64DA" w:rsidRPr="00467F9C">
        <w:rPr>
          <w:sz w:val="28"/>
          <w:szCs w:val="28"/>
        </w:rPr>
        <w:t xml:space="preserve"> на проект закона Чукотского автономного округа «Об исполнении бюджета Чукотского территориального фонда обязательного медицинского страхования за 2021 </w:t>
      </w:r>
      <w:proofErr w:type="gramStart"/>
      <w:r w:rsidR="003E64DA" w:rsidRPr="00467F9C">
        <w:rPr>
          <w:sz w:val="28"/>
          <w:szCs w:val="28"/>
        </w:rPr>
        <w:t>год»</w:t>
      </w:r>
      <w:r w:rsidRPr="00467F9C">
        <w:rPr>
          <w:sz w:val="28"/>
          <w:szCs w:val="28"/>
        </w:rPr>
        <w:t>...................................................</w:t>
      </w:r>
      <w:r w:rsidR="00A34913">
        <w:rPr>
          <w:sz w:val="28"/>
          <w:szCs w:val="28"/>
        </w:rPr>
        <w:t>.........</w:t>
      </w:r>
      <w:r w:rsidRPr="00467F9C">
        <w:rPr>
          <w:sz w:val="28"/>
          <w:szCs w:val="28"/>
        </w:rPr>
        <w:t>..........</w:t>
      </w:r>
      <w:proofErr w:type="gramEnd"/>
      <w:r w:rsidR="005A508C">
        <w:rPr>
          <w:sz w:val="28"/>
          <w:szCs w:val="28"/>
        </w:rPr>
        <w:t>34</w:t>
      </w:r>
    </w:p>
    <w:p w:rsidR="00E00101" w:rsidRPr="00467F9C" w:rsidRDefault="00E00101" w:rsidP="00191861">
      <w:pPr>
        <w:jc w:val="both"/>
        <w:rPr>
          <w:sz w:val="6"/>
          <w:szCs w:val="6"/>
        </w:rPr>
      </w:pPr>
    </w:p>
    <w:p w:rsidR="00460A3E" w:rsidRPr="00467F9C" w:rsidRDefault="00E00101" w:rsidP="00191861">
      <w:pPr>
        <w:jc w:val="both"/>
        <w:rPr>
          <w:sz w:val="28"/>
          <w:szCs w:val="28"/>
        </w:rPr>
      </w:pPr>
      <w:r w:rsidRPr="00467F9C">
        <w:rPr>
          <w:sz w:val="28"/>
          <w:szCs w:val="28"/>
        </w:rPr>
        <w:t>4</w:t>
      </w:r>
      <w:r w:rsidR="00C4763D" w:rsidRPr="00467F9C">
        <w:rPr>
          <w:sz w:val="28"/>
          <w:szCs w:val="28"/>
        </w:rPr>
        <w:t>.</w:t>
      </w:r>
      <w:r w:rsidR="00330789" w:rsidRPr="00467F9C">
        <w:rPr>
          <w:sz w:val="28"/>
          <w:szCs w:val="28"/>
        </w:rPr>
        <w:t xml:space="preserve"> </w:t>
      </w:r>
      <w:r w:rsidR="00BD754D" w:rsidRPr="00467F9C">
        <w:rPr>
          <w:sz w:val="28"/>
          <w:szCs w:val="28"/>
        </w:rPr>
        <w:t>ЗАКЛЮЧЕНИЕ</w:t>
      </w:r>
      <w:r w:rsidR="00BD754D" w:rsidRPr="00467F9C">
        <w:rPr>
          <w:rStyle w:val="ad"/>
          <w:b w:val="0"/>
          <w:color w:val="auto"/>
          <w:sz w:val="28"/>
          <w:szCs w:val="28"/>
        </w:rPr>
        <w:t xml:space="preserve"> по результатам экспертно-аналитического мероприятия «Оперативный контроль исполнения Закона Чукотского автономного округа «О бюджете Чукотского территориального фонда обязательного медицинского страхования на 2022 год и на плановый период 2023 и 2024 годов» за январь-март 2022 года»</w:t>
      </w:r>
      <w:r w:rsidR="00F7452C" w:rsidRPr="00467F9C">
        <w:rPr>
          <w:sz w:val="28"/>
          <w:szCs w:val="28"/>
        </w:rPr>
        <w:t>.</w:t>
      </w:r>
      <w:r w:rsidR="00460A3E" w:rsidRPr="00467F9C">
        <w:rPr>
          <w:sz w:val="28"/>
          <w:szCs w:val="28"/>
        </w:rPr>
        <w:t>.........</w:t>
      </w:r>
      <w:r w:rsidR="00F60C2E" w:rsidRPr="00467F9C">
        <w:rPr>
          <w:sz w:val="28"/>
          <w:szCs w:val="28"/>
        </w:rPr>
        <w:t>.</w:t>
      </w:r>
      <w:r w:rsidR="00BD754D" w:rsidRPr="00467F9C">
        <w:rPr>
          <w:sz w:val="28"/>
          <w:szCs w:val="28"/>
        </w:rPr>
        <w:t>.........................................................................................</w:t>
      </w:r>
      <w:r w:rsidR="00410767">
        <w:rPr>
          <w:sz w:val="28"/>
          <w:szCs w:val="28"/>
        </w:rPr>
        <w:t>...</w:t>
      </w:r>
      <w:r w:rsidR="00A34913">
        <w:rPr>
          <w:sz w:val="28"/>
          <w:szCs w:val="28"/>
        </w:rPr>
        <w:t>.......</w:t>
      </w:r>
      <w:r w:rsidR="00410767">
        <w:rPr>
          <w:sz w:val="28"/>
          <w:szCs w:val="28"/>
        </w:rPr>
        <w:t>......</w:t>
      </w:r>
      <w:r w:rsidR="00BD754D" w:rsidRPr="00467F9C">
        <w:rPr>
          <w:sz w:val="28"/>
          <w:szCs w:val="28"/>
        </w:rPr>
        <w:t>...</w:t>
      </w:r>
      <w:r w:rsidR="005A508C">
        <w:rPr>
          <w:sz w:val="28"/>
          <w:szCs w:val="28"/>
        </w:rPr>
        <w:t>36</w:t>
      </w:r>
    </w:p>
    <w:p w:rsidR="00E72FED" w:rsidRPr="00467F9C" w:rsidRDefault="00E72FED" w:rsidP="00191861">
      <w:pPr>
        <w:jc w:val="both"/>
        <w:rPr>
          <w:bCs/>
          <w:sz w:val="6"/>
          <w:szCs w:val="6"/>
        </w:rPr>
      </w:pPr>
    </w:p>
    <w:p w:rsidR="00574D9C" w:rsidRPr="00467F9C" w:rsidRDefault="003E64DA" w:rsidP="00191861">
      <w:pPr>
        <w:jc w:val="both"/>
        <w:rPr>
          <w:iCs/>
          <w:sz w:val="28"/>
          <w:szCs w:val="28"/>
        </w:rPr>
      </w:pPr>
      <w:r w:rsidRPr="00467F9C">
        <w:rPr>
          <w:sz w:val="28"/>
          <w:szCs w:val="28"/>
        </w:rPr>
        <w:t>5</w:t>
      </w:r>
      <w:r w:rsidR="00917650" w:rsidRPr="00467F9C">
        <w:rPr>
          <w:sz w:val="28"/>
          <w:szCs w:val="28"/>
        </w:rPr>
        <w:t>.</w:t>
      </w:r>
      <w:r w:rsidR="00A1342D" w:rsidRPr="00467F9C">
        <w:rPr>
          <w:rStyle w:val="ad"/>
          <w:color w:val="auto"/>
          <w:sz w:val="28"/>
          <w:szCs w:val="28"/>
        </w:rPr>
        <w:t xml:space="preserve"> </w:t>
      </w:r>
      <w:r w:rsidR="00016EB5" w:rsidRPr="00467F9C">
        <w:rPr>
          <w:sz w:val="28"/>
          <w:szCs w:val="28"/>
        </w:rPr>
        <w:t>ОТЧЕТ</w:t>
      </w:r>
      <w:r w:rsidR="00725B5E" w:rsidRPr="00467F9C">
        <w:rPr>
          <w:sz w:val="28"/>
          <w:szCs w:val="28"/>
        </w:rPr>
        <w:t xml:space="preserve"> </w:t>
      </w:r>
      <w:r w:rsidR="00D41A4F" w:rsidRPr="00467F9C">
        <w:rPr>
          <w:sz w:val="28"/>
          <w:szCs w:val="28"/>
        </w:rPr>
        <w:t>о</w:t>
      </w:r>
      <w:r w:rsidR="00BD754D" w:rsidRPr="00467F9C">
        <w:rPr>
          <w:sz w:val="28"/>
          <w:szCs w:val="28"/>
        </w:rPr>
        <w:t xml:space="preserve"> результата</w:t>
      </w:r>
      <w:r w:rsidR="00D41A4F" w:rsidRPr="00467F9C">
        <w:rPr>
          <w:sz w:val="28"/>
          <w:szCs w:val="28"/>
        </w:rPr>
        <w:t>х</w:t>
      </w:r>
      <w:r w:rsidR="00BD754D" w:rsidRPr="00467F9C">
        <w:rPr>
          <w:sz w:val="28"/>
          <w:szCs w:val="28"/>
        </w:rPr>
        <w:t xml:space="preserve"> контрольного мероприятия «Внешняя проверка бюджетной отчетности главных администраторов средств окружного бюджета за 2021 год</w:t>
      </w:r>
      <w:proofErr w:type="gramStart"/>
      <w:r w:rsidR="00BD754D" w:rsidRPr="00467F9C">
        <w:rPr>
          <w:sz w:val="28"/>
          <w:szCs w:val="28"/>
        </w:rPr>
        <w:t>»</w:t>
      </w:r>
      <w:r w:rsidR="001941B8" w:rsidRPr="00467F9C">
        <w:rPr>
          <w:sz w:val="28"/>
          <w:szCs w:val="28"/>
        </w:rPr>
        <w:t>.</w:t>
      </w:r>
      <w:r w:rsidR="00725B5E" w:rsidRPr="00467F9C">
        <w:rPr>
          <w:sz w:val="28"/>
          <w:szCs w:val="28"/>
        </w:rPr>
        <w:t>…</w:t>
      </w:r>
      <w:proofErr w:type="gramEnd"/>
      <w:r w:rsidR="00725B5E" w:rsidRPr="00467F9C">
        <w:rPr>
          <w:sz w:val="28"/>
          <w:szCs w:val="28"/>
        </w:rPr>
        <w:t>…………………</w:t>
      </w:r>
      <w:r w:rsidR="00BD754D" w:rsidRPr="00467F9C">
        <w:rPr>
          <w:sz w:val="28"/>
          <w:szCs w:val="28"/>
        </w:rPr>
        <w:t>…………………………………………</w:t>
      </w:r>
      <w:r w:rsidR="00410767">
        <w:rPr>
          <w:sz w:val="28"/>
          <w:szCs w:val="28"/>
        </w:rPr>
        <w:t>……</w:t>
      </w:r>
      <w:r w:rsidR="00A34913">
        <w:rPr>
          <w:sz w:val="28"/>
          <w:szCs w:val="28"/>
        </w:rPr>
        <w:t>…</w:t>
      </w:r>
      <w:r w:rsidR="00BD754D" w:rsidRPr="00467F9C">
        <w:rPr>
          <w:sz w:val="28"/>
          <w:szCs w:val="28"/>
        </w:rPr>
        <w:t>………</w:t>
      </w:r>
      <w:r w:rsidR="005A508C">
        <w:rPr>
          <w:sz w:val="28"/>
          <w:szCs w:val="28"/>
        </w:rPr>
        <w:t>4</w:t>
      </w:r>
      <w:r w:rsidR="00EE4ACF">
        <w:rPr>
          <w:sz w:val="28"/>
          <w:szCs w:val="28"/>
        </w:rPr>
        <w:t>2</w:t>
      </w:r>
    </w:p>
    <w:p w:rsidR="00574D9C" w:rsidRPr="00467F9C" w:rsidRDefault="00574D9C" w:rsidP="00191861">
      <w:pPr>
        <w:pStyle w:val="ConsPlusNonformat"/>
        <w:jc w:val="both"/>
        <w:rPr>
          <w:rFonts w:ascii="Times New Roman" w:hAnsi="Times New Roman" w:cs="Times New Roman"/>
          <w:sz w:val="6"/>
          <w:szCs w:val="6"/>
        </w:rPr>
      </w:pPr>
    </w:p>
    <w:p w:rsidR="00917650" w:rsidRPr="00467F9C" w:rsidRDefault="003E64DA" w:rsidP="00191861">
      <w:pPr>
        <w:jc w:val="both"/>
        <w:rPr>
          <w:sz w:val="28"/>
          <w:szCs w:val="28"/>
        </w:rPr>
      </w:pPr>
      <w:r w:rsidRPr="00467F9C">
        <w:rPr>
          <w:sz w:val="28"/>
          <w:szCs w:val="28"/>
        </w:rPr>
        <w:t>6</w:t>
      </w:r>
      <w:r w:rsidR="00574D9C" w:rsidRPr="00467F9C">
        <w:rPr>
          <w:sz w:val="28"/>
          <w:szCs w:val="28"/>
        </w:rPr>
        <w:t xml:space="preserve">. </w:t>
      </w:r>
      <w:r w:rsidR="00BD754D" w:rsidRPr="00467F9C">
        <w:rPr>
          <w:sz w:val="28"/>
          <w:szCs w:val="28"/>
        </w:rPr>
        <w:t xml:space="preserve">ЗАКЛЮЧЕНИЕ о результатах экспертно-аналитического мероприятия «Внешняя проверка годового отчета об исполнении окружного бюджета за 2021 </w:t>
      </w:r>
      <w:proofErr w:type="gramStart"/>
      <w:r w:rsidR="00BD754D" w:rsidRPr="00467F9C">
        <w:rPr>
          <w:sz w:val="28"/>
          <w:szCs w:val="28"/>
        </w:rPr>
        <w:t>год»</w:t>
      </w:r>
      <w:r w:rsidR="00C26814" w:rsidRPr="00467F9C">
        <w:rPr>
          <w:sz w:val="28"/>
          <w:szCs w:val="28"/>
        </w:rPr>
        <w:t>…</w:t>
      </w:r>
      <w:proofErr w:type="gramEnd"/>
      <w:r w:rsidR="00C26814" w:rsidRPr="00467F9C">
        <w:rPr>
          <w:sz w:val="28"/>
          <w:szCs w:val="28"/>
        </w:rPr>
        <w:t>………………</w:t>
      </w:r>
      <w:r w:rsidR="00BD754D" w:rsidRPr="00467F9C">
        <w:rPr>
          <w:sz w:val="28"/>
          <w:szCs w:val="28"/>
        </w:rPr>
        <w:t>…………………………………………………………</w:t>
      </w:r>
      <w:r w:rsidR="00A34913">
        <w:rPr>
          <w:sz w:val="28"/>
          <w:szCs w:val="28"/>
        </w:rPr>
        <w:t>…..</w:t>
      </w:r>
      <w:r w:rsidR="00BD754D" w:rsidRPr="00467F9C">
        <w:rPr>
          <w:sz w:val="28"/>
          <w:szCs w:val="28"/>
        </w:rPr>
        <w:t>……</w:t>
      </w:r>
      <w:r w:rsidR="00EE4ACF">
        <w:rPr>
          <w:sz w:val="28"/>
          <w:szCs w:val="28"/>
        </w:rPr>
        <w:t>50</w:t>
      </w:r>
    </w:p>
    <w:p w:rsidR="00BD754D" w:rsidRPr="00467F9C" w:rsidRDefault="00BD754D" w:rsidP="00191861">
      <w:pPr>
        <w:jc w:val="both"/>
        <w:rPr>
          <w:sz w:val="6"/>
          <w:szCs w:val="6"/>
        </w:rPr>
      </w:pPr>
    </w:p>
    <w:p w:rsidR="00BD754D" w:rsidRPr="00467F9C" w:rsidRDefault="003E64DA" w:rsidP="00191861">
      <w:pPr>
        <w:jc w:val="both"/>
        <w:rPr>
          <w:iCs/>
          <w:sz w:val="28"/>
          <w:szCs w:val="28"/>
        </w:rPr>
      </w:pPr>
      <w:r w:rsidRPr="00467F9C">
        <w:rPr>
          <w:sz w:val="28"/>
          <w:szCs w:val="28"/>
        </w:rPr>
        <w:t>7</w:t>
      </w:r>
      <w:r w:rsidR="00BD754D" w:rsidRPr="00467F9C">
        <w:rPr>
          <w:sz w:val="28"/>
          <w:szCs w:val="28"/>
        </w:rPr>
        <w:t>.</w:t>
      </w:r>
      <w:r w:rsidR="00BD754D" w:rsidRPr="00467F9C">
        <w:rPr>
          <w:rStyle w:val="ad"/>
          <w:color w:val="auto"/>
          <w:sz w:val="28"/>
          <w:szCs w:val="28"/>
        </w:rPr>
        <w:t xml:space="preserve"> </w:t>
      </w:r>
      <w:r w:rsidR="00BD754D" w:rsidRPr="00467F9C">
        <w:rPr>
          <w:sz w:val="28"/>
          <w:szCs w:val="28"/>
        </w:rPr>
        <w:t xml:space="preserve">ЗАКЛЮЧЕНИЕ по результатам экспертизы проекта закона Чукотского автономного округа «Об исполнении окружного бюджета за 2021 </w:t>
      </w:r>
      <w:proofErr w:type="gramStart"/>
      <w:r w:rsidR="00BD754D" w:rsidRPr="00467F9C">
        <w:rPr>
          <w:sz w:val="28"/>
          <w:szCs w:val="28"/>
        </w:rPr>
        <w:t>год»…</w:t>
      </w:r>
      <w:proofErr w:type="gramEnd"/>
      <w:r w:rsidR="00BD754D" w:rsidRPr="00467F9C">
        <w:rPr>
          <w:sz w:val="28"/>
          <w:szCs w:val="28"/>
        </w:rPr>
        <w:t>……………</w:t>
      </w:r>
      <w:r w:rsidR="00BD754D" w:rsidRPr="00467F9C">
        <w:rPr>
          <w:rFonts w:eastAsia="Calibri"/>
          <w:sz w:val="28"/>
          <w:szCs w:val="28"/>
          <w:lang w:eastAsia="en-US"/>
        </w:rPr>
        <w:t>…</w:t>
      </w:r>
      <w:r w:rsidR="00BD754D" w:rsidRPr="00467F9C">
        <w:rPr>
          <w:bCs/>
          <w:sz w:val="28"/>
          <w:szCs w:val="28"/>
        </w:rPr>
        <w:t>……………………………………………………………</w:t>
      </w:r>
      <w:r w:rsidR="00A335AC">
        <w:rPr>
          <w:bCs/>
          <w:sz w:val="28"/>
          <w:szCs w:val="28"/>
        </w:rPr>
        <w:t>…...</w:t>
      </w:r>
      <w:r w:rsidR="00BD754D" w:rsidRPr="00467F9C">
        <w:rPr>
          <w:bCs/>
          <w:sz w:val="28"/>
          <w:szCs w:val="28"/>
        </w:rPr>
        <w:t>...</w:t>
      </w:r>
      <w:r w:rsidR="005A508C">
        <w:rPr>
          <w:bCs/>
          <w:sz w:val="28"/>
          <w:szCs w:val="28"/>
        </w:rPr>
        <w:t>8</w:t>
      </w:r>
      <w:r w:rsidR="00EE4ACF">
        <w:rPr>
          <w:bCs/>
          <w:sz w:val="28"/>
          <w:szCs w:val="28"/>
        </w:rPr>
        <w:t>8</w:t>
      </w:r>
    </w:p>
    <w:p w:rsidR="00BD754D" w:rsidRPr="00467F9C" w:rsidRDefault="00BD754D" w:rsidP="00191861">
      <w:pPr>
        <w:pStyle w:val="ConsPlusNonformat"/>
        <w:jc w:val="both"/>
        <w:rPr>
          <w:rFonts w:ascii="Times New Roman" w:hAnsi="Times New Roman" w:cs="Times New Roman"/>
          <w:sz w:val="6"/>
          <w:szCs w:val="6"/>
        </w:rPr>
      </w:pPr>
    </w:p>
    <w:p w:rsidR="00BD754D" w:rsidRPr="00467F9C" w:rsidRDefault="003E64DA" w:rsidP="00191861">
      <w:pPr>
        <w:jc w:val="both"/>
        <w:rPr>
          <w:sz w:val="28"/>
          <w:szCs w:val="28"/>
        </w:rPr>
      </w:pPr>
      <w:r w:rsidRPr="00467F9C">
        <w:rPr>
          <w:sz w:val="28"/>
          <w:szCs w:val="28"/>
        </w:rPr>
        <w:t>8</w:t>
      </w:r>
      <w:r w:rsidR="00BD754D" w:rsidRPr="00467F9C">
        <w:rPr>
          <w:sz w:val="28"/>
          <w:szCs w:val="28"/>
        </w:rPr>
        <w:t xml:space="preserve">. ОТЧЕТ по результатам экспертно-аналитического мероприятия «Анализ сводного годового доклада о ходе реализации и оценке эффективности государственных программ Чукотского автономного округа за 2021 </w:t>
      </w:r>
      <w:proofErr w:type="gramStart"/>
      <w:r w:rsidR="00BD754D" w:rsidRPr="00467F9C">
        <w:rPr>
          <w:sz w:val="28"/>
          <w:szCs w:val="28"/>
        </w:rPr>
        <w:t>год»</w:t>
      </w:r>
      <w:r w:rsidR="00EF64D3" w:rsidRPr="00467F9C">
        <w:rPr>
          <w:sz w:val="28"/>
          <w:szCs w:val="28"/>
        </w:rPr>
        <w:t>…</w:t>
      </w:r>
      <w:r w:rsidR="00A335AC">
        <w:rPr>
          <w:sz w:val="28"/>
          <w:szCs w:val="28"/>
        </w:rPr>
        <w:t>….</w:t>
      </w:r>
      <w:proofErr w:type="gramEnd"/>
      <w:r w:rsidR="00BD754D" w:rsidRPr="00467F9C">
        <w:rPr>
          <w:sz w:val="28"/>
          <w:szCs w:val="28"/>
        </w:rPr>
        <w:t>….</w:t>
      </w:r>
      <w:r w:rsidR="005A508C">
        <w:rPr>
          <w:sz w:val="28"/>
          <w:szCs w:val="28"/>
        </w:rPr>
        <w:t>9</w:t>
      </w:r>
      <w:r w:rsidR="00EE4ACF">
        <w:rPr>
          <w:sz w:val="28"/>
          <w:szCs w:val="28"/>
        </w:rPr>
        <w:t>0</w:t>
      </w:r>
    </w:p>
    <w:p w:rsidR="00BD754D" w:rsidRPr="00467F9C" w:rsidRDefault="00BD754D" w:rsidP="00191861">
      <w:pPr>
        <w:jc w:val="both"/>
        <w:rPr>
          <w:sz w:val="6"/>
          <w:szCs w:val="6"/>
        </w:rPr>
      </w:pPr>
    </w:p>
    <w:p w:rsidR="00BD754D" w:rsidRPr="00467F9C" w:rsidRDefault="003E64DA" w:rsidP="00191861">
      <w:pPr>
        <w:jc w:val="both"/>
        <w:rPr>
          <w:sz w:val="28"/>
          <w:szCs w:val="28"/>
        </w:rPr>
      </w:pPr>
      <w:r w:rsidRPr="00467F9C">
        <w:rPr>
          <w:sz w:val="28"/>
          <w:szCs w:val="28"/>
        </w:rPr>
        <w:t>9</w:t>
      </w:r>
      <w:r w:rsidR="00BD754D" w:rsidRPr="00467F9C">
        <w:rPr>
          <w:sz w:val="28"/>
          <w:szCs w:val="28"/>
        </w:rPr>
        <w:t xml:space="preserve">. ОТЧЕТ по результатам экспертно-аналитического мероприятия «Оценка хода реализации региональных проектов в Чукотском автономном округе за 2021 </w:t>
      </w:r>
      <w:proofErr w:type="gramStart"/>
      <w:r w:rsidR="00BD754D" w:rsidRPr="00467F9C">
        <w:rPr>
          <w:sz w:val="28"/>
          <w:szCs w:val="28"/>
        </w:rPr>
        <w:t>год»…</w:t>
      </w:r>
      <w:proofErr w:type="gramEnd"/>
      <w:r w:rsidR="00BD754D" w:rsidRPr="00467F9C">
        <w:rPr>
          <w:sz w:val="28"/>
          <w:szCs w:val="28"/>
        </w:rPr>
        <w:t>……………………</w:t>
      </w:r>
      <w:r w:rsidR="00EF64D3" w:rsidRPr="00467F9C">
        <w:rPr>
          <w:sz w:val="28"/>
          <w:szCs w:val="28"/>
        </w:rPr>
        <w:t>……………………………………………………</w:t>
      </w:r>
      <w:r w:rsidR="00A335AC">
        <w:rPr>
          <w:sz w:val="28"/>
          <w:szCs w:val="28"/>
        </w:rPr>
        <w:t>...</w:t>
      </w:r>
      <w:r w:rsidR="00EF64D3" w:rsidRPr="00467F9C">
        <w:rPr>
          <w:sz w:val="28"/>
          <w:szCs w:val="28"/>
        </w:rPr>
        <w:t>…….</w:t>
      </w:r>
      <w:r w:rsidR="005A508C">
        <w:rPr>
          <w:sz w:val="28"/>
          <w:szCs w:val="28"/>
        </w:rPr>
        <w:t>12</w:t>
      </w:r>
      <w:r w:rsidR="00EE4ACF">
        <w:rPr>
          <w:sz w:val="28"/>
          <w:szCs w:val="28"/>
        </w:rPr>
        <w:t>3</w:t>
      </w:r>
    </w:p>
    <w:p w:rsidR="00BD754D" w:rsidRPr="00467F9C" w:rsidRDefault="00BD754D" w:rsidP="00191861">
      <w:pPr>
        <w:jc w:val="both"/>
        <w:rPr>
          <w:bCs/>
          <w:sz w:val="6"/>
          <w:szCs w:val="6"/>
        </w:rPr>
      </w:pPr>
    </w:p>
    <w:p w:rsidR="00BD754D" w:rsidRPr="00467F9C" w:rsidRDefault="003E64DA" w:rsidP="00191861">
      <w:pPr>
        <w:jc w:val="both"/>
        <w:rPr>
          <w:sz w:val="28"/>
          <w:szCs w:val="28"/>
        </w:rPr>
      </w:pPr>
      <w:r w:rsidRPr="00467F9C">
        <w:rPr>
          <w:sz w:val="28"/>
          <w:szCs w:val="28"/>
        </w:rPr>
        <w:t>10</w:t>
      </w:r>
      <w:r w:rsidR="00BD754D" w:rsidRPr="00467F9C">
        <w:rPr>
          <w:sz w:val="28"/>
          <w:szCs w:val="28"/>
        </w:rPr>
        <w:t xml:space="preserve">. ОТЧЕТ по результатам экспертно-аналитического мероприятия «Оперативный контроль исполнения Закона Чукотского автономного округа «Об окружном бюджете на 2022 год и на плановый период 2023 и 2024 годов» за 1 квартал 2022 </w:t>
      </w:r>
      <w:proofErr w:type="gramStart"/>
      <w:r w:rsidR="00BD754D" w:rsidRPr="00467F9C">
        <w:rPr>
          <w:sz w:val="28"/>
          <w:szCs w:val="28"/>
        </w:rPr>
        <w:t>года»…</w:t>
      </w:r>
      <w:proofErr w:type="gramEnd"/>
      <w:r w:rsidR="00BD754D" w:rsidRPr="00467F9C">
        <w:rPr>
          <w:sz w:val="28"/>
          <w:szCs w:val="28"/>
        </w:rPr>
        <w:t>……………</w:t>
      </w:r>
      <w:r w:rsidR="00EF64D3" w:rsidRPr="00467F9C">
        <w:rPr>
          <w:sz w:val="28"/>
          <w:szCs w:val="28"/>
        </w:rPr>
        <w:t>…………………………………</w:t>
      </w:r>
      <w:r w:rsidR="00A335AC">
        <w:rPr>
          <w:sz w:val="28"/>
          <w:szCs w:val="28"/>
        </w:rPr>
        <w:t>…………………</w:t>
      </w:r>
      <w:r w:rsidR="00EF64D3" w:rsidRPr="00467F9C">
        <w:rPr>
          <w:sz w:val="28"/>
          <w:szCs w:val="28"/>
        </w:rPr>
        <w:t>………….</w:t>
      </w:r>
      <w:r w:rsidR="00BD754D" w:rsidRPr="00467F9C">
        <w:rPr>
          <w:sz w:val="28"/>
          <w:szCs w:val="28"/>
        </w:rPr>
        <w:t>….</w:t>
      </w:r>
      <w:r w:rsidR="005A508C">
        <w:rPr>
          <w:sz w:val="28"/>
          <w:szCs w:val="28"/>
        </w:rPr>
        <w:t>1</w:t>
      </w:r>
      <w:r w:rsidR="00EE4ACF">
        <w:rPr>
          <w:sz w:val="28"/>
          <w:szCs w:val="28"/>
        </w:rPr>
        <w:t>50</w:t>
      </w:r>
    </w:p>
    <w:p w:rsidR="00BD754D" w:rsidRPr="00467F9C" w:rsidRDefault="00BD754D" w:rsidP="00191861">
      <w:pPr>
        <w:jc w:val="both"/>
        <w:rPr>
          <w:sz w:val="6"/>
          <w:szCs w:val="6"/>
        </w:rPr>
      </w:pPr>
    </w:p>
    <w:p w:rsidR="00BD754D" w:rsidRDefault="003E64DA" w:rsidP="00191861">
      <w:pPr>
        <w:jc w:val="both"/>
        <w:rPr>
          <w:sz w:val="28"/>
          <w:szCs w:val="28"/>
        </w:rPr>
      </w:pPr>
      <w:r w:rsidRPr="00467F9C">
        <w:rPr>
          <w:sz w:val="28"/>
          <w:szCs w:val="28"/>
        </w:rPr>
        <w:t>11</w:t>
      </w:r>
      <w:r w:rsidR="00BD754D" w:rsidRPr="00467F9C">
        <w:rPr>
          <w:sz w:val="28"/>
          <w:szCs w:val="28"/>
        </w:rPr>
        <w:t xml:space="preserve">. ОТЧЕТ по результатам экспертно-аналитического мероприятия «Анализ и оценка сводного отчета о ходе реализации государственных программ Чукотского автономного округа за I квартал 2022 </w:t>
      </w:r>
      <w:proofErr w:type="gramStart"/>
      <w:r w:rsidR="00BD754D" w:rsidRPr="00467F9C">
        <w:rPr>
          <w:sz w:val="28"/>
          <w:szCs w:val="28"/>
        </w:rPr>
        <w:t>года»…</w:t>
      </w:r>
      <w:proofErr w:type="gramEnd"/>
      <w:r w:rsidR="00BD754D" w:rsidRPr="00467F9C">
        <w:rPr>
          <w:sz w:val="28"/>
          <w:szCs w:val="28"/>
        </w:rPr>
        <w:t>……</w:t>
      </w:r>
      <w:r w:rsidR="00EF64D3" w:rsidRPr="00467F9C">
        <w:rPr>
          <w:sz w:val="28"/>
          <w:szCs w:val="28"/>
        </w:rPr>
        <w:t>……</w:t>
      </w:r>
      <w:r w:rsidR="00A335AC">
        <w:rPr>
          <w:sz w:val="28"/>
          <w:szCs w:val="28"/>
        </w:rPr>
        <w:t>……………..</w:t>
      </w:r>
      <w:r w:rsidR="00EF64D3" w:rsidRPr="00467F9C">
        <w:rPr>
          <w:sz w:val="28"/>
          <w:szCs w:val="28"/>
        </w:rPr>
        <w:t>..</w:t>
      </w:r>
      <w:r w:rsidR="00BD754D" w:rsidRPr="00467F9C">
        <w:rPr>
          <w:sz w:val="28"/>
          <w:szCs w:val="28"/>
        </w:rPr>
        <w:t>………….</w:t>
      </w:r>
      <w:r w:rsidR="005A508C">
        <w:rPr>
          <w:sz w:val="28"/>
          <w:szCs w:val="28"/>
        </w:rPr>
        <w:t>16</w:t>
      </w:r>
      <w:r w:rsidR="00EE4ACF">
        <w:rPr>
          <w:sz w:val="28"/>
          <w:szCs w:val="28"/>
        </w:rPr>
        <w:t>7</w:t>
      </w:r>
    </w:p>
    <w:p w:rsidR="008D194E" w:rsidRPr="00467F9C" w:rsidRDefault="008D194E" w:rsidP="008D194E">
      <w:pPr>
        <w:jc w:val="both"/>
        <w:rPr>
          <w:sz w:val="6"/>
          <w:szCs w:val="6"/>
        </w:rPr>
      </w:pPr>
    </w:p>
    <w:p w:rsidR="008D194E" w:rsidRPr="00584FDC" w:rsidRDefault="008D194E" w:rsidP="00584FDC">
      <w:pPr>
        <w:pStyle w:val="ConsPlusNonformat"/>
        <w:spacing w:line="276" w:lineRule="auto"/>
        <w:jc w:val="both"/>
        <w:rPr>
          <w:sz w:val="28"/>
          <w:szCs w:val="28"/>
        </w:rPr>
      </w:pPr>
      <w:r w:rsidRPr="00584FDC">
        <w:rPr>
          <w:rFonts w:ascii="Times New Roman" w:hAnsi="Times New Roman" w:cs="Times New Roman"/>
          <w:sz w:val="28"/>
          <w:szCs w:val="28"/>
        </w:rPr>
        <w:t>12. ОТЧЕТ</w:t>
      </w:r>
      <w:r w:rsidR="00584FDC" w:rsidRPr="00584FDC">
        <w:rPr>
          <w:rFonts w:ascii="Times New Roman" w:hAnsi="Times New Roman" w:cs="Times New Roman"/>
          <w:sz w:val="28"/>
          <w:szCs w:val="28"/>
        </w:rPr>
        <w:t xml:space="preserve"> о результатах контрольного мероприятия </w:t>
      </w:r>
      <w:bookmarkStart w:id="0" w:name="_Hlk104474594"/>
      <w:r w:rsidR="00584FDC" w:rsidRPr="00584FDC">
        <w:rPr>
          <w:rFonts w:ascii="Times New Roman" w:hAnsi="Times New Roman" w:cs="Times New Roman"/>
          <w:color w:val="000000"/>
          <w:sz w:val="28"/>
          <w:szCs w:val="28"/>
        </w:rPr>
        <w:t xml:space="preserve">«Проверка финансово-хозяйственной деятельности Некоммерческой организации «Фонд поддержки молодежи» за 2019-2021 </w:t>
      </w:r>
      <w:proofErr w:type="gramStart"/>
      <w:r w:rsidR="00584FDC" w:rsidRPr="00584FDC">
        <w:rPr>
          <w:rFonts w:ascii="Times New Roman" w:hAnsi="Times New Roman" w:cs="Times New Roman"/>
          <w:color w:val="000000"/>
          <w:sz w:val="28"/>
          <w:szCs w:val="28"/>
        </w:rPr>
        <w:t>годы</w:t>
      </w:r>
      <w:r w:rsidR="00584FDC" w:rsidRPr="00942897">
        <w:rPr>
          <w:rFonts w:ascii="Times New Roman" w:hAnsi="Times New Roman" w:cs="Times New Roman"/>
          <w:color w:val="000000"/>
          <w:sz w:val="28"/>
          <w:szCs w:val="28"/>
        </w:rPr>
        <w:t>»</w:t>
      </w:r>
      <w:bookmarkEnd w:id="0"/>
      <w:r w:rsidR="00942897">
        <w:rPr>
          <w:rFonts w:ascii="Times New Roman" w:hAnsi="Times New Roman" w:cs="Times New Roman"/>
          <w:sz w:val="28"/>
          <w:szCs w:val="28"/>
        </w:rPr>
        <w:t>…</w:t>
      </w:r>
      <w:proofErr w:type="gramEnd"/>
      <w:r w:rsidRPr="00942897">
        <w:rPr>
          <w:rFonts w:ascii="Times New Roman" w:hAnsi="Times New Roman" w:cs="Times New Roman"/>
          <w:sz w:val="28"/>
          <w:szCs w:val="28"/>
        </w:rPr>
        <w:t>……</w:t>
      </w:r>
      <w:r w:rsidR="00584FDC" w:rsidRPr="00942897">
        <w:rPr>
          <w:rFonts w:ascii="Times New Roman" w:hAnsi="Times New Roman" w:cs="Times New Roman"/>
          <w:sz w:val="28"/>
          <w:szCs w:val="28"/>
        </w:rPr>
        <w:t>……</w:t>
      </w:r>
      <w:r w:rsidR="00942897">
        <w:rPr>
          <w:rFonts w:ascii="Times New Roman" w:hAnsi="Times New Roman" w:cs="Times New Roman"/>
          <w:sz w:val="28"/>
          <w:szCs w:val="28"/>
        </w:rPr>
        <w:t>……………..</w:t>
      </w:r>
      <w:r w:rsidR="00584FDC" w:rsidRPr="00942897">
        <w:rPr>
          <w:rFonts w:ascii="Times New Roman" w:hAnsi="Times New Roman" w:cs="Times New Roman"/>
          <w:sz w:val="28"/>
          <w:szCs w:val="28"/>
        </w:rPr>
        <w:t>…………………………</w:t>
      </w:r>
      <w:r w:rsidR="00942897" w:rsidRPr="00942897">
        <w:rPr>
          <w:rFonts w:ascii="Times New Roman" w:hAnsi="Times New Roman" w:cs="Times New Roman"/>
          <w:sz w:val="28"/>
          <w:szCs w:val="28"/>
        </w:rPr>
        <w:t>17</w:t>
      </w:r>
      <w:r w:rsidR="00EE4ACF">
        <w:rPr>
          <w:rFonts w:ascii="Times New Roman" w:hAnsi="Times New Roman" w:cs="Times New Roman"/>
          <w:sz w:val="28"/>
          <w:szCs w:val="28"/>
        </w:rPr>
        <w:t>6</w:t>
      </w:r>
    </w:p>
    <w:p w:rsidR="008D194E" w:rsidRPr="00467F9C" w:rsidRDefault="008D194E" w:rsidP="008D194E">
      <w:pPr>
        <w:jc w:val="both"/>
        <w:rPr>
          <w:sz w:val="6"/>
          <w:szCs w:val="6"/>
        </w:rPr>
      </w:pPr>
    </w:p>
    <w:p w:rsidR="008D194E" w:rsidRPr="00942897" w:rsidRDefault="008D194E" w:rsidP="00942897">
      <w:pPr>
        <w:pStyle w:val="6"/>
        <w:ind w:firstLine="0"/>
        <w:rPr>
          <w:rFonts w:ascii="Times New Roman" w:hAnsi="Times New Roman"/>
          <w:b w:val="0"/>
          <w:sz w:val="28"/>
          <w:szCs w:val="28"/>
        </w:rPr>
      </w:pPr>
      <w:r w:rsidRPr="00942897">
        <w:rPr>
          <w:rFonts w:ascii="Times New Roman" w:hAnsi="Times New Roman"/>
          <w:b w:val="0"/>
          <w:sz w:val="28"/>
          <w:szCs w:val="28"/>
        </w:rPr>
        <w:t>13. ОТЧЕТ</w:t>
      </w:r>
      <w:r w:rsidR="00746CAE" w:rsidRPr="00942897">
        <w:rPr>
          <w:rFonts w:ascii="Times New Roman" w:hAnsi="Times New Roman"/>
          <w:b w:val="0"/>
          <w:sz w:val="28"/>
          <w:szCs w:val="28"/>
        </w:rPr>
        <w:t xml:space="preserve"> </w:t>
      </w:r>
      <w:r w:rsidR="00942897" w:rsidRPr="00942897">
        <w:rPr>
          <w:rFonts w:ascii="Times New Roman" w:hAnsi="Times New Roman"/>
          <w:b w:val="0"/>
          <w:sz w:val="28"/>
          <w:szCs w:val="28"/>
        </w:rPr>
        <w:t xml:space="preserve">по результатам </w:t>
      </w:r>
      <w:r w:rsidR="00942897" w:rsidRPr="00942897">
        <w:rPr>
          <w:rFonts w:ascii="Times New Roman" w:hAnsi="Times New Roman"/>
          <w:b w:val="0"/>
          <w:snapToGrid w:val="0"/>
          <w:sz w:val="28"/>
          <w:szCs w:val="28"/>
        </w:rPr>
        <w:t>контрольного мероприятия</w:t>
      </w:r>
      <w:r w:rsidR="00942897" w:rsidRPr="00942897">
        <w:rPr>
          <w:rFonts w:ascii="Times New Roman" w:hAnsi="Times New Roman"/>
          <w:b w:val="0"/>
          <w:color w:val="000000"/>
          <w:sz w:val="28"/>
          <w:szCs w:val="28"/>
        </w:rPr>
        <w:t xml:space="preserve"> </w:t>
      </w:r>
      <w:bookmarkStart w:id="1" w:name="_Hlk89785937"/>
      <w:r w:rsidR="00942897" w:rsidRPr="00942897">
        <w:rPr>
          <w:rFonts w:ascii="Times New Roman" w:hAnsi="Times New Roman"/>
          <w:b w:val="0"/>
          <w:bCs w:val="0"/>
          <w:color w:val="000000"/>
          <w:sz w:val="28"/>
          <w:szCs w:val="28"/>
        </w:rPr>
        <w:t xml:space="preserve">«Проверка законности предоставления и эффективности использования средств окружного бюджета, направленных в 2020-2021 годах на реализацию подпрограммы «Развитие угольной промышленности» Государственной программы «Развитие энергетики Чукотского автономного </w:t>
      </w:r>
      <w:proofErr w:type="gramStart"/>
      <w:r w:rsidR="00942897" w:rsidRPr="00942897">
        <w:rPr>
          <w:rFonts w:ascii="Times New Roman" w:hAnsi="Times New Roman"/>
          <w:b w:val="0"/>
          <w:bCs w:val="0"/>
          <w:color w:val="000000"/>
          <w:sz w:val="28"/>
          <w:szCs w:val="28"/>
        </w:rPr>
        <w:t>округа»</w:t>
      </w:r>
      <w:bookmarkEnd w:id="1"/>
      <w:r w:rsidRPr="00942897">
        <w:rPr>
          <w:rFonts w:ascii="Times New Roman" w:hAnsi="Times New Roman"/>
          <w:b w:val="0"/>
          <w:sz w:val="28"/>
          <w:szCs w:val="28"/>
        </w:rPr>
        <w:t>…</w:t>
      </w:r>
      <w:proofErr w:type="gramEnd"/>
      <w:r w:rsidRPr="00942897">
        <w:rPr>
          <w:rFonts w:ascii="Times New Roman" w:hAnsi="Times New Roman"/>
          <w:b w:val="0"/>
          <w:sz w:val="28"/>
          <w:szCs w:val="28"/>
        </w:rPr>
        <w:t>…………..………</w:t>
      </w:r>
      <w:r w:rsidR="004957B6">
        <w:rPr>
          <w:rFonts w:ascii="Times New Roman" w:hAnsi="Times New Roman"/>
          <w:b w:val="0"/>
          <w:sz w:val="28"/>
          <w:szCs w:val="28"/>
        </w:rPr>
        <w:t>…………………………</w:t>
      </w:r>
      <w:r w:rsidRPr="00942897">
        <w:rPr>
          <w:rFonts w:ascii="Times New Roman" w:hAnsi="Times New Roman"/>
          <w:b w:val="0"/>
          <w:sz w:val="28"/>
          <w:szCs w:val="28"/>
        </w:rPr>
        <w:t>….</w:t>
      </w:r>
      <w:r w:rsidR="004957B6">
        <w:rPr>
          <w:rFonts w:ascii="Times New Roman" w:hAnsi="Times New Roman"/>
          <w:b w:val="0"/>
          <w:sz w:val="28"/>
          <w:szCs w:val="28"/>
        </w:rPr>
        <w:t>1</w:t>
      </w:r>
      <w:r w:rsidR="00EE4ACF">
        <w:rPr>
          <w:rFonts w:ascii="Times New Roman" w:hAnsi="Times New Roman"/>
          <w:b w:val="0"/>
          <w:sz w:val="28"/>
          <w:szCs w:val="28"/>
        </w:rPr>
        <w:t>90</w:t>
      </w:r>
    </w:p>
    <w:p w:rsidR="005A508C" w:rsidRPr="00467F9C" w:rsidRDefault="005A508C" w:rsidP="005A508C">
      <w:pPr>
        <w:jc w:val="both"/>
        <w:rPr>
          <w:sz w:val="6"/>
          <w:szCs w:val="6"/>
        </w:rPr>
      </w:pPr>
    </w:p>
    <w:p w:rsidR="005A508C" w:rsidRDefault="005A508C" w:rsidP="005A508C">
      <w:pPr>
        <w:jc w:val="both"/>
        <w:rPr>
          <w:sz w:val="28"/>
          <w:szCs w:val="28"/>
        </w:rPr>
      </w:pPr>
      <w:r w:rsidRPr="00467F9C">
        <w:rPr>
          <w:sz w:val="28"/>
          <w:szCs w:val="28"/>
        </w:rPr>
        <w:t>1</w:t>
      </w:r>
      <w:r>
        <w:rPr>
          <w:sz w:val="28"/>
          <w:szCs w:val="28"/>
        </w:rPr>
        <w:t>4</w:t>
      </w:r>
      <w:r w:rsidRPr="00467F9C">
        <w:rPr>
          <w:sz w:val="28"/>
          <w:szCs w:val="28"/>
        </w:rPr>
        <w:t>. ОТЧЕТ</w:t>
      </w:r>
      <w:r w:rsidR="00743F1D">
        <w:rPr>
          <w:sz w:val="28"/>
          <w:szCs w:val="28"/>
        </w:rPr>
        <w:t xml:space="preserve"> </w:t>
      </w:r>
      <w:r w:rsidR="00743F1D" w:rsidRPr="00942897">
        <w:rPr>
          <w:sz w:val="28"/>
          <w:szCs w:val="28"/>
        </w:rPr>
        <w:t xml:space="preserve">по результатам </w:t>
      </w:r>
      <w:r w:rsidR="00743F1D" w:rsidRPr="00942897">
        <w:rPr>
          <w:snapToGrid w:val="0"/>
          <w:sz w:val="28"/>
          <w:szCs w:val="28"/>
        </w:rPr>
        <w:t>контрольного мероприятия</w:t>
      </w:r>
      <w:r w:rsidR="00743F1D" w:rsidRPr="00942897">
        <w:rPr>
          <w:color w:val="000000"/>
          <w:sz w:val="28"/>
          <w:szCs w:val="28"/>
        </w:rPr>
        <w:t xml:space="preserve"> </w:t>
      </w:r>
      <w:r w:rsidR="00743F1D">
        <w:rPr>
          <w:color w:val="000000"/>
          <w:sz w:val="28"/>
          <w:szCs w:val="28"/>
        </w:rPr>
        <w:t>«</w:t>
      </w:r>
      <w:r w:rsidR="00743F1D" w:rsidRPr="003A5FCD">
        <w:rPr>
          <w:sz w:val="28"/>
          <w:szCs w:val="28"/>
        </w:rPr>
        <w:t xml:space="preserve">Проверка законности использования бюджетных средств, направленных в 2020-2021 годах и истекшем периоде 2022 года на реализацию подпрограммы «Развитие жилищного строительства» Государственной программы «Развитие жилищного строительства в Чукотском автономном </w:t>
      </w:r>
      <w:proofErr w:type="gramStart"/>
      <w:r w:rsidR="00743F1D" w:rsidRPr="003A5FCD">
        <w:rPr>
          <w:sz w:val="28"/>
          <w:szCs w:val="28"/>
        </w:rPr>
        <w:t>округе</w:t>
      </w:r>
      <w:r w:rsidR="00743F1D">
        <w:rPr>
          <w:color w:val="000000"/>
          <w:sz w:val="28"/>
          <w:szCs w:val="28"/>
        </w:rPr>
        <w:t>»</w:t>
      </w:r>
      <w:r w:rsidRPr="00467F9C">
        <w:rPr>
          <w:sz w:val="28"/>
          <w:szCs w:val="28"/>
        </w:rPr>
        <w:t>…</w:t>
      </w:r>
      <w:proofErr w:type="gramEnd"/>
      <w:r w:rsidRPr="00467F9C">
        <w:rPr>
          <w:sz w:val="28"/>
          <w:szCs w:val="28"/>
        </w:rPr>
        <w:t>……</w:t>
      </w:r>
      <w:r w:rsidR="00743F1D">
        <w:rPr>
          <w:sz w:val="28"/>
          <w:szCs w:val="28"/>
        </w:rPr>
        <w:t>………………………...</w:t>
      </w:r>
      <w:r w:rsidRPr="00467F9C">
        <w:rPr>
          <w:sz w:val="28"/>
          <w:szCs w:val="28"/>
        </w:rPr>
        <w:t>……..………….</w:t>
      </w:r>
      <w:r w:rsidR="004016F8">
        <w:rPr>
          <w:sz w:val="28"/>
          <w:szCs w:val="28"/>
        </w:rPr>
        <w:t>19</w:t>
      </w:r>
      <w:r w:rsidR="00EE4ACF">
        <w:rPr>
          <w:sz w:val="28"/>
          <w:szCs w:val="28"/>
        </w:rPr>
        <w:t>6</w:t>
      </w:r>
    </w:p>
    <w:p w:rsidR="005A508C" w:rsidRPr="00467F9C" w:rsidRDefault="005A508C" w:rsidP="005A508C">
      <w:pPr>
        <w:jc w:val="both"/>
        <w:rPr>
          <w:sz w:val="6"/>
          <w:szCs w:val="6"/>
        </w:rPr>
      </w:pPr>
    </w:p>
    <w:p w:rsidR="005A508C" w:rsidRPr="00467F9C" w:rsidRDefault="005A508C" w:rsidP="00000E53">
      <w:pPr>
        <w:jc w:val="both"/>
        <w:rPr>
          <w:sz w:val="28"/>
          <w:szCs w:val="28"/>
        </w:rPr>
      </w:pPr>
      <w:r w:rsidRPr="00467F9C">
        <w:rPr>
          <w:sz w:val="28"/>
          <w:szCs w:val="28"/>
        </w:rPr>
        <w:t>1</w:t>
      </w:r>
      <w:r>
        <w:rPr>
          <w:sz w:val="28"/>
          <w:szCs w:val="28"/>
        </w:rPr>
        <w:t>5</w:t>
      </w:r>
      <w:r w:rsidRPr="00467F9C">
        <w:rPr>
          <w:sz w:val="28"/>
          <w:szCs w:val="28"/>
        </w:rPr>
        <w:t xml:space="preserve">. </w:t>
      </w:r>
      <w:r w:rsidR="00000E53" w:rsidRPr="00000E53">
        <w:rPr>
          <w:sz w:val="28"/>
          <w:szCs w:val="28"/>
        </w:rPr>
        <w:t>ОТЧЕТ</w:t>
      </w:r>
      <w:r w:rsidR="00000E53">
        <w:rPr>
          <w:sz w:val="28"/>
          <w:szCs w:val="28"/>
        </w:rPr>
        <w:t xml:space="preserve"> </w:t>
      </w:r>
      <w:r w:rsidR="00000E53" w:rsidRPr="00000E53">
        <w:rPr>
          <w:sz w:val="28"/>
          <w:szCs w:val="28"/>
        </w:rPr>
        <w:t>о результатах экспертно-аналитического мероприятия</w:t>
      </w:r>
      <w:r w:rsidR="00000E53">
        <w:rPr>
          <w:sz w:val="28"/>
          <w:szCs w:val="28"/>
        </w:rPr>
        <w:t xml:space="preserve"> </w:t>
      </w:r>
      <w:r w:rsidR="00000E53" w:rsidRPr="00000E53">
        <w:rPr>
          <w:sz w:val="28"/>
          <w:szCs w:val="28"/>
        </w:rPr>
        <w:t xml:space="preserve">«Анализ предоставления из окружного бюджета бюджетам муниципальных образований Чукотского автономного округа межбюджетных трансфертов в 2018 – 2020 годах и результативности их </w:t>
      </w:r>
      <w:proofErr w:type="gramStart"/>
      <w:r w:rsidR="00000E53" w:rsidRPr="00000E53">
        <w:rPr>
          <w:sz w:val="28"/>
          <w:szCs w:val="28"/>
        </w:rPr>
        <w:t>использования»</w:t>
      </w:r>
      <w:r w:rsidRPr="00467F9C">
        <w:rPr>
          <w:sz w:val="28"/>
          <w:szCs w:val="28"/>
        </w:rPr>
        <w:t>…</w:t>
      </w:r>
      <w:proofErr w:type="gramEnd"/>
      <w:r w:rsidRPr="00467F9C">
        <w:rPr>
          <w:sz w:val="28"/>
          <w:szCs w:val="28"/>
        </w:rPr>
        <w:t>………</w:t>
      </w:r>
      <w:r w:rsidR="00000E53">
        <w:rPr>
          <w:sz w:val="28"/>
          <w:szCs w:val="28"/>
        </w:rPr>
        <w:t>……………………...</w:t>
      </w:r>
      <w:r w:rsidRPr="00467F9C">
        <w:rPr>
          <w:sz w:val="28"/>
          <w:szCs w:val="28"/>
        </w:rPr>
        <w:t>.………….</w:t>
      </w:r>
      <w:r w:rsidR="00C404B9">
        <w:rPr>
          <w:sz w:val="28"/>
          <w:szCs w:val="28"/>
        </w:rPr>
        <w:t>21</w:t>
      </w:r>
      <w:r w:rsidR="00EE4ACF">
        <w:rPr>
          <w:sz w:val="28"/>
          <w:szCs w:val="28"/>
        </w:rPr>
        <w:t>3</w:t>
      </w:r>
      <w:bookmarkStart w:id="2" w:name="_GoBack"/>
      <w:bookmarkEnd w:id="2"/>
    </w:p>
    <w:p w:rsidR="005A508C" w:rsidRPr="00467F9C" w:rsidRDefault="005A508C" w:rsidP="008D194E">
      <w:pPr>
        <w:jc w:val="both"/>
        <w:rPr>
          <w:sz w:val="28"/>
          <w:szCs w:val="28"/>
        </w:rPr>
      </w:pPr>
    </w:p>
    <w:p w:rsidR="008D194E" w:rsidRPr="00467F9C" w:rsidRDefault="008D194E" w:rsidP="008D194E">
      <w:pPr>
        <w:jc w:val="both"/>
        <w:rPr>
          <w:sz w:val="28"/>
          <w:szCs w:val="28"/>
        </w:rPr>
      </w:pPr>
    </w:p>
    <w:p w:rsidR="008D194E" w:rsidRPr="00467F9C" w:rsidRDefault="008D194E" w:rsidP="00191861">
      <w:pPr>
        <w:jc w:val="both"/>
        <w:rPr>
          <w:sz w:val="28"/>
          <w:szCs w:val="28"/>
        </w:rPr>
      </w:pPr>
    </w:p>
    <w:p w:rsidR="00BD754D" w:rsidRPr="00467F9C" w:rsidRDefault="00BD754D" w:rsidP="00191861">
      <w:pPr>
        <w:jc w:val="both"/>
        <w:rPr>
          <w:bCs/>
          <w:sz w:val="28"/>
          <w:szCs w:val="28"/>
        </w:rPr>
      </w:pPr>
    </w:p>
    <w:p w:rsidR="003E64DA" w:rsidRPr="00467F9C" w:rsidRDefault="003E64DA" w:rsidP="00191861">
      <w:pPr>
        <w:spacing w:after="200"/>
        <w:rPr>
          <w:b/>
          <w:sz w:val="28"/>
          <w:szCs w:val="28"/>
        </w:rPr>
      </w:pPr>
      <w:r w:rsidRPr="00467F9C">
        <w:rPr>
          <w:b/>
          <w:sz w:val="28"/>
          <w:szCs w:val="28"/>
        </w:rPr>
        <w:br w:type="page"/>
      </w:r>
    </w:p>
    <w:p w:rsidR="005E541F" w:rsidRPr="00467F9C" w:rsidRDefault="005E541F" w:rsidP="00191861">
      <w:pPr>
        <w:jc w:val="center"/>
        <w:rPr>
          <w:b/>
          <w:sz w:val="28"/>
          <w:szCs w:val="28"/>
        </w:rPr>
      </w:pPr>
      <w:r w:rsidRPr="00467F9C">
        <w:rPr>
          <w:b/>
          <w:sz w:val="28"/>
          <w:szCs w:val="28"/>
        </w:rPr>
        <w:lastRenderedPageBreak/>
        <w:t>ОТЧЕТ</w:t>
      </w:r>
    </w:p>
    <w:p w:rsidR="005E541F" w:rsidRPr="00467F9C" w:rsidRDefault="005E541F" w:rsidP="00191861">
      <w:pPr>
        <w:autoSpaceDE w:val="0"/>
        <w:autoSpaceDN w:val="0"/>
        <w:adjustRightInd w:val="0"/>
        <w:jc w:val="center"/>
        <w:outlineLvl w:val="0"/>
        <w:rPr>
          <w:b/>
          <w:sz w:val="28"/>
          <w:szCs w:val="28"/>
        </w:rPr>
      </w:pPr>
      <w:r w:rsidRPr="00467F9C">
        <w:rPr>
          <w:b/>
          <w:sz w:val="28"/>
          <w:szCs w:val="28"/>
        </w:rPr>
        <w:t xml:space="preserve">о результатах контрольного мероприятия </w:t>
      </w:r>
    </w:p>
    <w:p w:rsidR="005E541F" w:rsidRPr="00467F9C" w:rsidRDefault="005E541F" w:rsidP="00191861">
      <w:pPr>
        <w:autoSpaceDE w:val="0"/>
        <w:autoSpaceDN w:val="0"/>
        <w:adjustRightInd w:val="0"/>
        <w:jc w:val="center"/>
        <w:outlineLvl w:val="0"/>
        <w:rPr>
          <w:b/>
          <w:sz w:val="16"/>
          <w:szCs w:val="16"/>
        </w:rPr>
      </w:pPr>
      <w:r w:rsidRPr="00467F9C">
        <w:rPr>
          <w:sz w:val="28"/>
          <w:szCs w:val="28"/>
        </w:rPr>
        <w:t>«</w:t>
      </w:r>
      <w:r w:rsidRPr="00467F9C">
        <w:rPr>
          <w:b/>
          <w:sz w:val="28"/>
          <w:szCs w:val="28"/>
        </w:rPr>
        <w:t>Внешняя проверка бюджетной отчетности Чукотского территориального фонда обязательного медицинского страхования за 2021 год»</w:t>
      </w:r>
    </w:p>
    <w:p w:rsidR="005E541F" w:rsidRPr="00467F9C" w:rsidRDefault="005E541F" w:rsidP="00191861">
      <w:pPr>
        <w:keepNext/>
        <w:jc w:val="both"/>
        <w:outlineLvl w:val="1"/>
        <w:rPr>
          <w:sz w:val="16"/>
          <w:szCs w:val="16"/>
        </w:rPr>
      </w:pPr>
    </w:p>
    <w:p w:rsidR="005E541F" w:rsidRPr="00467F9C" w:rsidRDefault="005E541F" w:rsidP="00191861">
      <w:pPr>
        <w:keepNext/>
        <w:jc w:val="both"/>
        <w:outlineLvl w:val="1"/>
        <w:rPr>
          <w:sz w:val="16"/>
          <w:szCs w:val="16"/>
        </w:rPr>
      </w:pPr>
    </w:p>
    <w:p w:rsidR="005E541F" w:rsidRPr="00467F9C" w:rsidRDefault="005E541F" w:rsidP="00191861">
      <w:pPr>
        <w:autoSpaceDE w:val="0"/>
        <w:autoSpaceDN w:val="0"/>
        <w:adjustRightInd w:val="0"/>
        <w:jc w:val="center"/>
        <w:outlineLvl w:val="0"/>
      </w:pPr>
      <w:r w:rsidRPr="00467F9C">
        <w:t xml:space="preserve">(утвержден Коллегией Счетной палаты Чукотского автономного </w:t>
      </w:r>
      <w:proofErr w:type="gramStart"/>
      <w:r w:rsidRPr="00467F9C">
        <w:t xml:space="preserve">округа,   </w:t>
      </w:r>
      <w:proofErr w:type="gramEnd"/>
      <w:r w:rsidRPr="00467F9C">
        <w:t xml:space="preserve">                                протокол от 29 апреля 2022 года №8)</w:t>
      </w:r>
    </w:p>
    <w:p w:rsidR="005E541F" w:rsidRPr="00467F9C" w:rsidRDefault="005E541F" w:rsidP="00191861">
      <w:pPr>
        <w:keepNext/>
        <w:jc w:val="both"/>
        <w:outlineLvl w:val="1"/>
        <w:rPr>
          <w:sz w:val="16"/>
          <w:szCs w:val="16"/>
        </w:rPr>
      </w:pPr>
    </w:p>
    <w:p w:rsidR="00410767" w:rsidRDefault="005E541F" w:rsidP="00A101D0">
      <w:pPr>
        <w:spacing w:before="240"/>
        <w:ind w:firstLine="720"/>
        <w:jc w:val="both"/>
        <w:rPr>
          <w:sz w:val="28"/>
          <w:szCs w:val="28"/>
        </w:rPr>
      </w:pPr>
      <w:r w:rsidRPr="00467F9C">
        <w:rPr>
          <w:b/>
          <w:sz w:val="28"/>
          <w:szCs w:val="28"/>
        </w:rPr>
        <w:t xml:space="preserve">Основание для проведения контрольного мероприятия: </w:t>
      </w:r>
      <w:r w:rsidRPr="00467F9C">
        <w:rPr>
          <w:sz w:val="28"/>
          <w:szCs w:val="28"/>
        </w:rPr>
        <w:t>пункт 1.3. Плана работы Счетной палаты Чукотского автономного округа</w:t>
      </w:r>
      <w:r w:rsidRPr="00467F9C">
        <w:rPr>
          <w:rStyle w:val="ab"/>
          <w:sz w:val="28"/>
          <w:szCs w:val="28"/>
        </w:rPr>
        <w:footnoteReference w:id="1"/>
      </w:r>
      <w:r w:rsidRPr="00467F9C">
        <w:rPr>
          <w:sz w:val="28"/>
          <w:szCs w:val="28"/>
        </w:rPr>
        <w:t xml:space="preserve"> на 2022 год, утвержденного решением Коллегии Счетной палаты (протокол от 28 декабря 2021 года №32).</w:t>
      </w:r>
    </w:p>
    <w:p w:rsidR="00A101D0" w:rsidRPr="00A101D0" w:rsidRDefault="00A101D0" w:rsidP="00A101D0">
      <w:pPr>
        <w:spacing w:before="240"/>
        <w:ind w:firstLine="720"/>
        <w:jc w:val="both"/>
        <w:rPr>
          <w:sz w:val="2"/>
          <w:szCs w:val="2"/>
        </w:rPr>
      </w:pPr>
    </w:p>
    <w:p w:rsidR="005E541F" w:rsidRPr="00467F9C" w:rsidRDefault="005E541F" w:rsidP="00191861">
      <w:pPr>
        <w:keepNext/>
        <w:ind w:firstLine="708"/>
        <w:jc w:val="both"/>
        <w:outlineLvl w:val="1"/>
        <w:rPr>
          <w:b/>
          <w:sz w:val="28"/>
          <w:szCs w:val="28"/>
        </w:rPr>
      </w:pPr>
      <w:r w:rsidRPr="00467F9C">
        <w:rPr>
          <w:b/>
          <w:sz w:val="28"/>
          <w:szCs w:val="28"/>
        </w:rPr>
        <w:t xml:space="preserve">Предмет контрольного мероприятия: </w:t>
      </w:r>
      <w:r w:rsidRPr="00467F9C">
        <w:rPr>
          <w:sz w:val="28"/>
          <w:szCs w:val="28"/>
        </w:rPr>
        <w:t>деятельность главного администратора бюджетных средств</w:t>
      </w:r>
      <w:r w:rsidRPr="00467F9C">
        <w:rPr>
          <w:b/>
          <w:sz w:val="28"/>
          <w:szCs w:val="28"/>
        </w:rPr>
        <w:t xml:space="preserve"> </w:t>
      </w:r>
      <w:r w:rsidRPr="00467F9C">
        <w:rPr>
          <w:sz w:val="28"/>
          <w:szCs w:val="28"/>
        </w:rPr>
        <w:t>при осуществлении процесса использования средств</w:t>
      </w:r>
      <w:r w:rsidRPr="00467F9C">
        <w:rPr>
          <w:b/>
          <w:sz w:val="28"/>
          <w:szCs w:val="28"/>
        </w:rPr>
        <w:t xml:space="preserve"> </w:t>
      </w:r>
      <w:r w:rsidRPr="00467F9C">
        <w:rPr>
          <w:sz w:val="28"/>
          <w:szCs w:val="28"/>
        </w:rPr>
        <w:t>бюджета Чукотского территориального фонда обязательного медицинского страхования.</w:t>
      </w:r>
    </w:p>
    <w:p w:rsidR="005E541F" w:rsidRPr="00467F9C" w:rsidRDefault="005E541F" w:rsidP="00191861">
      <w:pPr>
        <w:ind w:right="-2" w:firstLine="708"/>
        <w:jc w:val="both"/>
        <w:rPr>
          <w:b/>
          <w:bCs/>
          <w:sz w:val="8"/>
          <w:szCs w:val="8"/>
        </w:rPr>
      </w:pPr>
    </w:p>
    <w:p w:rsidR="005E541F" w:rsidRPr="00467F9C" w:rsidRDefault="005E541F" w:rsidP="00191861">
      <w:pPr>
        <w:ind w:right="-2" w:firstLine="708"/>
        <w:jc w:val="both"/>
        <w:rPr>
          <w:sz w:val="28"/>
          <w:szCs w:val="28"/>
        </w:rPr>
      </w:pPr>
      <w:r w:rsidRPr="00467F9C">
        <w:rPr>
          <w:b/>
          <w:bCs/>
          <w:sz w:val="28"/>
          <w:szCs w:val="28"/>
        </w:rPr>
        <w:t>Цель контрольного мероприятия:</w:t>
      </w:r>
      <w:r w:rsidRPr="00467F9C">
        <w:rPr>
          <w:sz w:val="28"/>
          <w:szCs w:val="28"/>
        </w:rPr>
        <w:t> </w:t>
      </w:r>
      <w:r w:rsidRPr="00467F9C">
        <w:rPr>
          <w:bCs/>
          <w:sz w:val="28"/>
          <w:szCs w:val="28"/>
        </w:rPr>
        <w:t xml:space="preserve">оценить полноту </w:t>
      </w:r>
      <w:r w:rsidRPr="00467F9C">
        <w:rPr>
          <w:sz w:val="28"/>
          <w:szCs w:val="28"/>
        </w:rPr>
        <w:t>бюджетной отчетности, ее соответствие требованиям нормативных правовых актов, показателям, отраженным в отчете об исполнении бюджета Чукотского территориального фонда обязательного медицинского страхования</w:t>
      </w:r>
      <w:r w:rsidRPr="00467F9C">
        <w:rPr>
          <w:rStyle w:val="ab"/>
          <w:sz w:val="28"/>
          <w:szCs w:val="28"/>
        </w:rPr>
        <w:footnoteReference w:id="2"/>
      </w:r>
      <w:r w:rsidRPr="00467F9C">
        <w:rPr>
          <w:sz w:val="28"/>
          <w:szCs w:val="28"/>
        </w:rPr>
        <w:t>, а также эффективность использования средств бюджета Фонда.</w:t>
      </w:r>
    </w:p>
    <w:p w:rsidR="00A101D0" w:rsidRPr="00A101D0" w:rsidRDefault="00A101D0" w:rsidP="00191861">
      <w:pPr>
        <w:ind w:firstLine="720"/>
        <w:jc w:val="both"/>
        <w:rPr>
          <w:b/>
          <w:bCs/>
          <w:sz w:val="6"/>
          <w:szCs w:val="6"/>
        </w:rPr>
      </w:pPr>
    </w:p>
    <w:p w:rsidR="005E541F" w:rsidRPr="00467F9C" w:rsidRDefault="005E541F" w:rsidP="00191861">
      <w:pPr>
        <w:ind w:firstLine="720"/>
        <w:jc w:val="both"/>
        <w:rPr>
          <w:b/>
          <w:bCs/>
          <w:sz w:val="28"/>
          <w:szCs w:val="28"/>
        </w:rPr>
      </w:pPr>
      <w:r w:rsidRPr="00467F9C">
        <w:rPr>
          <w:b/>
          <w:bCs/>
          <w:sz w:val="28"/>
          <w:szCs w:val="28"/>
        </w:rPr>
        <w:t>Вопросы контрольного мероприятия:</w:t>
      </w:r>
    </w:p>
    <w:p w:rsidR="005E541F" w:rsidRPr="00467F9C" w:rsidRDefault="005E541F" w:rsidP="00191861">
      <w:pPr>
        <w:pStyle w:val="af"/>
        <w:spacing w:after="0" w:line="240" w:lineRule="auto"/>
        <w:ind w:left="0" w:right="-2" w:firstLine="709"/>
        <w:jc w:val="both"/>
        <w:rPr>
          <w:rFonts w:ascii="Times New Roman" w:hAnsi="Times New Roman" w:cs="Times New Roman"/>
          <w:sz w:val="28"/>
          <w:szCs w:val="28"/>
        </w:rPr>
      </w:pPr>
      <w:r w:rsidRPr="00467F9C">
        <w:rPr>
          <w:rFonts w:ascii="Times New Roman" w:hAnsi="Times New Roman" w:cs="Times New Roman"/>
          <w:sz w:val="28"/>
          <w:szCs w:val="28"/>
        </w:rPr>
        <w:t>1. Организация ведения бюджетного учета, составления и представления бюджетной отчетности.</w:t>
      </w:r>
    </w:p>
    <w:p w:rsidR="005E541F" w:rsidRPr="00467F9C" w:rsidRDefault="005E541F" w:rsidP="00191861">
      <w:pPr>
        <w:ind w:right="-2" w:firstLine="709"/>
        <w:jc w:val="both"/>
        <w:rPr>
          <w:sz w:val="28"/>
          <w:szCs w:val="28"/>
        </w:rPr>
      </w:pPr>
      <w:r w:rsidRPr="00467F9C">
        <w:rPr>
          <w:sz w:val="28"/>
          <w:szCs w:val="28"/>
        </w:rPr>
        <w:t>2. Анализ основных показателей годовой бюджетной отчетности.</w:t>
      </w:r>
    </w:p>
    <w:p w:rsidR="005E541F" w:rsidRPr="00467F9C" w:rsidRDefault="005E541F" w:rsidP="00191861">
      <w:pPr>
        <w:autoSpaceDE w:val="0"/>
        <w:autoSpaceDN w:val="0"/>
        <w:adjustRightInd w:val="0"/>
        <w:ind w:firstLine="709"/>
        <w:jc w:val="both"/>
        <w:rPr>
          <w:bCs/>
          <w:sz w:val="28"/>
          <w:szCs w:val="28"/>
        </w:rPr>
      </w:pPr>
      <w:r w:rsidRPr="00467F9C">
        <w:rPr>
          <w:sz w:val="28"/>
          <w:szCs w:val="28"/>
        </w:rPr>
        <w:t>3. Анализ и</w:t>
      </w:r>
      <w:r w:rsidRPr="00467F9C">
        <w:rPr>
          <w:bCs/>
          <w:sz w:val="28"/>
          <w:szCs w:val="28"/>
        </w:rPr>
        <w:t>сполнения бюджетных назначений.</w:t>
      </w:r>
    </w:p>
    <w:p w:rsidR="005E541F" w:rsidRPr="00A101D0" w:rsidRDefault="005E541F" w:rsidP="00191861">
      <w:pPr>
        <w:ind w:right="-2" w:firstLine="709"/>
        <w:jc w:val="both"/>
        <w:rPr>
          <w:b/>
          <w:bCs/>
          <w:sz w:val="16"/>
          <w:szCs w:val="16"/>
        </w:rPr>
      </w:pPr>
    </w:p>
    <w:p w:rsidR="005E541F" w:rsidRPr="00467F9C" w:rsidRDefault="005E541F" w:rsidP="00191861">
      <w:pPr>
        <w:ind w:right="-2" w:firstLine="709"/>
        <w:jc w:val="both"/>
        <w:rPr>
          <w:sz w:val="28"/>
          <w:szCs w:val="28"/>
        </w:rPr>
      </w:pPr>
      <w:r w:rsidRPr="00467F9C">
        <w:rPr>
          <w:b/>
          <w:bCs/>
          <w:sz w:val="28"/>
          <w:szCs w:val="28"/>
        </w:rPr>
        <w:t xml:space="preserve">Объект контрольного мероприятия: </w:t>
      </w:r>
      <w:r w:rsidRPr="00467F9C">
        <w:rPr>
          <w:sz w:val="28"/>
          <w:szCs w:val="28"/>
        </w:rPr>
        <w:t>Чукотский территориальный фонд обязательного медицинского страхования</w:t>
      </w:r>
      <w:r w:rsidRPr="00467F9C">
        <w:rPr>
          <w:rStyle w:val="ab"/>
          <w:sz w:val="28"/>
          <w:szCs w:val="28"/>
        </w:rPr>
        <w:footnoteReference w:id="3"/>
      </w:r>
      <w:r w:rsidRPr="00467F9C">
        <w:rPr>
          <w:sz w:val="28"/>
          <w:szCs w:val="28"/>
        </w:rPr>
        <w:t xml:space="preserve"> (далее – Фонд).</w:t>
      </w:r>
    </w:p>
    <w:p w:rsidR="005E541F" w:rsidRPr="00467F9C" w:rsidRDefault="005E541F" w:rsidP="00191861">
      <w:pPr>
        <w:ind w:right="-2" w:firstLine="709"/>
        <w:jc w:val="both"/>
        <w:rPr>
          <w:b/>
          <w:bCs/>
          <w:sz w:val="16"/>
          <w:szCs w:val="16"/>
        </w:rPr>
      </w:pPr>
    </w:p>
    <w:p w:rsidR="005E541F" w:rsidRPr="00467F9C" w:rsidRDefault="005E541F" w:rsidP="00191861">
      <w:pPr>
        <w:ind w:right="-2" w:firstLine="709"/>
        <w:jc w:val="both"/>
        <w:rPr>
          <w:sz w:val="28"/>
          <w:szCs w:val="28"/>
        </w:rPr>
      </w:pPr>
      <w:r w:rsidRPr="00467F9C">
        <w:rPr>
          <w:b/>
          <w:bCs/>
          <w:sz w:val="28"/>
          <w:szCs w:val="28"/>
        </w:rPr>
        <w:t>Проверяемый период:</w:t>
      </w:r>
      <w:r w:rsidRPr="00467F9C">
        <w:rPr>
          <w:sz w:val="28"/>
          <w:szCs w:val="28"/>
        </w:rPr>
        <w:t xml:space="preserve"> 2021 год.</w:t>
      </w:r>
    </w:p>
    <w:p w:rsidR="005E541F" w:rsidRPr="00467F9C" w:rsidRDefault="005E541F" w:rsidP="00191861">
      <w:pPr>
        <w:ind w:right="-2" w:firstLine="709"/>
        <w:jc w:val="both"/>
        <w:rPr>
          <w:sz w:val="8"/>
          <w:szCs w:val="8"/>
        </w:rPr>
      </w:pPr>
    </w:p>
    <w:p w:rsidR="005E541F" w:rsidRPr="00467F9C" w:rsidRDefault="005E541F" w:rsidP="00191861">
      <w:pPr>
        <w:ind w:right="-2" w:firstLine="709"/>
        <w:jc w:val="both"/>
        <w:rPr>
          <w:b/>
          <w:sz w:val="16"/>
          <w:szCs w:val="16"/>
        </w:rPr>
      </w:pPr>
    </w:p>
    <w:p w:rsidR="005E541F" w:rsidRPr="00467F9C" w:rsidRDefault="005E541F" w:rsidP="00191861">
      <w:pPr>
        <w:ind w:right="-2" w:firstLine="709"/>
        <w:jc w:val="both"/>
        <w:rPr>
          <w:sz w:val="28"/>
          <w:szCs w:val="28"/>
        </w:rPr>
      </w:pPr>
      <w:r w:rsidRPr="00467F9C">
        <w:rPr>
          <w:b/>
          <w:sz w:val="28"/>
          <w:szCs w:val="28"/>
        </w:rPr>
        <w:t>Срок проведения контрольного мероприятия:</w:t>
      </w:r>
      <w:r w:rsidRPr="00467F9C">
        <w:rPr>
          <w:sz w:val="28"/>
          <w:szCs w:val="28"/>
        </w:rPr>
        <w:t xml:space="preserve"> с 8 по 18 апреля 2022 года.</w:t>
      </w:r>
    </w:p>
    <w:p w:rsidR="005E541F" w:rsidRPr="00467F9C" w:rsidRDefault="005E541F" w:rsidP="00191861">
      <w:pPr>
        <w:ind w:firstLine="708"/>
        <w:jc w:val="both"/>
        <w:rPr>
          <w:sz w:val="12"/>
          <w:szCs w:val="12"/>
        </w:rPr>
      </w:pPr>
      <w:bookmarkStart w:id="3" w:name="_Hlk100907673"/>
    </w:p>
    <w:bookmarkEnd w:id="3"/>
    <w:p w:rsidR="005E541F" w:rsidRPr="00467F9C" w:rsidRDefault="005E541F" w:rsidP="00191861">
      <w:pPr>
        <w:autoSpaceDE w:val="0"/>
        <w:autoSpaceDN w:val="0"/>
        <w:adjustRightInd w:val="0"/>
        <w:ind w:firstLine="708"/>
        <w:jc w:val="both"/>
        <w:rPr>
          <w:sz w:val="28"/>
          <w:szCs w:val="28"/>
        </w:rPr>
      </w:pPr>
      <w:r w:rsidRPr="00467F9C">
        <w:rPr>
          <w:sz w:val="28"/>
          <w:szCs w:val="28"/>
        </w:rPr>
        <w:t>Проверка проведена на основании бюджетной отчетности Фонда за 2021 год и иных документов, представленных Фондом по запросам Счетной палаты, без выхода на объект контроля.</w:t>
      </w:r>
    </w:p>
    <w:p w:rsidR="005E541F" w:rsidRPr="00467F9C" w:rsidRDefault="005E541F" w:rsidP="00191861">
      <w:pPr>
        <w:jc w:val="both"/>
        <w:rPr>
          <w:sz w:val="28"/>
          <w:szCs w:val="28"/>
        </w:rPr>
      </w:pPr>
    </w:p>
    <w:p w:rsidR="005E541F" w:rsidRPr="00467F9C" w:rsidRDefault="005E541F" w:rsidP="00191861"/>
    <w:p w:rsidR="005E541F" w:rsidRPr="00467F9C" w:rsidRDefault="005E541F" w:rsidP="00191861">
      <w:pPr>
        <w:jc w:val="both"/>
        <w:rPr>
          <w:b/>
          <w:bCs/>
          <w:sz w:val="28"/>
          <w:szCs w:val="28"/>
        </w:rPr>
      </w:pPr>
    </w:p>
    <w:p w:rsidR="005E541F" w:rsidRPr="00467F9C" w:rsidRDefault="005E541F" w:rsidP="00191861">
      <w:pPr>
        <w:ind w:firstLine="540"/>
        <w:jc w:val="both"/>
        <w:rPr>
          <w:b/>
          <w:bCs/>
          <w:sz w:val="28"/>
          <w:szCs w:val="28"/>
        </w:rPr>
      </w:pPr>
    </w:p>
    <w:p w:rsidR="005E541F" w:rsidRPr="00467F9C" w:rsidRDefault="005E541F" w:rsidP="00191861">
      <w:pPr>
        <w:ind w:firstLine="540"/>
        <w:jc w:val="both"/>
        <w:rPr>
          <w:b/>
          <w:bCs/>
          <w:sz w:val="28"/>
          <w:szCs w:val="28"/>
        </w:rPr>
      </w:pPr>
      <w:r w:rsidRPr="00467F9C">
        <w:rPr>
          <w:b/>
          <w:bCs/>
          <w:sz w:val="28"/>
          <w:szCs w:val="28"/>
        </w:rPr>
        <w:lastRenderedPageBreak/>
        <w:t>Краткая характеристика проверяемой сферы формирования и использования государственных средств и деятельности объекта контрольного мероприятия</w:t>
      </w:r>
    </w:p>
    <w:p w:rsidR="005E541F" w:rsidRPr="00467F9C" w:rsidRDefault="005E541F" w:rsidP="00191861">
      <w:pPr>
        <w:ind w:firstLine="540"/>
        <w:jc w:val="both"/>
        <w:rPr>
          <w:b/>
          <w:bCs/>
          <w:sz w:val="16"/>
          <w:szCs w:val="16"/>
        </w:rPr>
      </w:pPr>
    </w:p>
    <w:p w:rsidR="005E541F" w:rsidRPr="00467F9C" w:rsidRDefault="005E541F" w:rsidP="00191861">
      <w:pPr>
        <w:autoSpaceDE w:val="0"/>
        <w:autoSpaceDN w:val="0"/>
        <w:adjustRightInd w:val="0"/>
        <w:ind w:firstLine="708"/>
        <w:jc w:val="both"/>
        <w:rPr>
          <w:sz w:val="28"/>
          <w:szCs w:val="28"/>
        </w:rPr>
      </w:pPr>
      <w:r w:rsidRPr="00467F9C">
        <w:rPr>
          <w:sz w:val="28"/>
          <w:szCs w:val="28"/>
        </w:rPr>
        <w:t>Управление средствами обязательного медицинского страхования на территории Чукотского автономного округа,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Чукотского автономного округа, осуществляет Чукотский территориальный фонд обязательного медицинского страхования.</w:t>
      </w:r>
    </w:p>
    <w:p w:rsidR="005E541F" w:rsidRPr="00467F9C" w:rsidRDefault="005E541F" w:rsidP="00191861">
      <w:pPr>
        <w:autoSpaceDE w:val="0"/>
        <w:autoSpaceDN w:val="0"/>
        <w:adjustRightInd w:val="0"/>
        <w:ind w:firstLine="708"/>
        <w:jc w:val="both"/>
        <w:rPr>
          <w:sz w:val="28"/>
          <w:szCs w:val="28"/>
        </w:rPr>
      </w:pPr>
      <w:r w:rsidRPr="00467F9C">
        <w:rPr>
          <w:sz w:val="28"/>
          <w:szCs w:val="28"/>
        </w:rPr>
        <w:t>Фонд является некоммерческой организацией, созданной в соответствии с законодательством Российской Федерации для реализации государственной политики в сфере обязательного медицинского страхования</w:t>
      </w:r>
      <w:r w:rsidRPr="00467F9C">
        <w:rPr>
          <w:rStyle w:val="ab"/>
          <w:sz w:val="28"/>
          <w:szCs w:val="28"/>
        </w:rPr>
        <w:footnoteReference w:id="4"/>
      </w:r>
      <w:r w:rsidRPr="00467F9C">
        <w:rPr>
          <w:sz w:val="28"/>
          <w:szCs w:val="28"/>
        </w:rPr>
        <w:t xml:space="preserve"> на территории Чукотского автономного округа.</w:t>
      </w:r>
    </w:p>
    <w:p w:rsidR="005E541F" w:rsidRPr="00467F9C" w:rsidRDefault="005E541F" w:rsidP="00191861">
      <w:pPr>
        <w:pStyle w:val="ConsPlusNormal"/>
        <w:ind w:firstLine="708"/>
        <w:jc w:val="both"/>
        <w:rPr>
          <w:rFonts w:ascii="Times New Roman" w:hAnsi="Times New Roman" w:cs="Times New Roman"/>
          <w:sz w:val="28"/>
          <w:szCs w:val="28"/>
        </w:rPr>
      </w:pPr>
      <w:r w:rsidRPr="00467F9C">
        <w:rPr>
          <w:rFonts w:ascii="Times New Roman" w:hAnsi="Times New Roman" w:cs="Times New Roman"/>
          <w:sz w:val="28"/>
          <w:szCs w:val="28"/>
        </w:rPr>
        <w:t>Фонд в своей деятельности подотчетен Правительству Чукотского автономного округа и Федеральному фонду обязательного медицинского страхования</w:t>
      </w:r>
      <w:r w:rsidRPr="00467F9C">
        <w:rPr>
          <w:rStyle w:val="ab"/>
          <w:rFonts w:ascii="Times New Roman" w:hAnsi="Times New Roman" w:cs="Times New Roman"/>
          <w:sz w:val="28"/>
          <w:szCs w:val="28"/>
        </w:rPr>
        <w:footnoteReference w:id="5"/>
      </w:r>
      <w:r w:rsidRPr="00467F9C">
        <w:rPr>
          <w:rFonts w:ascii="Times New Roman" w:hAnsi="Times New Roman" w:cs="Times New Roman"/>
          <w:sz w:val="28"/>
          <w:szCs w:val="28"/>
        </w:rPr>
        <w:t xml:space="preserve"> и действует на основании Положения</w:t>
      </w:r>
      <w:r w:rsidRPr="00467F9C">
        <w:rPr>
          <w:rStyle w:val="ab"/>
          <w:rFonts w:ascii="Times New Roman" w:hAnsi="Times New Roman" w:cs="Times New Roman"/>
          <w:sz w:val="28"/>
          <w:szCs w:val="28"/>
        </w:rPr>
        <w:footnoteReference w:id="6"/>
      </w:r>
      <w:r w:rsidRPr="00467F9C">
        <w:rPr>
          <w:rFonts w:ascii="Times New Roman" w:hAnsi="Times New Roman" w:cs="Times New Roman"/>
          <w:sz w:val="28"/>
          <w:szCs w:val="28"/>
        </w:rPr>
        <w:t xml:space="preserve">. </w:t>
      </w:r>
    </w:p>
    <w:p w:rsidR="005E541F" w:rsidRPr="00467F9C" w:rsidRDefault="005E541F" w:rsidP="00191861">
      <w:pPr>
        <w:autoSpaceDE w:val="0"/>
        <w:autoSpaceDN w:val="0"/>
        <w:adjustRightInd w:val="0"/>
        <w:ind w:firstLine="708"/>
        <w:jc w:val="both"/>
        <w:rPr>
          <w:sz w:val="28"/>
          <w:szCs w:val="28"/>
        </w:rPr>
      </w:pPr>
      <w:r w:rsidRPr="00467F9C">
        <w:rPr>
          <w:sz w:val="28"/>
          <w:szCs w:val="28"/>
        </w:rPr>
        <w:t>Фонд является юридическим лицом (ОГРН: 1028700587046; ИНН: 8700000321), имеет лицевые счета, открытые в Управлении федерального казначейства по Чукотскому автономному округу.</w:t>
      </w:r>
    </w:p>
    <w:p w:rsidR="005E541F" w:rsidRPr="00467F9C" w:rsidRDefault="005E541F" w:rsidP="00191861">
      <w:pPr>
        <w:autoSpaceDE w:val="0"/>
        <w:autoSpaceDN w:val="0"/>
        <w:adjustRightInd w:val="0"/>
        <w:ind w:firstLine="708"/>
        <w:jc w:val="both"/>
        <w:rPr>
          <w:sz w:val="28"/>
          <w:szCs w:val="28"/>
        </w:rPr>
      </w:pPr>
      <w:r w:rsidRPr="00467F9C">
        <w:rPr>
          <w:sz w:val="28"/>
          <w:szCs w:val="28"/>
        </w:rPr>
        <w:t xml:space="preserve">Местонахождение Фонда и его юридический адрес: 689000, Чукотский автономный округ, город Анадырь, улица </w:t>
      </w:r>
      <w:proofErr w:type="spellStart"/>
      <w:r w:rsidRPr="00467F9C">
        <w:rPr>
          <w:sz w:val="28"/>
          <w:szCs w:val="28"/>
        </w:rPr>
        <w:t>Отке</w:t>
      </w:r>
      <w:proofErr w:type="spellEnd"/>
      <w:r w:rsidRPr="00467F9C">
        <w:rPr>
          <w:sz w:val="28"/>
          <w:szCs w:val="28"/>
        </w:rPr>
        <w:t>, дом 39.</w:t>
      </w:r>
    </w:p>
    <w:p w:rsidR="005E541F" w:rsidRPr="00467F9C" w:rsidRDefault="005E541F" w:rsidP="00191861">
      <w:pPr>
        <w:pStyle w:val="ConsPlusNormal"/>
        <w:ind w:firstLine="708"/>
        <w:jc w:val="both"/>
        <w:rPr>
          <w:rFonts w:ascii="Times New Roman" w:hAnsi="Times New Roman" w:cs="Times New Roman"/>
          <w:sz w:val="28"/>
          <w:szCs w:val="28"/>
        </w:rPr>
      </w:pPr>
      <w:r w:rsidRPr="00467F9C">
        <w:rPr>
          <w:rFonts w:ascii="Times New Roman" w:hAnsi="Times New Roman" w:cs="Times New Roman"/>
          <w:sz w:val="28"/>
          <w:szCs w:val="28"/>
        </w:rPr>
        <w:t>Деятельность Фонда в отчетном периоде осуществлялась в рамках Федерального закона №326-ФЗ</w:t>
      </w:r>
      <w:r w:rsidRPr="00467F9C">
        <w:rPr>
          <w:rStyle w:val="ab"/>
          <w:rFonts w:ascii="Times New Roman" w:hAnsi="Times New Roman" w:cs="Times New Roman"/>
          <w:sz w:val="28"/>
          <w:szCs w:val="28"/>
        </w:rPr>
        <w:footnoteReference w:id="7"/>
      </w:r>
      <w:r w:rsidRPr="00467F9C">
        <w:rPr>
          <w:rFonts w:ascii="Times New Roman" w:hAnsi="Times New Roman" w:cs="Times New Roman"/>
          <w:sz w:val="28"/>
          <w:szCs w:val="28"/>
        </w:rPr>
        <w:t>, Территориальной программы государственных гарантий бесплатного оказания гражданам медицинской помощи на 2021 год и на плановый период 2022 и 2023 годов в Чукотском автономном округе</w:t>
      </w:r>
      <w:r w:rsidRPr="00467F9C">
        <w:rPr>
          <w:rStyle w:val="ab"/>
          <w:rFonts w:ascii="Times New Roman" w:hAnsi="Times New Roman" w:cs="Times New Roman"/>
          <w:sz w:val="28"/>
          <w:szCs w:val="28"/>
        </w:rPr>
        <w:footnoteReference w:id="8"/>
      </w:r>
      <w:r w:rsidRPr="00467F9C">
        <w:rPr>
          <w:rFonts w:ascii="Times New Roman" w:hAnsi="Times New Roman" w:cs="Times New Roman"/>
          <w:sz w:val="28"/>
          <w:szCs w:val="28"/>
        </w:rPr>
        <w:t>, Закона Чукотского автономного округа от 16 декабря 2020 года №75-ОЗ «О бюджете Чукотского территориального фонда обязательного медицинского страхования на 2021 год и на плановый период 2022 и 2023 годов»</w:t>
      </w:r>
      <w:r w:rsidRPr="00467F9C">
        <w:rPr>
          <w:rStyle w:val="ab"/>
          <w:rFonts w:ascii="Times New Roman" w:hAnsi="Times New Roman" w:cs="Times New Roman"/>
          <w:sz w:val="28"/>
          <w:szCs w:val="28"/>
        </w:rPr>
        <w:footnoteReference w:id="9"/>
      </w:r>
      <w:r w:rsidRPr="00467F9C">
        <w:rPr>
          <w:rFonts w:ascii="Times New Roman" w:hAnsi="Times New Roman" w:cs="Times New Roman"/>
          <w:sz w:val="28"/>
          <w:szCs w:val="28"/>
        </w:rPr>
        <w:t xml:space="preserve"> и   нормативных правовых актов, регламентирующих правоотношения в сфере ОМС.</w:t>
      </w:r>
    </w:p>
    <w:p w:rsidR="005E541F" w:rsidRPr="00467F9C" w:rsidRDefault="005E541F" w:rsidP="00191861">
      <w:pPr>
        <w:autoSpaceDE w:val="0"/>
        <w:autoSpaceDN w:val="0"/>
        <w:adjustRightInd w:val="0"/>
        <w:ind w:firstLine="540"/>
        <w:jc w:val="both"/>
        <w:rPr>
          <w:sz w:val="28"/>
          <w:szCs w:val="28"/>
        </w:rPr>
      </w:pPr>
      <w:r w:rsidRPr="00467F9C">
        <w:rPr>
          <w:sz w:val="28"/>
          <w:szCs w:val="28"/>
        </w:rPr>
        <w:t>Основными задачами Фонда являются:</w:t>
      </w:r>
    </w:p>
    <w:p w:rsidR="005E541F" w:rsidRPr="00467F9C" w:rsidRDefault="005E541F" w:rsidP="00191861">
      <w:pPr>
        <w:autoSpaceDE w:val="0"/>
        <w:autoSpaceDN w:val="0"/>
        <w:adjustRightInd w:val="0"/>
        <w:ind w:firstLine="540"/>
        <w:jc w:val="both"/>
        <w:rPr>
          <w:sz w:val="28"/>
          <w:szCs w:val="28"/>
        </w:rPr>
      </w:pPr>
      <w:r w:rsidRPr="00467F9C">
        <w:rPr>
          <w:sz w:val="28"/>
          <w:szCs w:val="28"/>
        </w:rPr>
        <w:t>- обеспечение предусмотренных законодательством Российской Федерации прав граждан в системе ОМС;</w:t>
      </w:r>
    </w:p>
    <w:p w:rsidR="005E541F" w:rsidRPr="00467F9C" w:rsidRDefault="005E541F" w:rsidP="00191861">
      <w:pPr>
        <w:autoSpaceDE w:val="0"/>
        <w:autoSpaceDN w:val="0"/>
        <w:adjustRightInd w:val="0"/>
        <w:ind w:firstLine="540"/>
        <w:jc w:val="both"/>
        <w:rPr>
          <w:sz w:val="28"/>
          <w:szCs w:val="28"/>
        </w:rPr>
      </w:pPr>
      <w:r w:rsidRPr="00467F9C">
        <w:rPr>
          <w:sz w:val="28"/>
          <w:szCs w:val="28"/>
        </w:rPr>
        <w:t>- обеспечение гарантий бесплатного оказания застрахованным лицам медицинской помощи при наступлении страхового случая в рамках территориальной программы ОМС и базовой программы ОМС;</w:t>
      </w:r>
    </w:p>
    <w:p w:rsidR="005E541F" w:rsidRPr="00467F9C" w:rsidRDefault="005E541F" w:rsidP="00191861">
      <w:pPr>
        <w:autoSpaceDE w:val="0"/>
        <w:autoSpaceDN w:val="0"/>
        <w:adjustRightInd w:val="0"/>
        <w:ind w:firstLine="540"/>
        <w:jc w:val="both"/>
        <w:rPr>
          <w:sz w:val="28"/>
          <w:szCs w:val="28"/>
        </w:rPr>
      </w:pPr>
      <w:r w:rsidRPr="00467F9C">
        <w:rPr>
          <w:sz w:val="28"/>
          <w:szCs w:val="28"/>
        </w:rPr>
        <w:lastRenderedPageBreak/>
        <w:t>- создание условий для обеспечения доступности и качества медицинской помощи, оказываемой в рамках программ ОМС;</w:t>
      </w:r>
    </w:p>
    <w:p w:rsidR="005E541F" w:rsidRPr="00467F9C" w:rsidRDefault="005E541F" w:rsidP="00191861">
      <w:pPr>
        <w:autoSpaceDE w:val="0"/>
        <w:autoSpaceDN w:val="0"/>
        <w:adjustRightInd w:val="0"/>
        <w:ind w:firstLine="540"/>
        <w:jc w:val="both"/>
        <w:rPr>
          <w:sz w:val="28"/>
          <w:szCs w:val="28"/>
        </w:rPr>
      </w:pPr>
      <w:r w:rsidRPr="00467F9C">
        <w:rPr>
          <w:sz w:val="28"/>
          <w:szCs w:val="28"/>
        </w:rPr>
        <w:t>- обеспечение государственных гарантий соблюдения прав застрахованных лиц на исполнение обязательств по ОМС в рамках базовой программы ОМС независимо от финансового положения страховщика.</w:t>
      </w:r>
    </w:p>
    <w:p w:rsidR="005E541F" w:rsidRPr="00467F9C" w:rsidRDefault="005E541F" w:rsidP="00191861">
      <w:pPr>
        <w:autoSpaceDE w:val="0"/>
        <w:autoSpaceDN w:val="0"/>
        <w:adjustRightInd w:val="0"/>
        <w:ind w:firstLine="709"/>
        <w:jc w:val="both"/>
        <w:outlineLvl w:val="0"/>
        <w:rPr>
          <w:sz w:val="28"/>
          <w:szCs w:val="28"/>
        </w:rPr>
      </w:pPr>
      <w:r w:rsidRPr="00467F9C">
        <w:rPr>
          <w:sz w:val="28"/>
          <w:szCs w:val="28"/>
        </w:rPr>
        <w:t xml:space="preserve">В соответствии с Законом о бюджете Фонда, Фонд является </w:t>
      </w:r>
      <w:r w:rsidRPr="00467F9C">
        <w:rPr>
          <w:bCs/>
          <w:sz w:val="28"/>
          <w:szCs w:val="28"/>
        </w:rPr>
        <w:t xml:space="preserve">главным администратором доходов бюджета Фонда, главным администратором источников финансирования дефицита бюджета Фонда </w:t>
      </w:r>
      <w:r w:rsidRPr="00467F9C">
        <w:rPr>
          <w:sz w:val="28"/>
          <w:szCs w:val="28"/>
        </w:rPr>
        <w:t>(код главного администратора – 395).</w:t>
      </w:r>
    </w:p>
    <w:p w:rsidR="005E541F" w:rsidRPr="00467F9C" w:rsidRDefault="005E541F" w:rsidP="00191861">
      <w:pPr>
        <w:autoSpaceDE w:val="0"/>
        <w:autoSpaceDN w:val="0"/>
        <w:adjustRightInd w:val="0"/>
        <w:ind w:firstLine="709"/>
        <w:jc w:val="both"/>
        <w:outlineLvl w:val="0"/>
        <w:rPr>
          <w:sz w:val="28"/>
          <w:szCs w:val="28"/>
        </w:rPr>
      </w:pPr>
      <w:r w:rsidRPr="00467F9C">
        <w:rPr>
          <w:sz w:val="28"/>
          <w:szCs w:val="28"/>
        </w:rPr>
        <w:t>В системе ОМС Чукотского автономного округа функции страховщика в отчетном периоде осуществляла страховая компания Чукотский филиал АО «Страховая компания «СОГАЗ-Мед»</w:t>
      </w:r>
      <w:r w:rsidRPr="00467F9C">
        <w:rPr>
          <w:rStyle w:val="ab"/>
          <w:sz w:val="28"/>
          <w:szCs w:val="28"/>
        </w:rPr>
        <w:footnoteReference w:id="10"/>
      </w:r>
      <w:r w:rsidRPr="00467F9C">
        <w:rPr>
          <w:sz w:val="28"/>
          <w:szCs w:val="28"/>
        </w:rPr>
        <w:t xml:space="preserve"> на основании договора о финансовом обеспечении ОМС, заключенного с Фондом. </w:t>
      </w:r>
    </w:p>
    <w:p w:rsidR="005E541F" w:rsidRPr="00467F9C" w:rsidRDefault="005E541F" w:rsidP="00191861">
      <w:pPr>
        <w:autoSpaceDE w:val="0"/>
        <w:autoSpaceDN w:val="0"/>
        <w:adjustRightInd w:val="0"/>
        <w:ind w:firstLine="708"/>
        <w:jc w:val="both"/>
        <w:rPr>
          <w:sz w:val="28"/>
          <w:szCs w:val="28"/>
        </w:rPr>
      </w:pPr>
      <w:r w:rsidRPr="00467F9C">
        <w:rPr>
          <w:sz w:val="28"/>
          <w:szCs w:val="28"/>
        </w:rPr>
        <w:t xml:space="preserve">В соответствии с </w:t>
      </w:r>
      <w:proofErr w:type="spellStart"/>
      <w:r w:rsidRPr="00467F9C">
        <w:rPr>
          <w:sz w:val="28"/>
          <w:szCs w:val="28"/>
        </w:rPr>
        <w:t>Тепрограммой</w:t>
      </w:r>
      <w:proofErr w:type="spellEnd"/>
      <w:r w:rsidRPr="00467F9C">
        <w:rPr>
          <w:sz w:val="28"/>
          <w:szCs w:val="28"/>
        </w:rPr>
        <w:t xml:space="preserve"> в реестре медицинских организаций, осуществляющих деятельность в сфере ОМС на территории Чукотского автономного округа в 2021 году, числились 3 медицинские организации, в том числе: ГБУЗ «Чукотская окружная больница»; ФКУЗ «Медико-санитарная часть МВД РФ по Чукотскому автономному округу» и ФГБУЗ «Медико-санитарная часть №4 ФМБА России». </w:t>
      </w:r>
    </w:p>
    <w:p w:rsidR="005E541F" w:rsidRPr="00467F9C" w:rsidRDefault="005E541F" w:rsidP="00191861">
      <w:pPr>
        <w:autoSpaceDE w:val="0"/>
        <w:autoSpaceDN w:val="0"/>
        <w:adjustRightInd w:val="0"/>
        <w:ind w:firstLine="708"/>
        <w:jc w:val="both"/>
        <w:rPr>
          <w:sz w:val="28"/>
          <w:szCs w:val="28"/>
        </w:rPr>
      </w:pPr>
      <w:r w:rsidRPr="00467F9C">
        <w:rPr>
          <w:sz w:val="28"/>
          <w:szCs w:val="28"/>
        </w:rPr>
        <w:t xml:space="preserve">В течение 2021 года счета (реестры счетов) за оказанную гражданам медицинскую помощь по ОМС представлялись Фонду только двумя учреждениями – ГБУЗ «Чукотская окружная больница» и ФГБУЗ «Медико-санитарная часть №4 ФМБА России». ФКУЗ «Медико-санитарная часть МВД РФ по Чукотскому автономному округу» не осуществляло в отчетном периоде деятельность в сфере ОМС (не оказывало гражданам медицинскую помощь, подлежащую оплате за счет средств ОМС). В то же время в пояснительной записке (форма 0503160 в составе бюджетной отчетности) в </w:t>
      </w:r>
      <w:proofErr w:type="gramStart"/>
      <w:r w:rsidRPr="00467F9C">
        <w:rPr>
          <w:sz w:val="28"/>
          <w:szCs w:val="28"/>
        </w:rPr>
        <w:t xml:space="preserve">разделе  </w:t>
      </w:r>
      <w:r w:rsidRPr="00467F9C">
        <w:rPr>
          <w:sz w:val="28"/>
          <w:szCs w:val="28"/>
          <w:lang w:val="en-US"/>
        </w:rPr>
        <w:t>II</w:t>
      </w:r>
      <w:proofErr w:type="gramEnd"/>
      <w:r w:rsidRPr="00467F9C">
        <w:rPr>
          <w:sz w:val="28"/>
          <w:szCs w:val="28"/>
        </w:rPr>
        <w:t>. «Результаты деятельности территориального фонда» отражено, что ФКУЗ «Медико-санитарная часть МВД РФ по Чукотскому автономному округу» действовало в системе ОМС и получало средства ОМС в 2021 году.</w:t>
      </w:r>
    </w:p>
    <w:p w:rsidR="005E541F" w:rsidRPr="00467F9C" w:rsidRDefault="005E541F" w:rsidP="00191861">
      <w:pPr>
        <w:autoSpaceDE w:val="0"/>
        <w:autoSpaceDN w:val="0"/>
        <w:adjustRightInd w:val="0"/>
        <w:ind w:firstLine="709"/>
        <w:jc w:val="both"/>
        <w:outlineLvl w:val="0"/>
        <w:rPr>
          <w:sz w:val="8"/>
          <w:szCs w:val="8"/>
        </w:rPr>
      </w:pPr>
    </w:p>
    <w:p w:rsidR="00A101D0" w:rsidRDefault="00A101D0" w:rsidP="00191861">
      <w:pPr>
        <w:pStyle w:val="af"/>
        <w:spacing w:after="0" w:line="240" w:lineRule="auto"/>
        <w:ind w:left="0" w:right="-2" w:firstLine="709"/>
        <w:jc w:val="both"/>
        <w:rPr>
          <w:rFonts w:ascii="Times New Roman" w:hAnsi="Times New Roman" w:cs="Times New Roman"/>
          <w:b/>
          <w:sz w:val="28"/>
          <w:szCs w:val="28"/>
        </w:rPr>
      </w:pPr>
    </w:p>
    <w:p w:rsidR="005E541F" w:rsidRPr="00467F9C" w:rsidRDefault="005E541F" w:rsidP="00191861">
      <w:pPr>
        <w:pStyle w:val="af"/>
        <w:spacing w:after="0" w:line="240" w:lineRule="auto"/>
        <w:ind w:left="0" w:right="-2" w:firstLine="709"/>
        <w:jc w:val="both"/>
        <w:rPr>
          <w:rFonts w:ascii="Times New Roman" w:hAnsi="Times New Roman" w:cs="Times New Roman"/>
          <w:b/>
          <w:sz w:val="28"/>
          <w:szCs w:val="28"/>
        </w:rPr>
      </w:pPr>
      <w:r w:rsidRPr="00467F9C">
        <w:rPr>
          <w:rFonts w:ascii="Times New Roman" w:hAnsi="Times New Roman" w:cs="Times New Roman"/>
          <w:b/>
          <w:sz w:val="28"/>
          <w:szCs w:val="28"/>
        </w:rPr>
        <w:t>1. Организация ведения бюджетного учета, составления и представления бюджетной отчетности</w:t>
      </w:r>
    </w:p>
    <w:p w:rsidR="005E541F" w:rsidRPr="00467F9C" w:rsidRDefault="005E541F" w:rsidP="00191861">
      <w:pPr>
        <w:pStyle w:val="af"/>
        <w:spacing w:after="0" w:line="240" w:lineRule="auto"/>
        <w:ind w:left="709"/>
        <w:jc w:val="both"/>
        <w:rPr>
          <w:rFonts w:ascii="Times New Roman" w:hAnsi="Times New Roman" w:cs="Times New Roman"/>
          <w:b/>
          <w:sz w:val="6"/>
          <w:szCs w:val="6"/>
        </w:rPr>
      </w:pPr>
    </w:p>
    <w:p w:rsidR="005E541F" w:rsidRPr="00467F9C" w:rsidRDefault="005E541F" w:rsidP="00191861">
      <w:pPr>
        <w:ind w:firstLine="709"/>
        <w:jc w:val="both"/>
        <w:rPr>
          <w:sz w:val="28"/>
          <w:szCs w:val="28"/>
        </w:rPr>
      </w:pPr>
      <w:r w:rsidRPr="00467F9C">
        <w:rPr>
          <w:sz w:val="28"/>
          <w:szCs w:val="28"/>
        </w:rPr>
        <w:t>В проверяемом периоде бухгалтерский учет велся Фондом в соответствии с требованиями Федерального закона от 6 декабря 2011 года №402-ФЗ «О бухгалтерском учете», приказов Минфина России: от 1 декабря 2010 года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Pr="00467F9C">
        <w:rPr>
          <w:rStyle w:val="ab"/>
          <w:sz w:val="28"/>
          <w:szCs w:val="28"/>
        </w:rPr>
        <w:footnoteReference w:id="11"/>
      </w:r>
      <w:r w:rsidRPr="00467F9C">
        <w:rPr>
          <w:sz w:val="28"/>
          <w:szCs w:val="28"/>
        </w:rPr>
        <w:t xml:space="preserve">;   от 6 декабря 2010 года №162н </w:t>
      </w:r>
      <w:r w:rsidRPr="00467F9C">
        <w:rPr>
          <w:sz w:val="28"/>
          <w:szCs w:val="28"/>
        </w:rPr>
        <w:lastRenderedPageBreak/>
        <w:t>«Об утверждении Плана счетов бюджетного учета и Инструкции по его применению».</w:t>
      </w:r>
    </w:p>
    <w:p w:rsidR="005E541F" w:rsidRPr="00467F9C" w:rsidRDefault="005E541F" w:rsidP="00191861">
      <w:pPr>
        <w:ind w:firstLine="709"/>
        <w:jc w:val="both"/>
        <w:rPr>
          <w:sz w:val="28"/>
          <w:szCs w:val="28"/>
        </w:rPr>
      </w:pPr>
      <w:r w:rsidRPr="00467F9C">
        <w:rPr>
          <w:sz w:val="28"/>
          <w:szCs w:val="28"/>
        </w:rPr>
        <w:t xml:space="preserve">Ведение бюджетного учета Фонда осуществляется структурным подразделением-отделом бухгалтерского учета, возглавляемым главным бухгалтером, в соответствии с Учетной политикой, утвержденной приказом Фонда от 30 декабря 2020 года №122-ОД. </w:t>
      </w:r>
    </w:p>
    <w:p w:rsidR="005E541F" w:rsidRPr="00467F9C" w:rsidRDefault="005E541F" w:rsidP="00191861">
      <w:pPr>
        <w:ind w:firstLine="709"/>
        <w:jc w:val="both"/>
        <w:rPr>
          <w:bCs/>
          <w:sz w:val="28"/>
          <w:szCs w:val="28"/>
        </w:rPr>
      </w:pPr>
      <w:r w:rsidRPr="00467F9C">
        <w:rPr>
          <w:bCs/>
          <w:sz w:val="28"/>
          <w:szCs w:val="28"/>
        </w:rPr>
        <w:t>При ведении бюджетного учета и составлении бюджетной отчетности использовались программные комплексы «1С: Бухгалтерия» и «Свод-Смарт».</w:t>
      </w:r>
    </w:p>
    <w:p w:rsidR="005E541F" w:rsidRPr="00467F9C" w:rsidRDefault="005E541F" w:rsidP="00191861">
      <w:pPr>
        <w:autoSpaceDE w:val="0"/>
        <w:autoSpaceDN w:val="0"/>
        <w:adjustRightInd w:val="0"/>
        <w:ind w:firstLine="708"/>
        <w:jc w:val="both"/>
        <w:rPr>
          <w:sz w:val="28"/>
          <w:szCs w:val="28"/>
        </w:rPr>
      </w:pPr>
      <w:r w:rsidRPr="00467F9C">
        <w:rPr>
          <w:sz w:val="28"/>
          <w:szCs w:val="28"/>
        </w:rPr>
        <w:t>Годовая бюджетная отчетность представлена Фондом в Счетную палату Чукотского автономного округа в срок, установленный пунктом 10 статьи 9 Закона Чукотского автономного округа от 24 мая 2002 года №31-ОЗ «О бюджетном процессе в Чукотском автономном округе».</w:t>
      </w:r>
    </w:p>
    <w:p w:rsidR="005E541F" w:rsidRPr="00467F9C" w:rsidRDefault="005E541F" w:rsidP="00191861">
      <w:pPr>
        <w:pStyle w:val="aff"/>
        <w:ind w:firstLine="709"/>
        <w:rPr>
          <w:sz w:val="28"/>
          <w:szCs w:val="28"/>
        </w:rPr>
      </w:pPr>
      <w:r w:rsidRPr="00467F9C">
        <w:rPr>
          <w:sz w:val="28"/>
          <w:szCs w:val="28"/>
        </w:rPr>
        <w:t>Отчетность за 2021 год представлена в соответствии с требованиями, установленными пунктом 4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 декабря 2010 года №191н</w:t>
      </w:r>
      <w:r w:rsidRPr="00467F9C">
        <w:rPr>
          <w:rStyle w:val="ab"/>
          <w:sz w:val="28"/>
          <w:szCs w:val="28"/>
        </w:rPr>
        <w:footnoteReference w:id="12"/>
      </w:r>
      <w:r w:rsidRPr="00467F9C">
        <w:rPr>
          <w:sz w:val="28"/>
          <w:szCs w:val="28"/>
        </w:rPr>
        <w:t xml:space="preserve"> на бумажном носителе, в сброшюрованном и пронумерованном виде с оглавлением и сопроводительным письмом. </w:t>
      </w:r>
    </w:p>
    <w:p w:rsidR="005E541F" w:rsidRPr="00467F9C" w:rsidRDefault="005E541F" w:rsidP="00191861">
      <w:pPr>
        <w:autoSpaceDE w:val="0"/>
        <w:autoSpaceDN w:val="0"/>
        <w:adjustRightInd w:val="0"/>
        <w:ind w:firstLine="709"/>
        <w:jc w:val="both"/>
        <w:rPr>
          <w:sz w:val="28"/>
          <w:szCs w:val="28"/>
        </w:rPr>
      </w:pPr>
      <w:r w:rsidRPr="00467F9C">
        <w:rPr>
          <w:sz w:val="28"/>
          <w:szCs w:val="28"/>
        </w:rPr>
        <w:t xml:space="preserve">Бюджетная отчетность Фонда за 2021 год по составу и объему соответствует требованиям пунктов 11.1, 11.2 Инструкции №191н. </w:t>
      </w:r>
    </w:p>
    <w:p w:rsidR="005E541F" w:rsidRPr="00467F9C" w:rsidRDefault="005E541F" w:rsidP="00191861">
      <w:pPr>
        <w:pStyle w:val="af8"/>
        <w:ind w:firstLine="709"/>
        <w:jc w:val="both"/>
        <w:rPr>
          <w:bCs/>
          <w:sz w:val="28"/>
          <w:szCs w:val="28"/>
        </w:rPr>
      </w:pPr>
      <w:r w:rsidRPr="00467F9C">
        <w:rPr>
          <w:sz w:val="28"/>
          <w:szCs w:val="28"/>
        </w:rPr>
        <w:t xml:space="preserve">Бюджетная классификация, используемая при составлении форм бюджетной отчетности за 2021 год, соответствует бюджетной классификации, утвержденной приказом Департамента финансов, экономики и имущественных отношений Чукотского автономного округа от 28 декабря 2020 года №200  </w:t>
      </w:r>
      <w:r w:rsidRPr="00467F9C">
        <w:rPr>
          <w:bCs/>
          <w:sz w:val="28"/>
          <w:szCs w:val="28"/>
        </w:rPr>
        <w:t>«</w:t>
      </w:r>
      <w:r w:rsidRPr="00467F9C">
        <w:rPr>
          <w:sz w:val="28"/>
          <w:szCs w:val="28"/>
        </w:rPr>
        <w:t xml:space="preserve">Об утверждении Указаний о порядке формирования и применения кодов бюджетной классификации, относящейся к окружному бюджету и бюджету Чукотского </w:t>
      </w:r>
      <w:r w:rsidRPr="00467F9C">
        <w:rPr>
          <w:bCs/>
          <w:sz w:val="28"/>
          <w:szCs w:val="28"/>
        </w:rPr>
        <w:t>территориального фонда обязательного медицинского страхования, их структуре и принципах назначения».</w:t>
      </w:r>
    </w:p>
    <w:p w:rsidR="005E541F" w:rsidRPr="00467F9C" w:rsidRDefault="005E541F" w:rsidP="00191861">
      <w:pPr>
        <w:pStyle w:val="af8"/>
        <w:ind w:firstLine="709"/>
        <w:jc w:val="both"/>
        <w:rPr>
          <w:sz w:val="28"/>
          <w:szCs w:val="28"/>
        </w:rPr>
      </w:pPr>
      <w:r w:rsidRPr="00467F9C">
        <w:rPr>
          <w:sz w:val="28"/>
          <w:szCs w:val="28"/>
        </w:rPr>
        <w:t xml:space="preserve">Показатели вступительного баланса на 1 января 2021 года, а также входящие остатки по счетам бухгалтерского учета во взаимосвязанных формах отчетности были откорректированы в </w:t>
      </w:r>
      <w:proofErr w:type="spellStart"/>
      <w:r w:rsidRPr="00467F9C">
        <w:rPr>
          <w:sz w:val="28"/>
          <w:szCs w:val="28"/>
        </w:rPr>
        <w:t>межотчетном</w:t>
      </w:r>
      <w:proofErr w:type="spellEnd"/>
      <w:r w:rsidRPr="00467F9C">
        <w:rPr>
          <w:sz w:val="28"/>
          <w:szCs w:val="28"/>
        </w:rPr>
        <w:t xml:space="preserve"> периоде, в связи с вступлением в силу СГС «Нематериальные активы», изменениями в Инструкцию №157</w:t>
      </w:r>
      <w:r w:rsidRPr="00467F9C">
        <w:rPr>
          <w:rStyle w:val="ab"/>
          <w:sz w:val="28"/>
          <w:szCs w:val="28"/>
        </w:rPr>
        <w:footnoteReference w:id="13"/>
      </w:r>
      <w:r w:rsidRPr="00467F9C">
        <w:rPr>
          <w:sz w:val="28"/>
          <w:szCs w:val="28"/>
        </w:rPr>
        <w:t xml:space="preserve">, а также в связи с исправлением ошибок, допущенных в прошлом отчетном периоде. Показатели представленных форм бюджетной отчетности взаимоувязаны, расхождения не установлены. </w:t>
      </w:r>
    </w:p>
    <w:p w:rsidR="003964A5" w:rsidRPr="00467F9C" w:rsidRDefault="003964A5" w:rsidP="00191861">
      <w:pPr>
        <w:pStyle w:val="af8"/>
        <w:ind w:firstLine="709"/>
        <w:jc w:val="both"/>
        <w:rPr>
          <w:b/>
          <w:sz w:val="28"/>
          <w:szCs w:val="28"/>
        </w:rPr>
      </w:pPr>
    </w:p>
    <w:p w:rsidR="005E541F" w:rsidRPr="00467F9C" w:rsidRDefault="005E541F" w:rsidP="00191861">
      <w:pPr>
        <w:pStyle w:val="af8"/>
        <w:ind w:firstLine="709"/>
        <w:jc w:val="both"/>
        <w:rPr>
          <w:b/>
          <w:sz w:val="28"/>
          <w:szCs w:val="28"/>
        </w:rPr>
      </w:pPr>
      <w:r w:rsidRPr="00467F9C">
        <w:rPr>
          <w:b/>
          <w:sz w:val="28"/>
          <w:szCs w:val="28"/>
        </w:rPr>
        <w:t>2. Анализ основных показателей годовой бюджетной отчетности</w:t>
      </w:r>
    </w:p>
    <w:p w:rsidR="005E541F" w:rsidRPr="00467F9C" w:rsidRDefault="005E541F" w:rsidP="00191861">
      <w:pPr>
        <w:pStyle w:val="af"/>
        <w:spacing w:after="0" w:line="240" w:lineRule="auto"/>
        <w:ind w:left="1069"/>
        <w:jc w:val="both"/>
        <w:rPr>
          <w:rFonts w:ascii="Times New Roman" w:hAnsi="Times New Roman" w:cs="Times New Roman"/>
          <w:b/>
          <w:sz w:val="8"/>
          <w:szCs w:val="8"/>
        </w:rPr>
      </w:pPr>
    </w:p>
    <w:p w:rsidR="005E541F" w:rsidRPr="00467F9C" w:rsidRDefault="005E541F" w:rsidP="00191861">
      <w:pPr>
        <w:ind w:firstLine="709"/>
        <w:jc w:val="both"/>
        <w:rPr>
          <w:sz w:val="28"/>
          <w:szCs w:val="28"/>
        </w:rPr>
      </w:pPr>
      <w:r w:rsidRPr="00467F9C">
        <w:rPr>
          <w:sz w:val="28"/>
          <w:szCs w:val="28"/>
        </w:rPr>
        <w:t xml:space="preserve">Данные формы 0503130 «Баланс главного распорядителя, распорядителя, получателя бюджетных средств, главного администратора» (далее – Баланс) Фонда по разделам и основным показателям приведены в таблице 1. </w:t>
      </w:r>
    </w:p>
    <w:p w:rsidR="005E541F" w:rsidRPr="00467F9C" w:rsidRDefault="005E541F" w:rsidP="00191861">
      <w:pPr>
        <w:ind w:firstLine="709"/>
        <w:jc w:val="right"/>
        <w:rPr>
          <w:sz w:val="8"/>
          <w:szCs w:val="8"/>
        </w:rPr>
      </w:pPr>
    </w:p>
    <w:p w:rsidR="00A101D0" w:rsidRDefault="00A101D0" w:rsidP="00191861">
      <w:pPr>
        <w:ind w:firstLine="709"/>
        <w:jc w:val="right"/>
        <w:rPr>
          <w:sz w:val="28"/>
          <w:szCs w:val="28"/>
        </w:rPr>
      </w:pPr>
    </w:p>
    <w:p w:rsidR="00A101D0" w:rsidRDefault="00A101D0" w:rsidP="00191861">
      <w:pPr>
        <w:ind w:firstLine="709"/>
        <w:jc w:val="right"/>
        <w:rPr>
          <w:sz w:val="28"/>
          <w:szCs w:val="28"/>
        </w:rPr>
      </w:pPr>
    </w:p>
    <w:p w:rsidR="00A101D0" w:rsidRDefault="00A101D0" w:rsidP="00191861">
      <w:pPr>
        <w:ind w:firstLine="709"/>
        <w:jc w:val="right"/>
        <w:rPr>
          <w:sz w:val="28"/>
          <w:szCs w:val="28"/>
        </w:rPr>
      </w:pPr>
    </w:p>
    <w:p w:rsidR="005E541F" w:rsidRPr="00467F9C" w:rsidRDefault="005E541F" w:rsidP="00191861">
      <w:pPr>
        <w:ind w:firstLine="709"/>
        <w:jc w:val="right"/>
        <w:rPr>
          <w:sz w:val="28"/>
          <w:szCs w:val="28"/>
        </w:rPr>
      </w:pPr>
      <w:r w:rsidRPr="00467F9C">
        <w:rPr>
          <w:sz w:val="28"/>
          <w:szCs w:val="28"/>
        </w:rPr>
        <w:lastRenderedPageBreak/>
        <w:t>Таблица 1 (тыс. рублей)</w:t>
      </w:r>
    </w:p>
    <w:tbl>
      <w:tblPr>
        <w:tblW w:w="31680" w:type="dxa"/>
        <w:tblInd w:w="-34" w:type="dxa"/>
        <w:tblLayout w:type="fixed"/>
        <w:tblLook w:val="04A0" w:firstRow="1" w:lastRow="0" w:firstColumn="1" w:lastColumn="0" w:noHBand="0" w:noVBand="1"/>
      </w:tblPr>
      <w:tblGrid>
        <w:gridCol w:w="2120"/>
        <w:gridCol w:w="1129"/>
        <w:gridCol w:w="993"/>
        <w:gridCol w:w="1133"/>
        <w:gridCol w:w="1133"/>
        <w:gridCol w:w="991"/>
        <w:gridCol w:w="1135"/>
        <w:gridCol w:w="1134"/>
        <w:gridCol w:w="5478"/>
        <w:gridCol w:w="5478"/>
        <w:gridCol w:w="5478"/>
        <w:gridCol w:w="5478"/>
      </w:tblGrid>
      <w:tr w:rsidR="005E541F" w:rsidRPr="00467F9C" w:rsidTr="005E541F">
        <w:trPr>
          <w:gridAfter w:val="4"/>
          <w:wAfter w:w="21912" w:type="dxa"/>
          <w:trHeight w:val="276"/>
          <w:tblHeader/>
        </w:trPr>
        <w:tc>
          <w:tcPr>
            <w:tcW w:w="21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E541F" w:rsidRPr="00467F9C" w:rsidRDefault="005E541F" w:rsidP="00191861">
            <w:pPr>
              <w:jc w:val="center"/>
              <w:rPr>
                <w:sz w:val="18"/>
                <w:szCs w:val="18"/>
              </w:rPr>
            </w:pPr>
            <w:r w:rsidRPr="00467F9C">
              <w:rPr>
                <w:sz w:val="18"/>
                <w:szCs w:val="18"/>
              </w:rPr>
              <w:t>Разделы баланса</w:t>
            </w:r>
          </w:p>
        </w:tc>
        <w:tc>
          <w:tcPr>
            <w:tcW w:w="3255" w:type="dxa"/>
            <w:gridSpan w:val="3"/>
            <w:tcBorders>
              <w:top w:val="single" w:sz="4" w:space="0" w:color="auto"/>
              <w:left w:val="nil"/>
              <w:bottom w:val="single" w:sz="4" w:space="0" w:color="auto"/>
              <w:right w:val="single" w:sz="4" w:space="0" w:color="auto"/>
            </w:tcBorders>
            <w:shd w:val="clear" w:color="000000" w:fill="FFFFFF"/>
            <w:vAlign w:val="center"/>
            <w:hideMark/>
          </w:tcPr>
          <w:p w:rsidR="005E541F" w:rsidRPr="00467F9C" w:rsidRDefault="005E541F" w:rsidP="00191861">
            <w:pPr>
              <w:jc w:val="center"/>
              <w:rPr>
                <w:sz w:val="18"/>
                <w:szCs w:val="18"/>
              </w:rPr>
            </w:pPr>
            <w:r w:rsidRPr="00467F9C">
              <w:rPr>
                <w:sz w:val="18"/>
                <w:szCs w:val="18"/>
              </w:rPr>
              <w:t xml:space="preserve">На начало отчетного периода </w:t>
            </w:r>
          </w:p>
        </w:tc>
        <w:tc>
          <w:tcPr>
            <w:tcW w:w="3259" w:type="dxa"/>
            <w:gridSpan w:val="3"/>
            <w:tcBorders>
              <w:top w:val="single" w:sz="4" w:space="0" w:color="auto"/>
              <w:left w:val="nil"/>
              <w:bottom w:val="single" w:sz="4" w:space="0" w:color="auto"/>
              <w:right w:val="single" w:sz="4" w:space="0" w:color="auto"/>
            </w:tcBorders>
            <w:shd w:val="clear" w:color="000000" w:fill="FFFFFF"/>
            <w:vAlign w:val="center"/>
            <w:hideMark/>
          </w:tcPr>
          <w:p w:rsidR="005E541F" w:rsidRPr="00467F9C" w:rsidRDefault="005E541F" w:rsidP="00191861">
            <w:pPr>
              <w:jc w:val="center"/>
              <w:rPr>
                <w:sz w:val="18"/>
                <w:szCs w:val="18"/>
              </w:rPr>
            </w:pPr>
            <w:r w:rsidRPr="00467F9C">
              <w:rPr>
                <w:sz w:val="18"/>
                <w:szCs w:val="18"/>
              </w:rPr>
              <w:t>На конец отчетного периода</w:t>
            </w:r>
          </w:p>
        </w:tc>
        <w:tc>
          <w:tcPr>
            <w:tcW w:w="1134" w:type="dxa"/>
            <w:vMerge w:val="restart"/>
            <w:tcBorders>
              <w:top w:val="single" w:sz="4" w:space="0" w:color="auto"/>
              <w:left w:val="single" w:sz="4" w:space="0" w:color="auto"/>
              <w:right w:val="single" w:sz="4" w:space="0" w:color="auto"/>
            </w:tcBorders>
            <w:shd w:val="clear" w:color="000000" w:fill="FFFFFF"/>
            <w:vAlign w:val="center"/>
            <w:hideMark/>
          </w:tcPr>
          <w:p w:rsidR="005E541F" w:rsidRPr="00467F9C" w:rsidRDefault="005E541F" w:rsidP="00191861">
            <w:pPr>
              <w:jc w:val="center"/>
              <w:rPr>
                <w:sz w:val="18"/>
                <w:szCs w:val="18"/>
              </w:rPr>
            </w:pPr>
            <w:r w:rsidRPr="00467F9C">
              <w:rPr>
                <w:sz w:val="18"/>
                <w:szCs w:val="18"/>
              </w:rPr>
              <w:t xml:space="preserve">Изменение валюты баланса    </w:t>
            </w:r>
            <w:proofErr w:type="gramStart"/>
            <w:r w:rsidRPr="00467F9C">
              <w:rPr>
                <w:sz w:val="18"/>
                <w:szCs w:val="18"/>
              </w:rPr>
              <w:t xml:space="preserve">   (</w:t>
            </w:r>
            <w:proofErr w:type="gramEnd"/>
            <w:r w:rsidRPr="00467F9C">
              <w:rPr>
                <w:sz w:val="18"/>
                <w:szCs w:val="18"/>
              </w:rPr>
              <w:t>гр. 7 - гр. 4)</w:t>
            </w:r>
          </w:p>
        </w:tc>
      </w:tr>
      <w:tr w:rsidR="005E541F" w:rsidRPr="00467F9C" w:rsidTr="005E541F">
        <w:trPr>
          <w:gridAfter w:val="4"/>
          <w:wAfter w:w="21912" w:type="dxa"/>
          <w:trHeight w:val="850"/>
          <w:tblHeader/>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5E541F" w:rsidRPr="00467F9C" w:rsidRDefault="005E541F" w:rsidP="00191861">
            <w:pPr>
              <w:rPr>
                <w:sz w:val="18"/>
                <w:szCs w:val="18"/>
              </w:rPr>
            </w:pPr>
          </w:p>
        </w:tc>
        <w:tc>
          <w:tcPr>
            <w:tcW w:w="1129" w:type="dxa"/>
            <w:tcBorders>
              <w:top w:val="nil"/>
              <w:left w:val="nil"/>
              <w:bottom w:val="single" w:sz="4" w:space="0" w:color="auto"/>
              <w:right w:val="single" w:sz="4" w:space="0" w:color="auto"/>
            </w:tcBorders>
            <w:shd w:val="clear" w:color="000000" w:fill="FFFFFF"/>
            <w:vAlign w:val="center"/>
            <w:hideMark/>
          </w:tcPr>
          <w:p w:rsidR="005E541F" w:rsidRPr="00467F9C" w:rsidRDefault="005E541F" w:rsidP="00191861">
            <w:pPr>
              <w:jc w:val="center"/>
              <w:rPr>
                <w:sz w:val="18"/>
                <w:szCs w:val="18"/>
              </w:rPr>
            </w:pPr>
            <w:r w:rsidRPr="00467F9C">
              <w:rPr>
                <w:sz w:val="18"/>
                <w:szCs w:val="18"/>
              </w:rPr>
              <w:t xml:space="preserve">бюджетная </w:t>
            </w:r>
            <w:proofErr w:type="gramStart"/>
            <w:r w:rsidRPr="00467F9C">
              <w:rPr>
                <w:sz w:val="18"/>
                <w:szCs w:val="18"/>
              </w:rPr>
              <w:t>деятель-</w:t>
            </w:r>
            <w:proofErr w:type="spellStart"/>
            <w:r w:rsidRPr="00467F9C">
              <w:rPr>
                <w:sz w:val="18"/>
                <w:szCs w:val="18"/>
              </w:rPr>
              <w:t>ность</w:t>
            </w:r>
            <w:proofErr w:type="spellEnd"/>
            <w:proofErr w:type="gramEnd"/>
          </w:p>
        </w:tc>
        <w:tc>
          <w:tcPr>
            <w:tcW w:w="993" w:type="dxa"/>
            <w:tcBorders>
              <w:top w:val="nil"/>
              <w:left w:val="nil"/>
              <w:bottom w:val="single" w:sz="4" w:space="0" w:color="auto"/>
              <w:right w:val="single" w:sz="4" w:space="0" w:color="auto"/>
            </w:tcBorders>
            <w:shd w:val="clear" w:color="000000" w:fill="FFFFFF"/>
            <w:vAlign w:val="center"/>
            <w:hideMark/>
          </w:tcPr>
          <w:p w:rsidR="005E541F" w:rsidRPr="00467F9C" w:rsidRDefault="005E541F" w:rsidP="00191861">
            <w:pPr>
              <w:ind w:left="-109" w:right="-65"/>
              <w:jc w:val="center"/>
              <w:rPr>
                <w:sz w:val="18"/>
                <w:szCs w:val="18"/>
              </w:rPr>
            </w:pPr>
            <w:r w:rsidRPr="00467F9C">
              <w:rPr>
                <w:sz w:val="18"/>
                <w:szCs w:val="18"/>
              </w:rPr>
              <w:t xml:space="preserve">средства во временном </w:t>
            </w:r>
            <w:proofErr w:type="spellStart"/>
            <w:proofErr w:type="gramStart"/>
            <w:r w:rsidRPr="00467F9C">
              <w:rPr>
                <w:sz w:val="18"/>
                <w:szCs w:val="18"/>
              </w:rPr>
              <w:t>распоряже-нии</w:t>
            </w:r>
            <w:proofErr w:type="spellEnd"/>
            <w:proofErr w:type="gramEnd"/>
          </w:p>
        </w:tc>
        <w:tc>
          <w:tcPr>
            <w:tcW w:w="1133" w:type="dxa"/>
            <w:tcBorders>
              <w:top w:val="nil"/>
              <w:left w:val="nil"/>
              <w:bottom w:val="single" w:sz="4" w:space="0" w:color="auto"/>
              <w:right w:val="single" w:sz="4" w:space="0" w:color="auto"/>
            </w:tcBorders>
            <w:shd w:val="clear" w:color="000000" w:fill="FFFFFF"/>
            <w:vAlign w:val="center"/>
            <w:hideMark/>
          </w:tcPr>
          <w:p w:rsidR="005E541F" w:rsidRPr="00467F9C" w:rsidRDefault="005E541F" w:rsidP="00191861">
            <w:pPr>
              <w:ind w:left="-151" w:right="-71"/>
              <w:jc w:val="center"/>
              <w:rPr>
                <w:sz w:val="18"/>
                <w:szCs w:val="18"/>
              </w:rPr>
            </w:pPr>
            <w:r w:rsidRPr="00467F9C">
              <w:rPr>
                <w:sz w:val="18"/>
                <w:szCs w:val="18"/>
              </w:rPr>
              <w:t>Итого (гр.2+гр.3)</w:t>
            </w:r>
          </w:p>
        </w:tc>
        <w:tc>
          <w:tcPr>
            <w:tcW w:w="1133" w:type="dxa"/>
            <w:tcBorders>
              <w:top w:val="nil"/>
              <w:left w:val="nil"/>
              <w:bottom w:val="single" w:sz="4" w:space="0" w:color="auto"/>
              <w:right w:val="single" w:sz="4" w:space="0" w:color="auto"/>
            </w:tcBorders>
            <w:shd w:val="clear" w:color="000000" w:fill="FFFFFF"/>
            <w:vAlign w:val="center"/>
            <w:hideMark/>
          </w:tcPr>
          <w:p w:rsidR="005E541F" w:rsidRPr="00467F9C" w:rsidRDefault="005E541F" w:rsidP="00191861">
            <w:pPr>
              <w:jc w:val="center"/>
              <w:rPr>
                <w:sz w:val="18"/>
                <w:szCs w:val="18"/>
              </w:rPr>
            </w:pPr>
            <w:r w:rsidRPr="00467F9C">
              <w:rPr>
                <w:sz w:val="18"/>
                <w:szCs w:val="18"/>
              </w:rPr>
              <w:t xml:space="preserve">бюджетная </w:t>
            </w:r>
            <w:proofErr w:type="gramStart"/>
            <w:r w:rsidRPr="00467F9C">
              <w:rPr>
                <w:sz w:val="18"/>
                <w:szCs w:val="18"/>
              </w:rPr>
              <w:t>деятель-</w:t>
            </w:r>
            <w:proofErr w:type="spellStart"/>
            <w:r w:rsidRPr="00467F9C">
              <w:rPr>
                <w:sz w:val="18"/>
                <w:szCs w:val="18"/>
              </w:rPr>
              <w:t>ность</w:t>
            </w:r>
            <w:proofErr w:type="spellEnd"/>
            <w:proofErr w:type="gramEnd"/>
          </w:p>
        </w:tc>
        <w:tc>
          <w:tcPr>
            <w:tcW w:w="991" w:type="dxa"/>
            <w:tcBorders>
              <w:top w:val="nil"/>
              <w:left w:val="nil"/>
              <w:bottom w:val="single" w:sz="4" w:space="0" w:color="auto"/>
              <w:right w:val="single" w:sz="4" w:space="0" w:color="auto"/>
            </w:tcBorders>
            <w:shd w:val="clear" w:color="000000" w:fill="FFFFFF"/>
            <w:vAlign w:val="center"/>
            <w:hideMark/>
          </w:tcPr>
          <w:p w:rsidR="005E541F" w:rsidRPr="00467F9C" w:rsidRDefault="005E541F" w:rsidP="00191861">
            <w:pPr>
              <w:ind w:left="-207" w:right="-157"/>
              <w:jc w:val="center"/>
              <w:rPr>
                <w:sz w:val="18"/>
                <w:szCs w:val="18"/>
              </w:rPr>
            </w:pPr>
            <w:r w:rsidRPr="00467F9C">
              <w:rPr>
                <w:sz w:val="18"/>
                <w:szCs w:val="18"/>
              </w:rPr>
              <w:t xml:space="preserve">средства во временном </w:t>
            </w:r>
            <w:proofErr w:type="spellStart"/>
            <w:proofErr w:type="gramStart"/>
            <w:r w:rsidRPr="00467F9C">
              <w:rPr>
                <w:sz w:val="18"/>
                <w:szCs w:val="18"/>
              </w:rPr>
              <w:t>распоряже</w:t>
            </w:r>
            <w:proofErr w:type="spellEnd"/>
            <w:r w:rsidRPr="00467F9C">
              <w:rPr>
                <w:sz w:val="18"/>
                <w:szCs w:val="18"/>
              </w:rPr>
              <w:t xml:space="preserve">- </w:t>
            </w:r>
            <w:proofErr w:type="spellStart"/>
            <w:r w:rsidRPr="00467F9C">
              <w:rPr>
                <w:sz w:val="18"/>
                <w:szCs w:val="18"/>
              </w:rPr>
              <w:t>нии</w:t>
            </w:r>
            <w:proofErr w:type="spellEnd"/>
            <w:proofErr w:type="gramEnd"/>
          </w:p>
        </w:tc>
        <w:tc>
          <w:tcPr>
            <w:tcW w:w="1135" w:type="dxa"/>
            <w:tcBorders>
              <w:top w:val="nil"/>
              <w:left w:val="nil"/>
              <w:bottom w:val="single" w:sz="4" w:space="0" w:color="auto"/>
              <w:right w:val="single" w:sz="4" w:space="0" w:color="auto"/>
            </w:tcBorders>
            <w:shd w:val="clear" w:color="000000" w:fill="FFFFFF"/>
            <w:vAlign w:val="center"/>
            <w:hideMark/>
          </w:tcPr>
          <w:p w:rsidR="005E541F" w:rsidRPr="00467F9C" w:rsidRDefault="005E541F" w:rsidP="00191861">
            <w:pPr>
              <w:ind w:left="-109" w:right="-125"/>
              <w:jc w:val="center"/>
              <w:rPr>
                <w:sz w:val="18"/>
                <w:szCs w:val="18"/>
              </w:rPr>
            </w:pPr>
            <w:r w:rsidRPr="00467F9C">
              <w:rPr>
                <w:sz w:val="18"/>
                <w:szCs w:val="18"/>
              </w:rPr>
              <w:t>Итого (гр.5+гр.6)</w:t>
            </w:r>
          </w:p>
        </w:tc>
        <w:tc>
          <w:tcPr>
            <w:tcW w:w="1134" w:type="dxa"/>
            <w:vMerge/>
            <w:tcBorders>
              <w:left w:val="single" w:sz="4" w:space="0" w:color="auto"/>
              <w:bottom w:val="single" w:sz="4" w:space="0" w:color="auto"/>
              <w:right w:val="single" w:sz="4" w:space="0" w:color="auto"/>
            </w:tcBorders>
            <w:vAlign w:val="center"/>
            <w:hideMark/>
          </w:tcPr>
          <w:p w:rsidR="005E541F" w:rsidRPr="00467F9C" w:rsidRDefault="005E541F" w:rsidP="00191861">
            <w:pPr>
              <w:rPr>
                <w:sz w:val="18"/>
                <w:szCs w:val="18"/>
              </w:rPr>
            </w:pPr>
          </w:p>
        </w:tc>
      </w:tr>
      <w:tr w:rsidR="005E541F" w:rsidRPr="00467F9C" w:rsidTr="005E541F">
        <w:trPr>
          <w:gridAfter w:val="4"/>
          <w:wAfter w:w="21912" w:type="dxa"/>
          <w:trHeight w:val="252"/>
          <w:tblHeader/>
        </w:trPr>
        <w:tc>
          <w:tcPr>
            <w:tcW w:w="2120" w:type="dxa"/>
            <w:tcBorders>
              <w:top w:val="nil"/>
              <w:left w:val="single" w:sz="4" w:space="0" w:color="auto"/>
              <w:bottom w:val="single" w:sz="4" w:space="0" w:color="auto"/>
              <w:right w:val="single" w:sz="4" w:space="0" w:color="auto"/>
            </w:tcBorders>
            <w:shd w:val="clear" w:color="000000" w:fill="FFFFFF"/>
            <w:noWrap/>
            <w:vAlign w:val="center"/>
            <w:hideMark/>
          </w:tcPr>
          <w:p w:rsidR="005E541F" w:rsidRPr="00467F9C" w:rsidRDefault="005E541F" w:rsidP="00191861">
            <w:pPr>
              <w:jc w:val="center"/>
              <w:rPr>
                <w:sz w:val="18"/>
                <w:szCs w:val="18"/>
              </w:rPr>
            </w:pPr>
            <w:r w:rsidRPr="00467F9C">
              <w:rPr>
                <w:sz w:val="18"/>
                <w:szCs w:val="18"/>
              </w:rPr>
              <w:t>1</w:t>
            </w:r>
          </w:p>
        </w:tc>
        <w:tc>
          <w:tcPr>
            <w:tcW w:w="1129" w:type="dxa"/>
            <w:tcBorders>
              <w:top w:val="nil"/>
              <w:left w:val="nil"/>
              <w:bottom w:val="single" w:sz="4" w:space="0" w:color="auto"/>
              <w:right w:val="single" w:sz="4" w:space="0" w:color="auto"/>
            </w:tcBorders>
            <w:shd w:val="clear" w:color="000000" w:fill="FFFFFF"/>
            <w:vAlign w:val="center"/>
            <w:hideMark/>
          </w:tcPr>
          <w:p w:rsidR="005E541F" w:rsidRPr="00467F9C" w:rsidRDefault="005E541F" w:rsidP="00191861">
            <w:pPr>
              <w:jc w:val="center"/>
              <w:rPr>
                <w:sz w:val="18"/>
                <w:szCs w:val="18"/>
              </w:rPr>
            </w:pPr>
            <w:r w:rsidRPr="00467F9C">
              <w:rPr>
                <w:sz w:val="18"/>
                <w:szCs w:val="18"/>
              </w:rPr>
              <w:t>2</w:t>
            </w:r>
          </w:p>
        </w:tc>
        <w:tc>
          <w:tcPr>
            <w:tcW w:w="993" w:type="dxa"/>
            <w:tcBorders>
              <w:top w:val="nil"/>
              <w:left w:val="nil"/>
              <w:bottom w:val="single" w:sz="4" w:space="0" w:color="auto"/>
              <w:right w:val="single" w:sz="4" w:space="0" w:color="auto"/>
            </w:tcBorders>
            <w:shd w:val="clear" w:color="000000" w:fill="FFFFFF"/>
            <w:vAlign w:val="center"/>
            <w:hideMark/>
          </w:tcPr>
          <w:p w:rsidR="005E541F" w:rsidRPr="00467F9C" w:rsidRDefault="005E541F" w:rsidP="00191861">
            <w:pPr>
              <w:jc w:val="center"/>
              <w:rPr>
                <w:sz w:val="18"/>
                <w:szCs w:val="18"/>
              </w:rPr>
            </w:pPr>
            <w:r w:rsidRPr="00467F9C">
              <w:rPr>
                <w:sz w:val="18"/>
                <w:szCs w:val="18"/>
              </w:rPr>
              <w:t>3</w:t>
            </w:r>
          </w:p>
        </w:tc>
        <w:tc>
          <w:tcPr>
            <w:tcW w:w="1133" w:type="dxa"/>
            <w:tcBorders>
              <w:top w:val="nil"/>
              <w:left w:val="nil"/>
              <w:bottom w:val="single" w:sz="4" w:space="0" w:color="auto"/>
              <w:right w:val="single" w:sz="4" w:space="0" w:color="auto"/>
            </w:tcBorders>
            <w:shd w:val="clear" w:color="000000" w:fill="FFFFFF"/>
            <w:noWrap/>
            <w:vAlign w:val="center"/>
            <w:hideMark/>
          </w:tcPr>
          <w:p w:rsidR="005E541F" w:rsidRPr="00467F9C" w:rsidRDefault="005E541F" w:rsidP="00191861">
            <w:pPr>
              <w:ind w:left="-151" w:right="-71"/>
              <w:jc w:val="center"/>
              <w:rPr>
                <w:sz w:val="18"/>
                <w:szCs w:val="18"/>
              </w:rPr>
            </w:pPr>
            <w:r w:rsidRPr="00467F9C">
              <w:rPr>
                <w:sz w:val="18"/>
                <w:szCs w:val="18"/>
              </w:rPr>
              <w:t>4</w:t>
            </w:r>
          </w:p>
        </w:tc>
        <w:tc>
          <w:tcPr>
            <w:tcW w:w="1133" w:type="dxa"/>
            <w:tcBorders>
              <w:top w:val="nil"/>
              <w:left w:val="nil"/>
              <w:bottom w:val="single" w:sz="4" w:space="0" w:color="auto"/>
              <w:right w:val="single" w:sz="4" w:space="0" w:color="auto"/>
            </w:tcBorders>
            <w:shd w:val="clear" w:color="000000" w:fill="FFFFFF"/>
            <w:vAlign w:val="center"/>
            <w:hideMark/>
          </w:tcPr>
          <w:p w:rsidR="005E541F" w:rsidRPr="00467F9C" w:rsidRDefault="005E541F" w:rsidP="00191861">
            <w:pPr>
              <w:jc w:val="center"/>
              <w:rPr>
                <w:sz w:val="18"/>
                <w:szCs w:val="18"/>
              </w:rPr>
            </w:pPr>
            <w:r w:rsidRPr="00467F9C">
              <w:rPr>
                <w:sz w:val="18"/>
                <w:szCs w:val="18"/>
              </w:rPr>
              <w:t>5</w:t>
            </w:r>
          </w:p>
        </w:tc>
        <w:tc>
          <w:tcPr>
            <w:tcW w:w="991" w:type="dxa"/>
            <w:tcBorders>
              <w:top w:val="nil"/>
              <w:left w:val="nil"/>
              <w:bottom w:val="single" w:sz="4" w:space="0" w:color="auto"/>
              <w:right w:val="single" w:sz="4" w:space="0" w:color="auto"/>
            </w:tcBorders>
            <w:shd w:val="clear" w:color="000000" w:fill="FFFFFF"/>
            <w:vAlign w:val="center"/>
            <w:hideMark/>
          </w:tcPr>
          <w:p w:rsidR="005E541F" w:rsidRPr="00467F9C" w:rsidRDefault="005E541F" w:rsidP="00191861">
            <w:pPr>
              <w:ind w:left="-207" w:right="-157"/>
              <w:jc w:val="center"/>
              <w:rPr>
                <w:sz w:val="18"/>
                <w:szCs w:val="18"/>
              </w:rPr>
            </w:pPr>
            <w:r w:rsidRPr="00467F9C">
              <w:rPr>
                <w:sz w:val="18"/>
                <w:szCs w:val="18"/>
              </w:rPr>
              <w:t>6</w:t>
            </w:r>
          </w:p>
        </w:tc>
        <w:tc>
          <w:tcPr>
            <w:tcW w:w="1135" w:type="dxa"/>
            <w:tcBorders>
              <w:top w:val="nil"/>
              <w:left w:val="nil"/>
              <w:bottom w:val="single" w:sz="4" w:space="0" w:color="auto"/>
              <w:right w:val="single" w:sz="4" w:space="0" w:color="auto"/>
            </w:tcBorders>
            <w:shd w:val="clear" w:color="000000" w:fill="FFFFFF"/>
            <w:noWrap/>
            <w:vAlign w:val="center"/>
            <w:hideMark/>
          </w:tcPr>
          <w:p w:rsidR="005E541F" w:rsidRPr="00467F9C" w:rsidRDefault="005E541F" w:rsidP="00191861">
            <w:pPr>
              <w:ind w:left="-109" w:right="-125"/>
              <w:jc w:val="center"/>
              <w:rPr>
                <w:sz w:val="18"/>
                <w:szCs w:val="18"/>
              </w:rPr>
            </w:pPr>
            <w:r w:rsidRPr="00467F9C">
              <w:rPr>
                <w:sz w:val="18"/>
                <w:szCs w:val="18"/>
              </w:rPr>
              <w:t>7</w:t>
            </w:r>
          </w:p>
        </w:tc>
        <w:tc>
          <w:tcPr>
            <w:tcW w:w="1134" w:type="dxa"/>
            <w:tcBorders>
              <w:top w:val="nil"/>
              <w:left w:val="nil"/>
              <w:bottom w:val="single" w:sz="4" w:space="0" w:color="auto"/>
              <w:right w:val="single" w:sz="4" w:space="0" w:color="auto"/>
            </w:tcBorders>
            <w:shd w:val="clear" w:color="000000" w:fill="FFFFFF"/>
            <w:vAlign w:val="center"/>
            <w:hideMark/>
          </w:tcPr>
          <w:p w:rsidR="005E541F" w:rsidRPr="00467F9C" w:rsidRDefault="005E541F" w:rsidP="00191861">
            <w:pPr>
              <w:jc w:val="center"/>
              <w:rPr>
                <w:sz w:val="18"/>
                <w:szCs w:val="18"/>
              </w:rPr>
            </w:pPr>
            <w:r w:rsidRPr="00467F9C">
              <w:rPr>
                <w:sz w:val="18"/>
                <w:szCs w:val="18"/>
              </w:rPr>
              <w:t>8</w:t>
            </w:r>
          </w:p>
        </w:tc>
      </w:tr>
      <w:tr w:rsidR="005E541F" w:rsidRPr="00467F9C" w:rsidTr="005E541F">
        <w:trPr>
          <w:gridAfter w:val="4"/>
          <w:wAfter w:w="21912" w:type="dxa"/>
          <w:trHeight w:val="252"/>
        </w:trPr>
        <w:tc>
          <w:tcPr>
            <w:tcW w:w="9768" w:type="dxa"/>
            <w:gridSpan w:val="8"/>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E541F" w:rsidRPr="00467F9C" w:rsidRDefault="005E541F" w:rsidP="00191861">
            <w:pPr>
              <w:jc w:val="center"/>
              <w:rPr>
                <w:b/>
                <w:bCs/>
                <w:sz w:val="18"/>
                <w:szCs w:val="18"/>
              </w:rPr>
            </w:pPr>
            <w:r w:rsidRPr="00467F9C">
              <w:rPr>
                <w:b/>
                <w:bCs/>
                <w:sz w:val="18"/>
                <w:szCs w:val="18"/>
              </w:rPr>
              <w:t>АКТИВ</w:t>
            </w:r>
          </w:p>
        </w:tc>
      </w:tr>
      <w:tr w:rsidR="005E541F" w:rsidRPr="00467F9C" w:rsidTr="005E541F">
        <w:trPr>
          <w:gridAfter w:val="4"/>
          <w:wAfter w:w="21912" w:type="dxa"/>
          <w:trHeight w:val="252"/>
        </w:trPr>
        <w:tc>
          <w:tcPr>
            <w:tcW w:w="2120" w:type="dxa"/>
            <w:tcBorders>
              <w:top w:val="nil"/>
              <w:left w:val="single" w:sz="4" w:space="0" w:color="auto"/>
              <w:bottom w:val="single" w:sz="4" w:space="0" w:color="auto"/>
              <w:right w:val="single" w:sz="4" w:space="0" w:color="auto"/>
            </w:tcBorders>
            <w:shd w:val="clear" w:color="000000" w:fill="FFFFFF"/>
            <w:vAlign w:val="center"/>
            <w:hideMark/>
          </w:tcPr>
          <w:p w:rsidR="005E541F" w:rsidRPr="00A101D0" w:rsidRDefault="005E541F" w:rsidP="00191861">
            <w:pPr>
              <w:ind w:right="-103"/>
              <w:rPr>
                <w:sz w:val="20"/>
                <w:szCs w:val="20"/>
              </w:rPr>
            </w:pPr>
            <w:r w:rsidRPr="00A101D0">
              <w:rPr>
                <w:sz w:val="20"/>
                <w:szCs w:val="20"/>
              </w:rPr>
              <w:t xml:space="preserve">1.Нефинансовые активы  </w:t>
            </w:r>
          </w:p>
        </w:tc>
        <w:tc>
          <w:tcPr>
            <w:tcW w:w="1129" w:type="dxa"/>
            <w:tcBorders>
              <w:top w:val="nil"/>
              <w:left w:val="nil"/>
              <w:bottom w:val="single" w:sz="4" w:space="0" w:color="auto"/>
              <w:right w:val="single" w:sz="4" w:space="0" w:color="auto"/>
            </w:tcBorders>
            <w:shd w:val="clear" w:color="auto" w:fill="auto"/>
            <w:vAlign w:val="bottom"/>
          </w:tcPr>
          <w:p w:rsidR="005E541F" w:rsidRPr="00A101D0" w:rsidRDefault="005E541F" w:rsidP="00A101D0">
            <w:pPr>
              <w:ind w:left="-63" w:right="-3"/>
              <w:jc w:val="center"/>
              <w:rPr>
                <w:sz w:val="20"/>
                <w:szCs w:val="20"/>
              </w:rPr>
            </w:pPr>
            <w:r w:rsidRPr="00A101D0">
              <w:rPr>
                <w:sz w:val="20"/>
                <w:szCs w:val="20"/>
              </w:rPr>
              <w:t>6 707,1</w:t>
            </w:r>
          </w:p>
        </w:tc>
        <w:tc>
          <w:tcPr>
            <w:tcW w:w="993" w:type="dxa"/>
            <w:tcBorders>
              <w:top w:val="nil"/>
              <w:left w:val="nil"/>
              <w:bottom w:val="single" w:sz="4" w:space="0" w:color="auto"/>
              <w:right w:val="single" w:sz="4" w:space="0" w:color="auto"/>
            </w:tcBorders>
            <w:shd w:val="clear" w:color="auto" w:fill="auto"/>
            <w:vAlign w:val="bottom"/>
          </w:tcPr>
          <w:p w:rsidR="005E541F" w:rsidRPr="00A101D0" w:rsidRDefault="005E541F" w:rsidP="00191861">
            <w:pPr>
              <w:jc w:val="center"/>
              <w:rPr>
                <w:sz w:val="20"/>
                <w:szCs w:val="20"/>
              </w:rPr>
            </w:pPr>
            <w:r w:rsidRPr="00A101D0">
              <w:rPr>
                <w:sz w:val="20"/>
                <w:szCs w:val="20"/>
              </w:rPr>
              <w:t>0,0</w:t>
            </w:r>
          </w:p>
        </w:tc>
        <w:tc>
          <w:tcPr>
            <w:tcW w:w="1133" w:type="dxa"/>
            <w:tcBorders>
              <w:top w:val="nil"/>
              <w:left w:val="nil"/>
              <w:bottom w:val="single" w:sz="4" w:space="0" w:color="auto"/>
              <w:right w:val="single" w:sz="4" w:space="0" w:color="auto"/>
            </w:tcBorders>
            <w:shd w:val="clear" w:color="000000" w:fill="FFFFFF"/>
            <w:noWrap/>
            <w:vAlign w:val="bottom"/>
          </w:tcPr>
          <w:p w:rsidR="005E541F" w:rsidRPr="00A101D0" w:rsidRDefault="005E541F" w:rsidP="00191861">
            <w:pPr>
              <w:ind w:left="-109" w:right="-125"/>
              <w:jc w:val="center"/>
              <w:rPr>
                <w:sz w:val="20"/>
                <w:szCs w:val="20"/>
              </w:rPr>
            </w:pPr>
            <w:r w:rsidRPr="00A101D0">
              <w:rPr>
                <w:sz w:val="20"/>
                <w:szCs w:val="20"/>
              </w:rPr>
              <w:t>6 707,1</w:t>
            </w:r>
          </w:p>
        </w:tc>
        <w:tc>
          <w:tcPr>
            <w:tcW w:w="1133" w:type="dxa"/>
            <w:tcBorders>
              <w:top w:val="nil"/>
              <w:left w:val="nil"/>
              <w:bottom w:val="single" w:sz="4" w:space="0" w:color="auto"/>
              <w:right w:val="single" w:sz="4" w:space="0" w:color="auto"/>
            </w:tcBorders>
            <w:shd w:val="clear" w:color="auto" w:fill="auto"/>
            <w:vAlign w:val="bottom"/>
          </w:tcPr>
          <w:p w:rsidR="005E541F" w:rsidRPr="00A101D0" w:rsidRDefault="005E541F" w:rsidP="00A101D0">
            <w:pPr>
              <w:ind w:left="-70" w:right="-17"/>
              <w:jc w:val="center"/>
              <w:rPr>
                <w:sz w:val="20"/>
                <w:szCs w:val="20"/>
              </w:rPr>
            </w:pPr>
            <w:r w:rsidRPr="00A101D0">
              <w:rPr>
                <w:sz w:val="20"/>
                <w:szCs w:val="20"/>
              </w:rPr>
              <w:t>7 277,2</w:t>
            </w:r>
          </w:p>
        </w:tc>
        <w:tc>
          <w:tcPr>
            <w:tcW w:w="991" w:type="dxa"/>
            <w:tcBorders>
              <w:top w:val="nil"/>
              <w:left w:val="nil"/>
              <w:bottom w:val="single" w:sz="4" w:space="0" w:color="auto"/>
              <w:right w:val="single" w:sz="4" w:space="0" w:color="auto"/>
            </w:tcBorders>
            <w:shd w:val="clear" w:color="auto" w:fill="auto"/>
            <w:vAlign w:val="bottom"/>
          </w:tcPr>
          <w:p w:rsidR="005E541F" w:rsidRPr="00A101D0" w:rsidRDefault="005E541F" w:rsidP="00191861">
            <w:pPr>
              <w:jc w:val="center"/>
              <w:rPr>
                <w:sz w:val="20"/>
                <w:szCs w:val="20"/>
              </w:rPr>
            </w:pPr>
            <w:r w:rsidRPr="00A101D0">
              <w:rPr>
                <w:sz w:val="20"/>
                <w:szCs w:val="20"/>
              </w:rPr>
              <w:t>0,0</w:t>
            </w:r>
          </w:p>
        </w:tc>
        <w:tc>
          <w:tcPr>
            <w:tcW w:w="1135" w:type="dxa"/>
            <w:tcBorders>
              <w:top w:val="nil"/>
              <w:left w:val="nil"/>
              <w:bottom w:val="single" w:sz="4" w:space="0" w:color="auto"/>
              <w:right w:val="single" w:sz="4" w:space="0" w:color="auto"/>
            </w:tcBorders>
            <w:shd w:val="clear" w:color="auto" w:fill="auto"/>
            <w:vAlign w:val="bottom"/>
          </w:tcPr>
          <w:p w:rsidR="005E541F" w:rsidRPr="00A101D0" w:rsidRDefault="005E541F" w:rsidP="00A101D0">
            <w:pPr>
              <w:ind w:left="-109" w:right="-15"/>
              <w:jc w:val="center"/>
              <w:rPr>
                <w:sz w:val="20"/>
                <w:szCs w:val="20"/>
              </w:rPr>
            </w:pPr>
            <w:r w:rsidRPr="00A101D0">
              <w:rPr>
                <w:sz w:val="20"/>
                <w:szCs w:val="20"/>
              </w:rPr>
              <w:t>7 277,2</w:t>
            </w:r>
          </w:p>
        </w:tc>
        <w:tc>
          <w:tcPr>
            <w:tcW w:w="1134" w:type="dxa"/>
            <w:tcBorders>
              <w:top w:val="nil"/>
              <w:left w:val="nil"/>
              <w:bottom w:val="single" w:sz="4" w:space="0" w:color="auto"/>
              <w:right w:val="single" w:sz="4" w:space="0" w:color="auto"/>
            </w:tcBorders>
            <w:shd w:val="clear" w:color="000000" w:fill="FFFFFF"/>
            <w:noWrap/>
            <w:vAlign w:val="bottom"/>
          </w:tcPr>
          <w:p w:rsidR="005E541F" w:rsidRPr="00A101D0" w:rsidRDefault="005E541F" w:rsidP="00191861">
            <w:pPr>
              <w:jc w:val="center"/>
              <w:rPr>
                <w:sz w:val="20"/>
                <w:szCs w:val="20"/>
              </w:rPr>
            </w:pPr>
            <w:r w:rsidRPr="00A101D0">
              <w:rPr>
                <w:sz w:val="20"/>
                <w:szCs w:val="20"/>
              </w:rPr>
              <w:t>570,1</w:t>
            </w:r>
          </w:p>
        </w:tc>
      </w:tr>
      <w:tr w:rsidR="005E541F" w:rsidRPr="00467F9C" w:rsidTr="005E541F">
        <w:trPr>
          <w:gridAfter w:val="4"/>
          <w:wAfter w:w="21912" w:type="dxa"/>
          <w:trHeight w:val="252"/>
        </w:trPr>
        <w:tc>
          <w:tcPr>
            <w:tcW w:w="2120" w:type="dxa"/>
            <w:tcBorders>
              <w:top w:val="nil"/>
              <w:left w:val="single" w:sz="4" w:space="0" w:color="auto"/>
              <w:bottom w:val="single" w:sz="4" w:space="0" w:color="auto"/>
              <w:right w:val="single" w:sz="4" w:space="0" w:color="auto"/>
            </w:tcBorders>
            <w:shd w:val="clear" w:color="000000" w:fill="FFFFFF"/>
            <w:noWrap/>
            <w:vAlign w:val="center"/>
            <w:hideMark/>
          </w:tcPr>
          <w:p w:rsidR="005E541F" w:rsidRPr="00A101D0" w:rsidRDefault="005E541F" w:rsidP="00191861">
            <w:pPr>
              <w:ind w:right="-103"/>
              <w:rPr>
                <w:i/>
                <w:iCs/>
                <w:sz w:val="20"/>
                <w:szCs w:val="20"/>
              </w:rPr>
            </w:pPr>
            <w:r w:rsidRPr="00A101D0">
              <w:rPr>
                <w:i/>
                <w:iCs/>
                <w:sz w:val="20"/>
                <w:szCs w:val="20"/>
              </w:rPr>
              <w:t>Структура %</w:t>
            </w:r>
          </w:p>
        </w:tc>
        <w:tc>
          <w:tcPr>
            <w:tcW w:w="1129" w:type="dxa"/>
            <w:tcBorders>
              <w:top w:val="nil"/>
              <w:left w:val="nil"/>
              <w:bottom w:val="single" w:sz="4" w:space="0" w:color="auto"/>
              <w:right w:val="single" w:sz="4" w:space="0" w:color="auto"/>
            </w:tcBorders>
            <w:shd w:val="clear" w:color="auto" w:fill="auto"/>
            <w:vAlign w:val="bottom"/>
          </w:tcPr>
          <w:p w:rsidR="005E541F" w:rsidRPr="00A101D0" w:rsidRDefault="005E541F" w:rsidP="00A101D0">
            <w:pPr>
              <w:ind w:left="-63" w:right="-3"/>
              <w:jc w:val="center"/>
              <w:rPr>
                <w:sz w:val="20"/>
                <w:szCs w:val="20"/>
              </w:rPr>
            </w:pPr>
            <w:r w:rsidRPr="00A101D0">
              <w:rPr>
                <w:sz w:val="20"/>
                <w:szCs w:val="20"/>
              </w:rPr>
              <w:t>0,1</w:t>
            </w:r>
          </w:p>
        </w:tc>
        <w:tc>
          <w:tcPr>
            <w:tcW w:w="993" w:type="dxa"/>
            <w:tcBorders>
              <w:top w:val="nil"/>
              <w:left w:val="nil"/>
              <w:bottom w:val="single" w:sz="4" w:space="0" w:color="auto"/>
              <w:right w:val="single" w:sz="4" w:space="0" w:color="auto"/>
            </w:tcBorders>
            <w:shd w:val="clear" w:color="auto" w:fill="auto"/>
            <w:vAlign w:val="bottom"/>
          </w:tcPr>
          <w:p w:rsidR="005E541F" w:rsidRPr="00A101D0" w:rsidRDefault="005E541F" w:rsidP="00191861">
            <w:pPr>
              <w:jc w:val="center"/>
              <w:rPr>
                <w:sz w:val="20"/>
                <w:szCs w:val="20"/>
              </w:rPr>
            </w:pPr>
            <w:r w:rsidRPr="00A101D0">
              <w:rPr>
                <w:sz w:val="20"/>
                <w:szCs w:val="20"/>
              </w:rPr>
              <w:t>0,0</w:t>
            </w:r>
          </w:p>
        </w:tc>
        <w:tc>
          <w:tcPr>
            <w:tcW w:w="1133" w:type="dxa"/>
            <w:tcBorders>
              <w:top w:val="nil"/>
              <w:left w:val="nil"/>
              <w:bottom w:val="single" w:sz="4" w:space="0" w:color="auto"/>
              <w:right w:val="single" w:sz="4" w:space="0" w:color="auto"/>
            </w:tcBorders>
            <w:shd w:val="clear" w:color="000000" w:fill="FFFFFF"/>
            <w:noWrap/>
            <w:vAlign w:val="bottom"/>
          </w:tcPr>
          <w:p w:rsidR="005E541F" w:rsidRPr="00A101D0" w:rsidRDefault="005E541F" w:rsidP="00191861">
            <w:pPr>
              <w:ind w:left="-109" w:right="-125"/>
              <w:jc w:val="center"/>
              <w:rPr>
                <w:sz w:val="20"/>
                <w:szCs w:val="20"/>
              </w:rPr>
            </w:pPr>
            <w:r w:rsidRPr="00A101D0">
              <w:rPr>
                <w:sz w:val="20"/>
                <w:szCs w:val="20"/>
              </w:rPr>
              <w:t>0,1</w:t>
            </w:r>
          </w:p>
        </w:tc>
        <w:tc>
          <w:tcPr>
            <w:tcW w:w="1133" w:type="dxa"/>
            <w:tcBorders>
              <w:top w:val="nil"/>
              <w:left w:val="nil"/>
              <w:bottom w:val="single" w:sz="4" w:space="0" w:color="auto"/>
              <w:right w:val="single" w:sz="4" w:space="0" w:color="auto"/>
            </w:tcBorders>
            <w:shd w:val="clear" w:color="auto" w:fill="auto"/>
            <w:vAlign w:val="bottom"/>
          </w:tcPr>
          <w:p w:rsidR="005E541F" w:rsidRPr="00A101D0" w:rsidRDefault="005E541F" w:rsidP="00A101D0">
            <w:pPr>
              <w:ind w:left="-70" w:right="-17"/>
              <w:jc w:val="center"/>
              <w:rPr>
                <w:sz w:val="20"/>
                <w:szCs w:val="20"/>
              </w:rPr>
            </w:pPr>
            <w:r w:rsidRPr="00A101D0">
              <w:rPr>
                <w:sz w:val="20"/>
                <w:szCs w:val="20"/>
              </w:rPr>
              <w:t>0,1</w:t>
            </w:r>
          </w:p>
        </w:tc>
        <w:tc>
          <w:tcPr>
            <w:tcW w:w="991" w:type="dxa"/>
            <w:tcBorders>
              <w:top w:val="nil"/>
              <w:left w:val="nil"/>
              <w:bottom w:val="single" w:sz="4" w:space="0" w:color="auto"/>
              <w:right w:val="single" w:sz="4" w:space="0" w:color="auto"/>
            </w:tcBorders>
            <w:shd w:val="clear" w:color="auto" w:fill="auto"/>
            <w:vAlign w:val="bottom"/>
          </w:tcPr>
          <w:p w:rsidR="005E541F" w:rsidRPr="00A101D0" w:rsidRDefault="005E541F" w:rsidP="00191861">
            <w:pPr>
              <w:jc w:val="center"/>
              <w:rPr>
                <w:sz w:val="20"/>
                <w:szCs w:val="20"/>
              </w:rPr>
            </w:pPr>
            <w:r w:rsidRPr="00A101D0">
              <w:rPr>
                <w:sz w:val="20"/>
                <w:szCs w:val="20"/>
              </w:rPr>
              <w:t>0,0</w:t>
            </w:r>
          </w:p>
        </w:tc>
        <w:tc>
          <w:tcPr>
            <w:tcW w:w="1135" w:type="dxa"/>
            <w:tcBorders>
              <w:top w:val="nil"/>
              <w:left w:val="nil"/>
              <w:bottom w:val="single" w:sz="4" w:space="0" w:color="auto"/>
              <w:right w:val="single" w:sz="4" w:space="0" w:color="auto"/>
            </w:tcBorders>
            <w:shd w:val="clear" w:color="auto" w:fill="auto"/>
            <w:vAlign w:val="bottom"/>
          </w:tcPr>
          <w:p w:rsidR="005E541F" w:rsidRPr="00A101D0" w:rsidRDefault="005E541F" w:rsidP="00A101D0">
            <w:pPr>
              <w:ind w:left="-109" w:right="-15"/>
              <w:jc w:val="center"/>
              <w:rPr>
                <w:sz w:val="20"/>
                <w:szCs w:val="20"/>
              </w:rPr>
            </w:pPr>
            <w:r w:rsidRPr="00A101D0">
              <w:rPr>
                <w:sz w:val="20"/>
                <w:szCs w:val="20"/>
              </w:rPr>
              <w:t>0,1</w:t>
            </w:r>
          </w:p>
        </w:tc>
        <w:tc>
          <w:tcPr>
            <w:tcW w:w="1134" w:type="dxa"/>
            <w:tcBorders>
              <w:top w:val="nil"/>
              <w:left w:val="nil"/>
              <w:bottom w:val="single" w:sz="4" w:space="0" w:color="auto"/>
              <w:right w:val="single" w:sz="4" w:space="0" w:color="auto"/>
            </w:tcBorders>
            <w:shd w:val="clear" w:color="000000" w:fill="FFFFFF"/>
            <w:noWrap/>
            <w:vAlign w:val="bottom"/>
          </w:tcPr>
          <w:p w:rsidR="005E541F" w:rsidRPr="00A101D0" w:rsidRDefault="005E541F" w:rsidP="00191861">
            <w:pPr>
              <w:jc w:val="center"/>
              <w:rPr>
                <w:sz w:val="20"/>
                <w:szCs w:val="20"/>
              </w:rPr>
            </w:pPr>
            <w:r w:rsidRPr="00A101D0">
              <w:rPr>
                <w:sz w:val="20"/>
                <w:szCs w:val="20"/>
              </w:rPr>
              <w:t>Х</w:t>
            </w:r>
          </w:p>
        </w:tc>
      </w:tr>
      <w:tr w:rsidR="005E541F" w:rsidRPr="00467F9C" w:rsidTr="005E541F">
        <w:trPr>
          <w:gridAfter w:val="4"/>
          <w:wAfter w:w="21912" w:type="dxa"/>
          <w:trHeight w:val="252"/>
        </w:trPr>
        <w:tc>
          <w:tcPr>
            <w:tcW w:w="2120" w:type="dxa"/>
            <w:tcBorders>
              <w:top w:val="nil"/>
              <w:left w:val="single" w:sz="4" w:space="0" w:color="auto"/>
              <w:bottom w:val="single" w:sz="4" w:space="0" w:color="auto"/>
              <w:right w:val="single" w:sz="4" w:space="0" w:color="auto"/>
            </w:tcBorders>
            <w:shd w:val="clear" w:color="000000" w:fill="FFFFFF"/>
            <w:vAlign w:val="center"/>
            <w:hideMark/>
          </w:tcPr>
          <w:p w:rsidR="005E541F" w:rsidRPr="00A101D0" w:rsidRDefault="005E541F" w:rsidP="00191861">
            <w:pPr>
              <w:ind w:right="-103"/>
              <w:rPr>
                <w:sz w:val="20"/>
                <w:szCs w:val="20"/>
              </w:rPr>
            </w:pPr>
            <w:r w:rsidRPr="00A101D0">
              <w:rPr>
                <w:sz w:val="20"/>
                <w:szCs w:val="20"/>
              </w:rPr>
              <w:t xml:space="preserve">2. Финансовые активы </w:t>
            </w:r>
          </w:p>
        </w:tc>
        <w:tc>
          <w:tcPr>
            <w:tcW w:w="1129" w:type="dxa"/>
            <w:tcBorders>
              <w:top w:val="nil"/>
              <w:left w:val="nil"/>
              <w:bottom w:val="single" w:sz="4" w:space="0" w:color="auto"/>
              <w:right w:val="single" w:sz="4" w:space="0" w:color="auto"/>
            </w:tcBorders>
            <w:shd w:val="clear" w:color="auto" w:fill="auto"/>
            <w:vAlign w:val="bottom"/>
          </w:tcPr>
          <w:p w:rsidR="005E541F" w:rsidRPr="00A101D0" w:rsidRDefault="005E541F" w:rsidP="00A101D0">
            <w:pPr>
              <w:ind w:left="-63" w:right="-3"/>
              <w:jc w:val="center"/>
              <w:rPr>
                <w:sz w:val="20"/>
                <w:szCs w:val="20"/>
              </w:rPr>
            </w:pPr>
            <w:r w:rsidRPr="00A101D0">
              <w:rPr>
                <w:sz w:val="20"/>
                <w:szCs w:val="20"/>
              </w:rPr>
              <w:t>9 276 826,2</w:t>
            </w:r>
          </w:p>
        </w:tc>
        <w:tc>
          <w:tcPr>
            <w:tcW w:w="993" w:type="dxa"/>
            <w:tcBorders>
              <w:top w:val="nil"/>
              <w:left w:val="nil"/>
              <w:bottom w:val="single" w:sz="4" w:space="0" w:color="auto"/>
              <w:right w:val="single" w:sz="4" w:space="0" w:color="auto"/>
            </w:tcBorders>
            <w:shd w:val="clear" w:color="auto" w:fill="auto"/>
            <w:vAlign w:val="bottom"/>
          </w:tcPr>
          <w:p w:rsidR="005E541F" w:rsidRPr="00A101D0" w:rsidRDefault="005E541F" w:rsidP="00191861">
            <w:pPr>
              <w:jc w:val="center"/>
              <w:rPr>
                <w:sz w:val="20"/>
                <w:szCs w:val="20"/>
              </w:rPr>
            </w:pPr>
            <w:r w:rsidRPr="00A101D0">
              <w:rPr>
                <w:sz w:val="20"/>
                <w:szCs w:val="20"/>
              </w:rPr>
              <w:t>45,4</w:t>
            </w:r>
          </w:p>
        </w:tc>
        <w:tc>
          <w:tcPr>
            <w:tcW w:w="1133" w:type="dxa"/>
            <w:tcBorders>
              <w:top w:val="nil"/>
              <w:left w:val="nil"/>
              <w:bottom w:val="single" w:sz="4" w:space="0" w:color="auto"/>
              <w:right w:val="single" w:sz="4" w:space="0" w:color="auto"/>
            </w:tcBorders>
            <w:shd w:val="clear" w:color="000000" w:fill="FFFFFF"/>
            <w:noWrap/>
            <w:vAlign w:val="bottom"/>
          </w:tcPr>
          <w:p w:rsidR="005E541F" w:rsidRPr="00A101D0" w:rsidRDefault="005E541F" w:rsidP="00191861">
            <w:pPr>
              <w:ind w:left="-109" w:right="-125"/>
              <w:jc w:val="center"/>
              <w:rPr>
                <w:sz w:val="20"/>
                <w:szCs w:val="20"/>
              </w:rPr>
            </w:pPr>
            <w:r w:rsidRPr="00A101D0">
              <w:rPr>
                <w:sz w:val="20"/>
                <w:szCs w:val="20"/>
              </w:rPr>
              <w:t>9 276 871,6</w:t>
            </w:r>
          </w:p>
        </w:tc>
        <w:tc>
          <w:tcPr>
            <w:tcW w:w="1133" w:type="dxa"/>
            <w:tcBorders>
              <w:top w:val="nil"/>
              <w:left w:val="nil"/>
              <w:bottom w:val="single" w:sz="4" w:space="0" w:color="auto"/>
              <w:right w:val="single" w:sz="4" w:space="0" w:color="auto"/>
            </w:tcBorders>
            <w:shd w:val="clear" w:color="auto" w:fill="auto"/>
            <w:vAlign w:val="bottom"/>
          </w:tcPr>
          <w:p w:rsidR="005E541F" w:rsidRPr="00A101D0" w:rsidRDefault="005E541F" w:rsidP="00A101D0">
            <w:pPr>
              <w:ind w:left="-70" w:right="-17"/>
              <w:jc w:val="center"/>
              <w:rPr>
                <w:sz w:val="20"/>
                <w:szCs w:val="20"/>
              </w:rPr>
            </w:pPr>
            <w:r w:rsidRPr="00A101D0">
              <w:rPr>
                <w:sz w:val="20"/>
                <w:szCs w:val="20"/>
              </w:rPr>
              <w:t>10265 626,6</w:t>
            </w:r>
          </w:p>
        </w:tc>
        <w:tc>
          <w:tcPr>
            <w:tcW w:w="991" w:type="dxa"/>
            <w:tcBorders>
              <w:top w:val="nil"/>
              <w:left w:val="nil"/>
              <w:bottom w:val="single" w:sz="4" w:space="0" w:color="auto"/>
              <w:right w:val="single" w:sz="4" w:space="0" w:color="auto"/>
            </w:tcBorders>
            <w:shd w:val="clear" w:color="auto" w:fill="auto"/>
            <w:vAlign w:val="bottom"/>
          </w:tcPr>
          <w:p w:rsidR="005E541F" w:rsidRPr="00A101D0" w:rsidRDefault="005E541F" w:rsidP="00191861">
            <w:pPr>
              <w:jc w:val="center"/>
              <w:rPr>
                <w:sz w:val="20"/>
                <w:szCs w:val="20"/>
              </w:rPr>
            </w:pPr>
            <w:r w:rsidRPr="00A101D0">
              <w:rPr>
                <w:sz w:val="20"/>
                <w:szCs w:val="20"/>
              </w:rPr>
              <w:t>46,4</w:t>
            </w:r>
          </w:p>
        </w:tc>
        <w:tc>
          <w:tcPr>
            <w:tcW w:w="1135" w:type="dxa"/>
            <w:tcBorders>
              <w:top w:val="nil"/>
              <w:left w:val="nil"/>
              <w:bottom w:val="single" w:sz="4" w:space="0" w:color="auto"/>
              <w:right w:val="single" w:sz="4" w:space="0" w:color="auto"/>
            </w:tcBorders>
            <w:shd w:val="clear" w:color="auto" w:fill="auto"/>
            <w:vAlign w:val="bottom"/>
          </w:tcPr>
          <w:p w:rsidR="005E541F" w:rsidRPr="00A101D0" w:rsidRDefault="005E541F" w:rsidP="00A101D0">
            <w:pPr>
              <w:ind w:left="-109" w:right="-157" w:hanging="105"/>
              <w:jc w:val="center"/>
              <w:rPr>
                <w:sz w:val="20"/>
                <w:szCs w:val="20"/>
              </w:rPr>
            </w:pPr>
            <w:r w:rsidRPr="00A101D0">
              <w:rPr>
                <w:sz w:val="20"/>
                <w:szCs w:val="20"/>
              </w:rPr>
              <w:t>10 265 673,0</w:t>
            </w:r>
          </w:p>
        </w:tc>
        <w:tc>
          <w:tcPr>
            <w:tcW w:w="1134" w:type="dxa"/>
            <w:tcBorders>
              <w:top w:val="nil"/>
              <w:left w:val="nil"/>
              <w:bottom w:val="single" w:sz="4" w:space="0" w:color="auto"/>
              <w:right w:val="single" w:sz="4" w:space="0" w:color="auto"/>
            </w:tcBorders>
            <w:shd w:val="clear" w:color="000000" w:fill="FFFFFF"/>
            <w:noWrap/>
            <w:vAlign w:val="bottom"/>
          </w:tcPr>
          <w:p w:rsidR="005E541F" w:rsidRPr="00A101D0" w:rsidRDefault="005E541F" w:rsidP="00191861">
            <w:pPr>
              <w:jc w:val="center"/>
              <w:rPr>
                <w:sz w:val="20"/>
                <w:szCs w:val="20"/>
              </w:rPr>
            </w:pPr>
            <w:r w:rsidRPr="00A101D0">
              <w:rPr>
                <w:sz w:val="20"/>
                <w:szCs w:val="20"/>
              </w:rPr>
              <w:t>988 801,4</w:t>
            </w:r>
          </w:p>
        </w:tc>
      </w:tr>
      <w:tr w:rsidR="005E541F" w:rsidRPr="00467F9C" w:rsidTr="005E541F">
        <w:trPr>
          <w:gridAfter w:val="4"/>
          <w:wAfter w:w="21912" w:type="dxa"/>
          <w:trHeight w:val="252"/>
        </w:trPr>
        <w:tc>
          <w:tcPr>
            <w:tcW w:w="2120" w:type="dxa"/>
            <w:tcBorders>
              <w:top w:val="nil"/>
              <w:left w:val="single" w:sz="4" w:space="0" w:color="auto"/>
              <w:bottom w:val="single" w:sz="4" w:space="0" w:color="auto"/>
              <w:right w:val="single" w:sz="4" w:space="0" w:color="auto"/>
            </w:tcBorders>
            <w:shd w:val="clear" w:color="000000" w:fill="FFFFFF"/>
            <w:noWrap/>
            <w:vAlign w:val="center"/>
            <w:hideMark/>
          </w:tcPr>
          <w:p w:rsidR="005E541F" w:rsidRPr="00A101D0" w:rsidRDefault="005E541F" w:rsidP="00191861">
            <w:pPr>
              <w:ind w:right="-103"/>
              <w:rPr>
                <w:i/>
                <w:iCs/>
                <w:sz w:val="20"/>
                <w:szCs w:val="20"/>
              </w:rPr>
            </w:pPr>
            <w:r w:rsidRPr="00A101D0">
              <w:rPr>
                <w:i/>
                <w:iCs/>
                <w:sz w:val="20"/>
                <w:szCs w:val="20"/>
              </w:rPr>
              <w:t>Структура %</w:t>
            </w:r>
          </w:p>
        </w:tc>
        <w:tc>
          <w:tcPr>
            <w:tcW w:w="1129" w:type="dxa"/>
            <w:tcBorders>
              <w:top w:val="nil"/>
              <w:left w:val="nil"/>
              <w:bottom w:val="single" w:sz="4" w:space="0" w:color="auto"/>
              <w:right w:val="single" w:sz="4" w:space="0" w:color="auto"/>
            </w:tcBorders>
            <w:shd w:val="clear" w:color="auto" w:fill="auto"/>
            <w:vAlign w:val="bottom"/>
          </w:tcPr>
          <w:p w:rsidR="005E541F" w:rsidRPr="00A101D0" w:rsidRDefault="005E541F" w:rsidP="00A101D0">
            <w:pPr>
              <w:ind w:left="-63" w:right="-3"/>
              <w:jc w:val="center"/>
              <w:rPr>
                <w:sz w:val="20"/>
                <w:szCs w:val="20"/>
              </w:rPr>
            </w:pPr>
            <w:r w:rsidRPr="00A101D0">
              <w:rPr>
                <w:sz w:val="20"/>
                <w:szCs w:val="20"/>
              </w:rPr>
              <w:t>99,9</w:t>
            </w:r>
          </w:p>
        </w:tc>
        <w:tc>
          <w:tcPr>
            <w:tcW w:w="993" w:type="dxa"/>
            <w:tcBorders>
              <w:top w:val="nil"/>
              <w:left w:val="nil"/>
              <w:bottom w:val="single" w:sz="4" w:space="0" w:color="auto"/>
              <w:right w:val="single" w:sz="4" w:space="0" w:color="auto"/>
            </w:tcBorders>
            <w:shd w:val="clear" w:color="auto" w:fill="auto"/>
            <w:vAlign w:val="bottom"/>
          </w:tcPr>
          <w:p w:rsidR="005E541F" w:rsidRPr="00A101D0" w:rsidRDefault="005E541F" w:rsidP="00191861">
            <w:pPr>
              <w:jc w:val="center"/>
              <w:rPr>
                <w:sz w:val="20"/>
                <w:szCs w:val="20"/>
              </w:rPr>
            </w:pPr>
            <w:r w:rsidRPr="00A101D0">
              <w:rPr>
                <w:sz w:val="20"/>
                <w:szCs w:val="20"/>
              </w:rPr>
              <w:t>100,0</w:t>
            </w:r>
          </w:p>
        </w:tc>
        <w:tc>
          <w:tcPr>
            <w:tcW w:w="1133" w:type="dxa"/>
            <w:tcBorders>
              <w:top w:val="nil"/>
              <w:left w:val="nil"/>
              <w:bottom w:val="single" w:sz="4" w:space="0" w:color="auto"/>
              <w:right w:val="single" w:sz="4" w:space="0" w:color="auto"/>
            </w:tcBorders>
            <w:shd w:val="clear" w:color="000000" w:fill="FFFFFF"/>
            <w:noWrap/>
            <w:vAlign w:val="bottom"/>
          </w:tcPr>
          <w:p w:rsidR="005E541F" w:rsidRPr="00A101D0" w:rsidRDefault="005E541F" w:rsidP="00191861">
            <w:pPr>
              <w:ind w:left="-109" w:right="-125"/>
              <w:jc w:val="center"/>
              <w:rPr>
                <w:sz w:val="20"/>
                <w:szCs w:val="20"/>
              </w:rPr>
            </w:pPr>
            <w:r w:rsidRPr="00A101D0">
              <w:rPr>
                <w:sz w:val="20"/>
                <w:szCs w:val="20"/>
              </w:rPr>
              <w:t>99,9</w:t>
            </w:r>
          </w:p>
        </w:tc>
        <w:tc>
          <w:tcPr>
            <w:tcW w:w="1133" w:type="dxa"/>
            <w:tcBorders>
              <w:top w:val="nil"/>
              <w:left w:val="nil"/>
              <w:bottom w:val="single" w:sz="4" w:space="0" w:color="auto"/>
              <w:right w:val="single" w:sz="4" w:space="0" w:color="auto"/>
            </w:tcBorders>
            <w:shd w:val="clear" w:color="auto" w:fill="auto"/>
            <w:vAlign w:val="bottom"/>
          </w:tcPr>
          <w:p w:rsidR="005E541F" w:rsidRPr="00A101D0" w:rsidRDefault="005E541F" w:rsidP="00A101D0">
            <w:pPr>
              <w:ind w:left="-70" w:right="-17"/>
              <w:jc w:val="center"/>
              <w:rPr>
                <w:sz w:val="20"/>
                <w:szCs w:val="20"/>
              </w:rPr>
            </w:pPr>
            <w:r w:rsidRPr="00A101D0">
              <w:rPr>
                <w:sz w:val="20"/>
                <w:szCs w:val="20"/>
              </w:rPr>
              <w:t>99,9</w:t>
            </w:r>
          </w:p>
        </w:tc>
        <w:tc>
          <w:tcPr>
            <w:tcW w:w="991" w:type="dxa"/>
            <w:tcBorders>
              <w:top w:val="nil"/>
              <w:left w:val="nil"/>
              <w:bottom w:val="single" w:sz="4" w:space="0" w:color="auto"/>
              <w:right w:val="single" w:sz="4" w:space="0" w:color="auto"/>
            </w:tcBorders>
            <w:shd w:val="clear" w:color="auto" w:fill="auto"/>
            <w:vAlign w:val="bottom"/>
          </w:tcPr>
          <w:p w:rsidR="005E541F" w:rsidRPr="00A101D0" w:rsidRDefault="005E541F" w:rsidP="00191861">
            <w:pPr>
              <w:jc w:val="center"/>
              <w:rPr>
                <w:sz w:val="20"/>
                <w:szCs w:val="20"/>
              </w:rPr>
            </w:pPr>
            <w:r w:rsidRPr="00A101D0">
              <w:rPr>
                <w:sz w:val="20"/>
                <w:szCs w:val="20"/>
              </w:rPr>
              <w:t>100,0</w:t>
            </w:r>
          </w:p>
        </w:tc>
        <w:tc>
          <w:tcPr>
            <w:tcW w:w="1135" w:type="dxa"/>
            <w:tcBorders>
              <w:top w:val="nil"/>
              <w:left w:val="nil"/>
              <w:bottom w:val="single" w:sz="4" w:space="0" w:color="auto"/>
              <w:right w:val="single" w:sz="4" w:space="0" w:color="auto"/>
            </w:tcBorders>
            <w:shd w:val="clear" w:color="auto" w:fill="auto"/>
            <w:vAlign w:val="bottom"/>
          </w:tcPr>
          <w:p w:rsidR="005E541F" w:rsidRPr="00A101D0" w:rsidRDefault="005E541F" w:rsidP="00A101D0">
            <w:pPr>
              <w:ind w:left="-109" w:right="-15"/>
              <w:jc w:val="center"/>
              <w:rPr>
                <w:sz w:val="20"/>
                <w:szCs w:val="20"/>
              </w:rPr>
            </w:pPr>
            <w:r w:rsidRPr="00A101D0">
              <w:rPr>
                <w:sz w:val="20"/>
                <w:szCs w:val="20"/>
              </w:rPr>
              <w:t>99,9</w:t>
            </w:r>
          </w:p>
        </w:tc>
        <w:tc>
          <w:tcPr>
            <w:tcW w:w="1134" w:type="dxa"/>
            <w:tcBorders>
              <w:top w:val="nil"/>
              <w:left w:val="nil"/>
              <w:bottom w:val="single" w:sz="4" w:space="0" w:color="auto"/>
              <w:right w:val="single" w:sz="4" w:space="0" w:color="auto"/>
            </w:tcBorders>
            <w:shd w:val="clear" w:color="000000" w:fill="FFFFFF"/>
            <w:noWrap/>
            <w:vAlign w:val="bottom"/>
          </w:tcPr>
          <w:p w:rsidR="005E541F" w:rsidRPr="00A101D0" w:rsidRDefault="005E541F" w:rsidP="00191861">
            <w:pPr>
              <w:jc w:val="center"/>
              <w:rPr>
                <w:sz w:val="20"/>
                <w:szCs w:val="20"/>
              </w:rPr>
            </w:pPr>
            <w:r w:rsidRPr="00A101D0">
              <w:rPr>
                <w:sz w:val="20"/>
                <w:szCs w:val="20"/>
              </w:rPr>
              <w:t>Х</w:t>
            </w:r>
          </w:p>
        </w:tc>
      </w:tr>
      <w:tr w:rsidR="005E541F" w:rsidRPr="00467F9C" w:rsidTr="005E541F">
        <w:trPr>
          <w:gridAfter w:val="4"/>
          <w:wAfter w:w="21912" w:type="dxa"/>
          <w:trHeight w:val="252"/>
        </w:trPr>
        <w:tc>
          <w:tcPr>
            <w:tcW w:w="2120" w:type="dxa"/>
            <w:tcBorders>
              <w:top w:val="nil"/>
              <w:left w:val="single" w:sz="4" w:space="0" w:color="auto"/>
              <w:bottom w:val="single" w:sz="4" w:space="0" w:color="auto"/>
              <w:right w:val="single" w:sz="4" w:space="0" w:color="auto"/>
            </w:tcBorders>
            <w:shd w:val="clear" w:color="000000" w:fill="FFFFFF"/>
            <w:noWrap/>
            <w:vAlign w:val="center"/>
            <w:hideMark/>
          </w:tcPr>
          <w:p w:rsidR="005E541F" w:rsidRPr="00A101D0" w:rsidRDefault="005E541F" w:rsidP="00191861">
            <w:pPr>
              <w:ind w:right="-103"/>
              <w:rPr>
                <w:b/>
                <w:bCs/>
                <w:sz w:val="20"/>
                <w:szCs w:val="20"/>
              </w:rPr>
            </w:pPr>
            <w:r w:rsidRPr="00A101D0">
              <w:rPr>
                <w:b/>
                <w:bCs/>
                <w:sz w:val="20"/>
                <w:szCs w:val="20"/>
              </w:rPr>
              <w:t xml:space="preserve">Баланс </w:t>
            </w:r>
          </w:p>
        </w:tc>
        <w:tc>
          <w:tcPr>
            <w:tcW w:w="1129" w:type="dxa"/>
            <w:tcBorders>
              <w:top w:val="nil"/>
              <w:left w:val="nil"/>
              <w:bottom w:val="single" w:sz="4" w:space="0" w:color="auto"/>
              <w:right w:val="single" w:sz="4" w:space="0" w:color="auto"/>
            </w:tcBorders>
            <w:shd w:val="clear" w:color="000000" w:fill="FFFFFF"/>
            <w:noWrap/>
            <w:vAlign w:val="bottom"/>
          </w:tcPr>
          <w:p w:rsidR="005E541F" w:rsidRPr="00A101D0" w:rsidRDefault="005E541F" w:rsidP="00A101D0">
            <w:pPr>
              <w:ind w:left="-63" w:right="-3"/>
              <w:jc w:val="center"/>
              <w:rPr>
                <w:b/>
                <w:bCs/>
                <w:sz w:val="20"/>
                <w:szCs w:val="20"/>
              </w:rPr>
            </w:pPr>
            <w:r w:rsidRPr="00A101D0">
              <w:rPr>
                <w:b/>
                <w:bCs/>
                <w:sz w:val="20"/>
                <w:szCs w:val="20"/>
              </w:rPr>
              <w:t>9 283 533,3</w:t>
            </w:r>
          </w:p>
        </w:tc>
        <w:tc>
          <w:tcPr>
            <w:tcW w:w="993" w:type="dxa"/>
            <w:tcBorders>
              <w:top w:val="nil"/>
              <w:left w:val="nil"/>
              <w:bottom w:val="single" w:sz="4" w:space="0" w:color="auto"/>
              <w:right w:val="single" w:sz="4" w:space="0" w:color="auto"/>
            </w:tcBorders>
            <w:shd w:val="clear" w:color="000000" w:fill="FFFFFF"/>
            <w:noWrap/>
            <w:vAlign w:val="bottom"/>
          </w:tcPr>
          <w:p w:rsidR="005E541F" w:rsidRPr="00A101D0" w:rsidRDefault="005E541F" w:rsidP="00191861">
            <w:pPr>
              <w:jc w:val="center"/>
              <w:rPr>
                <w:b/>
                <w:bCs/>
                <w:sz w:val="20"/>
                <w:szCs w:val="20"/>
              </w:rPr>
            </w:pPr>
            <w:r w:rsidRPr="00A101D0">
              <w:rPr>
                <w:b/>
                <w:bCs/>
                <w:sz w:val="20"/>
                <w:szCs w:val="20"/>
              </w:rPr>
              <w:t>45,4</w:t>
            </w:r>
          </w:p>
        </w:tc>
        <w:tc>
          <w:tcPr>
            <w:tcW w:w="1133" w:type="dxa"/>
            <w:tcBorders>
              <w:top w:val="nil"/>
              <w:left w:val="nil"/>
              <w:bottom w:val="single" w:sz="4" w:space="0" w:color="auto"/>
              <w:right w:val="single" w:sz="4" w:space="0" w:color="auto"/>
            </w:tcBorders>
            <w:shd w:val="clear" w:color="000000" w:fill="FFFFFF"/>
            <w:noWrap/>
            <w:vAlign w:val="bottom"/>
          </w:tcPr>
          <w:p w:rsidR="005E541F" w:rsidRPr="00A101D0" w:rsidRDefault="005E541F" w:rsidP="00191861">
            <w:pPr>
              <w:ind w:left="-109" w:right="-125"/>
              <w:jc w:val="center"/>
              <w:rPr>
                <w:b/>
                <w:bCs/>
                <w:sz w:val="20"/>
                <w:szCs w:val="20"/>
              </w:rPr>
            </w:pPr>
            <w:r w:rsidRPr="00A101D0">
              <w:rPr>
                <w:b/>
                <w:bCs/>
                <w:sz w:val="20"/>
                <w:szCs w:val="20"/>
              </w:rPr>
              <w:t>9 283 578,7</w:t>
            </w:r>
          </w:p>
        </w:tc>
        <w:tc>
          <w:tcPr>
            <w:tcW w:w="1133" w:type="dxa"/>
            <w:tcBorders>
              <w:top w:val="nil"/>
              <w:left w:val="nil"/>
              <w:bottom w:val="single" w:sz="4" w:space="0" w:color="auto"/>
              <w:right w:val="single" w:sz="4" w:space="0" w:color="auto"/>
            </w:tcBorders>
            <w:shd w:val="clear" w:color="000000" w:fill="FFFFFF"/>
            <w:noWrap/>
            <w:vAlign w:val="bottom"/>
          </w:tcPr>
          <w:p w:rsidR="005E541F" w:rsidRPr="00A101D0" w:rsidRDefault="005E541F" w:rsidP="00A101D0">
            <w:pPr>
              <w:ind w:left="-70" w:right="-17"/>
              <w:jc w:val="center"/>
              <w:rPr>
                <w:b/>
                <w:bCs/>
                <w:sz w:val="20"/>
                <w:szCs w:val="20"/>
              </w:rPr>
            </w:pPr>
            <w:r w:rsidRPr="00A101D0">
              <w:rPr>
                <w:b/>
                <w:sz w:val="20"/>
                <w:szCs w:val="20"/>
              </w:rPr>
              <w:t>10 272903,8</w:t>
            </w:r>
          </w:p>
        </w:tc>
        <w:tc>
          <w:tcPr>
            <w:tcW w:w="991" w:type="dxa"/>
            <w:tcBorders>
              <w:top w:val="nil"/>
              <w:left w:val="nil"/>
              <w:bottom w:val="single" w:sz="4" w:space="0" w:color="auto"/>
              <w:right w:val="single" w:sz="4" w:space="0" w:color="auto"/>
            </w:tcBorders>
            <w:shd w:val="clear" w:color="000000" w:fill="FFFFFF"/>
            <w:noWrap/>
            <w:vAlign w:val="bottom"/>
          </w:tcPr>
          <w:p w:rsidR="005E541F" w:rsidRPr="00A101D0" w:rsidRDefault="005E541F" w:rsidP="00191861">
            <w:pPr>
              <w:jc w:val="center"/>
              <w:rPr>
                <w:b/>
                <w:bCs/>
                <w:sz w:val="20"/>
                <w:szCs w:val="20"/>
              </w:rPr>
            </w:pPr>
            <w:r w:rsidRPr="00A101D0">
              <w:rPr>
                <w:b/>
                <w:bCs/>
                <w:sz w:val="20"/>
                <w:szCs w:val="20"/>
              </w:rPr>
              <w:t>46,4</w:t>
            </w:r>
          </w:p>
        </w:tc>
        <w:tc>
          <w:tcPr>
            <w:tcW w:w="1135" w:type="dxa"/>
            <w:tcBorders>
              <w:top w:val="nil"/>
              <w:left w:val="nil"/>
              <w:bottom w:val="single" w:sz="4" w:space="0" w:color="auto"/>
              <w:right w:val="single" w:sz="4" w:space="0" w:color="auto"/>
            </w:tcBorders>
            <w:shd w:val="clear" w:color="000000" w:fill="FFFFFF"/>
            <w:noWrap/>
            <w:vAlign w:val="bottom"/>
          </w:tcPr>
          <w:p w:rsidR="005E541F" w:rsidRPr="00A101D0" w:rsidRDefault="005E541F" w:rsidP="00A101D0">
            <w:pPr>
              <w:ind w:left="-109" w:right="-157" w:hanging="105"/>
              <w:jc w:val="center"/>
              <w:rPr>
                <w:b/>
                <w:bCs/>
                <w:sz w:val="20"/>
                <w:szCs w:val="20"/>
              </w:rPr>
            </w:pPr>
            <w:r w:rsidRPr="00A101D0">
              <w:rPr>
                <w:b/>
                <w:bCs/>
                <w:sz w:val="20"/>
                <w:szCs w:val="20"/>
              </w:rPr>
              <w:t>10 272 950,2</w:t>
            </w:r>
          </w:p>
        </w:tc>
        <w:tc>
          <w:tcPr>
            <w:tcW w:w="1134" w:type="dxa"/>
            <w:tcBorders>
              <w:top w:val="nil"/>
              <w:left w:val="nil"/>
              <w:bottom w:val="single" w:sz="4" w:space="0" w:color="auto"/>
              <w:right w:val="single" w:sz="4" w:space="0" w:color="auto"/>
            </w:tcBorders>
            <w:shd w:val="clear" w:color="000000" w:fill="FFFFFF"/>
            <w:noWrap/>
            <w:vAlign w:val="bottom"/>
          </w:tcPr>
          <w:p w:rsidR="005E541F" w:rsidRPr="00A101D0" w:rsidRDefault="005E541F" w:rsidP="00191861">
            <w:pPr>
              <w:jc w:val="center"/>
              <w:rPr>
                <w:b/>
                <w:bCs/>
                <w:sz w:val="20"/>
                <w:szCs w:val="20"/>
              </w:rPr>
            </w:pPr>
            <w:r w:rsidRPr="00A101D0">
              <w:rPr>
                <w:b/>
                <w:bCs/>
                <w:sz w:val="20"/>
                <w:szCs w:val="20"/>
              </w:rPr>
              <w:t>989 371,5</w:t>
            </w:r>
          </w:p>
        </w:tc>
      </w:tr>
      <w:tr w:rsidR="005E541F" w:rsidRPr="00467F9C" w:rsidTr="005E541F">
        <w:trPr>
          <w:trHeight w:val="252"/>
        </w:trPr>
        <w:tc>
          <w:tcPr>
            <w:tcW w:w="9768" w:type="dxa"/>
            <w:gridSpan w:val="8"/>
            <w:tcBorders>
              <w:top w:val="single" w:sz="4" w:space="0" w:color="auto"/>
              <w:left w:val="single" w:sz="4" w:space="0" w:color="auto"/>
              <w:bottom w:val="single" w:sz="4" w:space="0" w:color="auto"/>
              <w:right w:val="single" w:sz="4" w:space="0" w:color="000000"/>
            </w:tcBorders>
            <w:shd w:val="clear" w:color="000000" w:fill="FFFFFF"/>
            <w:noWrap/>
            <w:vAlign w:val="bottom"/>
          </w:tcPr>
          <w:p w:rsidR="005E541F" w:rsidRPr="00467F9C" w:rsidRDefault="005E541F" w:rsidP="00191861">
            <w:pPr>
              <w:jc w:val="center"/>
              <w:rPr>
                <w:b/>
                <w:bCs/>
                <w:sz w:val="18"/>
                <w:szCs w:val="18"/>
              </w:rPr>
            </w:pPr>
            <w:r w:rsidRPr="00467F9C">
              <w:rPr>
                <w:b/>
                <w:bCs/>
                <w:sz w:val="18"/>
                <w:szCs w:val="18"/>
              </w:rPr>
              <w:t>ПАССИВ</w:t>
            </w:r>
          </w:p>
        </w:tc>
        <w:tc>
          <w:tcPr>
            <w:tcW w:w="5478" w:type="dxa"/>
          </w:tcPr>
          <w:p w:rsidR="005E541F" w:rsidRPr="00467F9C" w:rsidRDefault="005E541F" w:rsidP="00191861">
            <w:pPr>
              <w:rPr>
                <w:sz w:val="20"/>
                <w:szCs w:val="20"/>
              </w:rPr>
            </w:pPr>
          </w:p>
        </w:tc>
        <w:tc>
          <w:tcPr>
            <w:tcW w:w="5478" w:type="dxa"/>
          </w:tcPr>
          <w:p w:rsidR="005E541F" w:rsidRPr="00467F9C" w:rsidRDefault="005E541F" w:rsidP="00191861">
            <w:pPr>
              <w:rPr>
                <w:sz w:val="20"/>
                <w:szCs w:val="20"/>
              </w:rPr>
            </w:pPr>
          </w:p>
        </w:tc>
        <w:tc>
          <w:tcPr>
            <w:tcW w:w="5478" w:type="dxa"/>
          </w:tcPr>
          <w:p w:rsidR="005E541F" w:rsidRPr="00467F9C" w:rsidRDefault="005E541F" w:rsidP="00191861">
            <w:pPr>
              <w:rPr>
                <w:sz w:val="20"/>
                <w:szCs w:val="20"/>
              </w:rPr>
            </w:pPr>
          </w:p>
        </w:tc>
        <w:tc>
          <w:tcPr>
            <w:tcW w:w="5478" w:type="dxa"/>
            <w:vAlign w:val="center"/>
          </w:tcPr>
          <w:p w:rsidR="005E541F" w:rsidRPr="00467F9C" w:rsidRDefault="005E541F" w:rsidP="00191861">
            <w:pPr>
              <w:jc w:val="center"/>
              <w:rPr>
                <w:b/>
                <w:bCs/>
                <w:sz w:val="18"/>
                <w:szCs w:val="18"/>
              </w:rPr>
            </w:pPr>
            <w:r w:rsidRPr="00467F9C">
              <w:rPr>
                <w:b/>
                <w:bCs/>
                <w:sz w:val="18"/>
                <w:szCs w:val="18"/>
              </w:rPr>
              <w:t>ПАССИВ</w:t>
            </w:r>
          </w:p>
        </w:tc>
      </w:tr>
      <w:tr w:rsidR="005E541F" w:rsidRPr="00467F9C" w:rsidTr="005E541F">
        <w:trPr>
          <w:gridAfter w:val="4"/>
          <w:wAfter w:w="21912" w:type="dxa"/>
          <w:trHeight w:val="252"/>
        </w:trPr>
        <w:tc>
          <w:tcPr>
            <w:tcW w:w="2120" w:type="dxa"/>
            <w:tcBorders>
              <w:top w:val="nil"/>
              <w:left w:val="single" w:sz="4" w:space="0" w:color="auto"/>
              <w:bottom w:val="single" w:sz="4" w:space="0" w:color="auto"/>
              <w:right w:val="single" w:sz="4" w:space="0" w:color="auto"/>
            </w:tcBorders>
            <w:shd w:val="clear" w:color="000000" w:fill="FFFFFF"/>
            <w:vAlign w:val="center"/>
            <w:hideMark/>
          </w:tcPr>
          <w:p w:rsidR="005E541F" w:rsidRPr="00A101D0" w:rsidRDefault="005E541F" w:rsidP="00191861">
            <w:pPr>
              <w:ind w:right="-103"/>
              <w:rPr>
                <w:sz w:val="20"/>
                <w:szCs w:val="20"/>
              </w:rPr>
            </w:pPr>
            <w:r w:rsidRPr="00A101D0">
              <w:rPr>
                <w:sz w:val="20"/>
                <w:szCs w:val="20"/>
              </w:rPr>
              <w:t xml:space="preserve">3.Обязательства </w:t>
            </w:r>
          </w:p>
        </w:tc>
        <w:tc>
          <w:tcPr>
            <w:tcW w:w="1129" w:type="dxa"/>
            <w:tcBorders>
              <w:top w:val="nil"/>
              <w:left w:val="nil"/>
              <w:bottom w:val="single" w:sz="4" w:space="0" w:color="auto"/>
              <w:right w:val="single" w:sz="4" w:space="0" w:color="auto"/>
            </w:tcBorders>
            <w:shd w:val="clear" w:color="auto" w:fill="auto"/>
            <w:vAlign w:val="bottom"/>
          </w:tcPr>
          <w:p w:rsidR="005E541F" w:rsidRPr="00A101D0" w:rsidRDefault="005E541F" w:rsidP="00A101D0">
            <w:pPr>
              <w:ind w:left="-63" w:right="-145"/>
              <w:jc w:val="center"/>
              <w:rPr>
                <w:sz w:val="20"/>
                <w:szCs w:val="20"/>
              </w:rPr>
            </w:pPr>
            <w:r w:rsidRPr="00A101D0">
              <w:rPr>
                <w:sz w:val="20"/>
                <w:szCs w:val="20"/>
              </w:rPr>
              <w:t>9 311 599,0</w:t>
            </w:r>
          </w:p>
        </w:tc>
        <w:tc>
          <w:tcPr>
            <w:tcW w:w="993" w:type="dxa"/>
            <w:tcBorders>
              <w:top w:val="nil"/>
              <w:left w:val="nil"/>
              <w:bottom w:val="single" w:sz="4" w:space="0" w:color="auto"/>
              <w:right w:val="single" w:sz="4" w:space="0" w:color="auto"/>
            </w:tcBorders>
            <w:shd w:val="clear" w:color="auto" w:fill="auto"/>
            <w:vAlign w:val="bottom"/>
          </w:tcPr>
          <w:p w:rsidR="005E541F" w:rsidRPr="00A101D0" w:rsidRDefault="005E541F" w:rsidP="00191861">
            <w:pPr>
              <w:jc w:val="center"/>
              <w:rPr>
                <w:sz w:val="20"/>
                <w:szCs w:val="20"/>
              </w:rPr>
            </w:pPr>
            <w:r w:rsidRPr="00A101D0">
              <w:rPr>
                <w:sz w:val="20"/>
                <w:szCs w:val="20"/>
              </w:rPr>
              <w:t>45,4</w:t>
            </w:r>
          </w:p>
        </w:tc>
        <w:tc>
          <w:tcPr>
            <w:tcW w:w="1133" w:type="dxa"/>
            <w:tcBorders>
              <w:top w:val="nil"/>
              <w:left w:val="nil"/>
              <w:bottom w:val="single" w:sz="4" w:space="0" w:color="auto"/>
              <w:right w:val="single" w:sz="4" w:space="0" w:color="auto"/>
            </w:tcBorders>
            <w:shd w:val="clear" w:color="auto" w:fill="auto"/>
            <w:noWrap/>
            <w:vAlign w:val="bottom"/>
          </w:tcPr>
          <w:p w:rsidR="005E541F" w:rsidRPr="00A101D0" w:rsidRDefault="005E541F" w:rsidP="00191861">
            <w:pPr>
              <w:ind w:left="-109" w:right="-125"/>
              <w:jc w:val="center"/>
              <w:rPr>
                <w:sz w:val="20"/>
                <w:szCs w:val="20"/>
              </w:rPr>
            </w:pPr>
            <w:r w:rsidRPr="00A101D0">
              <w:rPr>
                <w:sz w:val="20"/>
                <w:szCs w:val="20"/>
              </w:rPr>
              <w:t>9 311 644,4</w:t>
            </w:r>
          </w:p>
        </w:tc>
        <w:tc>
          <w:tcPr>
            <w:tcW w:w="1133" w:type="dxa"/>
            <w:tcBorders>
              <w:top w:val="nil"/>
              <w:left w:val="nil"/>
              <w:bottom w:val="single" w:sz="4" w:space="0" w:color="auto"/>
              <w:right w:val="single" w:sz="4" w:space="0" w:color="auto"/>
            </w:tcBorders>
            <w:shd w:val="clear" w:color="auto" w:fill="auto"/>
            <w:vAlign w:val="bottom"/>
          </w:tcPr>
          <w:p w:rsidR="005E541F" w:rsidRPr="00A101D0" w:rsidRDefault="005E541F" w:rsidP="00A101D0">
            <w:pPr>
              <w:ind w:left="-70" w:right="-17"/>
              <w:jc w:val="center"/>
              <w:rPr>
                <w:sz w:val="20"/>
                <w:szCs w:val="20"/>
              </w:rPr>
            </w:pPr>
            <w:r w:rsidRPr="00A101D0">
              <w:rPr>
                <w:sz w:val="20"/>
                <w:szCs w:val="20"/>
              </w:rPr>
              <w:t>10 399711,8</w:t>
            </w:r>
          </w:p>
        </w:tc>
        <w:tc>
          <w:tcPr>
            <w:tcW w:w="991" w:type="dxa"/>
            <w:tcBorders>
              <w:top w:val="nil"/>
              <w:left w:val="nil"/>
              <w:bottom w:val="single" w:sz="4" w:space="0" w:color="auto"/>
              <w:right w:val="single" w:sz="4" w:space="0" w:color="auto"/>
            </w:tcBorders>
            <w:shd w:val="clear" w:color="auto" w:fill="auto"/>
            <w:vAlign w:val="bottom"/>
          </w:tcPr>
          <w:p w:rsidR="005E541F" w:rsidRPr="00A101D0" w:rsidRDefault="005E541F" w:rsidP="00191861">
            <w:pPr>
              <w:jc w:val="center"/>
              <w:rPr>
                <w:sz w:val="20"/>
                <w:szCs w:val="20"/>
              </w:rPr>
            </w:pPr>
            <w:r w:rsidRPr="00A101D0">
              <w:rPr>
                <w:sz w:val="20"/>
                <w:szCs w:val="20"/>
              </w:rPr>
              <w:t>46,4</w:t>
            </w:r>
          </w:p>
        </w:tc>
        <w:tc>
          <w:tcPr>
            <w:tcW w:w="1135" w:type="dxa"/>
            <w:tcBorders>
              <w:top w:val="nil"/>
              <w:left w:val="nil"/>
              <w:bottom w:val="single" w:sz="4" w:space="0" w:color="auto"/>
              <w:right w:val="single" w:sz="4" w:space="0" w:color="auto"/>
            </w:tcBorders>
            <w:shd w:val="clear" w:color="auto" w:fill="auto"/>
            <w:vAlign w:val="bottom"/>
          </w:tcPr>
          <w:p w:rsidR="005E541F" w:rsidRPr="00A101D0" w:rsidRDefault="005E541F" w:rsidP="00191861">
            <w:pPr>
              <w:ind w:left="-109" w:right="-125"/>
              <w:jc w:val="center"/>
              <w:rPr>
                <w:sz w:val="20"/>
                <w:szCs w:val="20"/>
              </w:rPr>
            </w:pPr>
            <w:r w:rsidRPr="00A101D0">
              <w:rPr>
                <w:sz w:val="20"/>
                <w:szCs w:val="20"/>
              </w:rPr>
              <w:t>10399 758,2</w:t>
            </w:r>
          </w:p>
        </w:tc>
        <w:tc>
          <w:tcPr>
            <w:tcW w:w="1134" w:type="dxa"/>
            <w:tcBorders>
              <w:top w:val="nil"/>
              <w:left w:val="nil"/>
              <w:bottom w:val="single" w:sz="4" w:space="0" w:color="auto"/>
              <w:right w:val="single" w:sz="4" w:space="0" w:color="auto"/>
            </w:tcBorders>
            <w:shd w:val="clear" w:color="000000" w:fill="FFFFFF"/>
            <w:noWrap/>
            <w:vAlign w:val="bottom"/>
            <w:hideMark/>
          </w:tcPr>
          <w:p w:rsidR="005E541F" w:rsidRPr="00A101D0" w:rsidRDefault="005E541F" w:rsidP="00A101D0">
            <w:pPr>
              <w:ind w:right="-151" w:hanging="198"/>
              <w:jc w:val="center"/>
              <w:rPr>
                <w:sz w:val="20"/>
                <w:szCs w:val="20"/>
              </w:rPr>
            </w:pPr>
            <w:r w:rsidRPr="00A101D0">
              <w:rPr>
                <w:sz w:val="20"/>
                <w:szCs w:val="20"/>
              </w:rPr>
              <w:t>1 088 113,8</w:t>
            </w:r>
          </w:p>
        </w:tc>
      </w:tr>
      <w:tr w:rsidR="005E541F" w:rsidRPr="00467F9C" w:rsidTr="005E541F">
        <w:trPr>
          <w:gridAfter w:val="4"/>
          <w:wAfter w:w="21912" w:type="dxa"/>
          <w:trHeight w:val="252"/>
        </w:trPr>
        <w:tc>
          <w:tcPr>
            <w:tcW w:w="2120" w:type="dxa"/>
            <w:tcBorders>
              <w:top w:val="nil"/>
              <w:left w:val="single" w:sz="4" w:space="0" w:color="auto"/>
              <w:bottom w:val="single" w:sz="4" w:space="0" w:color="auto"/>
              <w:right w:val="single" w:sz="4" w:space="0" w:color="auto"/>
            </w:tcBorders>
            <w:shd w:val="clear" w:color="000000" w:fill="FFFFFF"/>
            <w:noWrap/>
            <w:vAlign w:val="center"/>
            <w:hideMark/>
          </w:tcPr>
          <w:p w:rsidR="005E541F" w:rsidRPr="00A101D0" w:rsidRDefault="005E541F" w:rsidP="00191861">
            <w:pPr>
              <w:ind w:right="-103"/>
              <w:rPr>
                <w:i/>
                <w:iCs/>
                <w:sz w:val="20"/>
                <w:szCs w:val="20"/>
              </w:rPr>
            </w:pPr>
            <w:r w:rsidRPr="00A101D0">
              <w:rPr>
                <w:i/>
                <w:iCs/>
                <w:sz w:val="20"/>
                <w:szCs w:val="20"/>
              </w:rPr>
              <w:t>Структура %</w:t>
            </w:r>
          </w:p>
        </w:tc>
        <w:tc>
          <w:tcPr>
            <w:tcW w:w="1129" w:type="dxa"/>
            <w:tcBorders>
              <w:top w:val="nil"/>
              <w:left w:val="nil"/>
              <w:bottom w:val="single" w:sz="4" w:space="0" w:color="auto"/>
              <w:right w:val="single" w:sz="4" w:space="0" w:color="auto"/>
            </w:tcBorders>
            <w:shd w:val="clear" w:color="auto" w:fill="auto"/>
            <w:vAlign w:val="bottom"/>
          </w:tcPr>
          <w:p w:rsidR="005E541F" w:rsidRPr="00A101D0" w:rsidRDefault="005E541F" w:rsidP="00A101D0">
            <w:pPr>
              <w:ind w:left="-63" w:right="-145"/>
              <w:jc w:val="center"/>
              <w:rPr>
                <w:sz w:val="20"/>
                <w:szCs w:val="20"/>
              </w:rPr>
            </w:pPr>
            <w:r w:rsidRPr="00A101D0">
              <w:rPr>
                <w:sz w:val="20"/>
                <w:szCs w:val="20"/>
              </w:rPr>
              <w:t>100,3</w:t>
            </w:r>
          </w:p>
        </w:tc>
        <w:tc>
          <w:tcPr>
            <w:tcW w:w="993" w:type="dxa"/>
            <w:tcBorders>
              <w:top w:val="nil"/>
              <w:left w:val="nil"/>
              <w:bottom w:val="single" w:sz="4" w:space="0" w:color="auto"/>
              <w:right w:val="single" w:sz="4" w:space="0" w:color="auto"/>
            </w:tcBorders>
            <w:shd w:val="clear" w:color="auto" w:fill="auto"/>
            <w:vAlign w:val="bottom"/>
          </w:tcPr>
          <w:p w:rsidR="005E541F" w:rsidRPr="00A101D0" w:rsidRDefault="005E541F" w:rsidP="00191861">
            <w:pPr>
              <w:jc w:val="center"/>
              <w:rPr>
                <w:sz w:val="20"/>
                <w:szCs w:val="20"/>
              </w:rPr>
            </w:pPr>
            <w:r w:rsidRPr="00A101D0">
              <w:rPr>
                <w:sz w:val="20"/>
                <w:szCs w:val="20"/>
              </w:rPr>
              <w:t>100,0</w:t>
            </w:r>
          </w:p>
        </w:tc>
        <w:tc>
          <w:tcPr>
            <w:tcW w:w="1133" w:type="dxa"/>
            <w:tcBorders>
              <w:top w:val="nil"/>
              <w:left w:val="nil"/>
              <w:bottom w:val="single" w:sz="4" w:space="0" w:color="auto"/>
              <w:right w:val="single" w:sz="4" w:space="0" w:color="auto"/>
            </w:tcBorders>
            <w:shd w:val="clear" w:color="auto" w:fill="auto"/>
            <w:noWrap/>
            <w:vAlign w:val="bottom"/>
          </w:tcPr>
          <w:p w:rsidR="005E541F" w:rsidRPr="00A101D0" w:rsidRDefault="005E541F" w:rsidP="00191861">
            <w:pPr>
              <w:ind w:left="-109" w:right="-125"/>
              <w:jc w:val="center"/>
              <w:rPr>
                <w:sz w:val="20"/>
                <w:szCs w:val="20"/>
              </w:rPr>
            </w:pPr>
            <w:r w:rsidRPr="00A101D0">
              <w:rPr>
                <w:sz w:val="20"/>
                <w:szCs w:val="20"/>
              </w:rPr>
              <w:t>100,3</w:t>
            </w:r>
          </w:p>
        </w:tc>
        <w:tc>
          <w:tcPr>
            <w:tcW w:w="1133" w:type="dxa"/>
            <w:tcBorders>
              <w:top w:val="nil"/>
              <w:left w:val="nil"/>
              <w:bottom w:val="single" w:sz="4" w:space="0" w:color="auto"/>
              <w:right w:val="single" w:sz="4" w:space="0" w:color="auto"/>
            </w:tcBorders>
            <w:shd w:val="clear" w:color="auto" w:fill="auto"/>
            <w:vAlign w:val="bottom"/>
          </w:tcPr>
          <w:p w:rsidR="005E541F" w:rsidRPr="00A101D0" w:rsidRDefault="005E541F" w:rsidP="00A101D0">
            <w:pPr>
              <w:ind w:left="-70" w:right="-17"/>
              <w:jc w:val="center"/>
              <w:rPr>
                <w:sz w:val="20"/>
                <w:szCs w:val="20"/>
              </w:rPr>
            </w:pPr>
            <w:r w:rsidRPr="00A101D0">
              <w:rPr>
                <w:sz w:val="20"/>
                <w:szCs w:val="20"/>
              </w:rPr>
              <w:t>101,2</w:t>
            </w:r>
          </w:p>
        </w:tc>
        <w:tc>
          <w:tcPr>
            <w:tcW w:w="991" w:type="dxa"/>
            <w:tcBorders>
              <w:top w:val="nil"/>
              <w:left w:val="nil"/>
              <w:bottom w:val="single" w:sz="4" w:space="0" w:color="auto"/>
              <w:right w:val="single" w:sz="4" w:space="0" w:color="auto"/>
            </w:tcBorders>
            <w:shd w:val="clear" w:color="auto" w:fill="auto"/>
            <w:vAlign w:val="bottom"/>
          </w:tcPr>
          <w:p w:rsidR="005E541F" w:rsidRPr="00A101D0" w:rsidRDefault="005E541F" w:rsidP="00191861">
            <w:pPr>
              <w:jc w:val="center"/>
              <w:rPr>
                <w:sz w:val="20"/>
                <w:szCs w:val="20"/>
              </w:rPr>
            </w:pPr>
            <w:r w:rsidRPr="00A101D0">
              <w:rPr>
                <w:sz w:val="20"/>
                <w:szCs w:val="20"/>
              </w:rPr>
              <w:t>100,0</w:t>
            </w:r>
          </w:p>
        </w:tc>
        <w:tc>
          <w:tcPr>
            <w:tcW w:w="1135" w:type="dxa"/>
            <w:tcBorders>
              <w:top w:val="nil"/>
              <w:left w:val="nil"/>
              <w:bottom w:val="single" w:sz="4" w:space="0" w:color="auto"/>
              <w:right w:val="single" w:sz="4" w:space="0" w:color="auto"/>
            </w:tcBorders>
            <w:shd w:val="clear" w:color="auto" w:fill="auto"/>
            <w:vAlign w:val="bottom"/>
          </w:tcPr>
          <w:p w:rsidR="005E541F" w:rsidRPr="00A101D0" w:rsidRDefault="005E541F" w:rsidP="00191861">
            <w:pPr>
              <w:ind w:left="-109" w:right="-125"/>
              <w:jc w:val="center"/>
              <w:rPr>
                <w:sz w:val="20"/>
                <w:szCs w:val="20"/>
              </w:rPr>
            </w:pPr>
            <w:r w:rsidRPr="00A101D0">
              <w:rPr>
                <w:sz w:val="20"/>
                <w:szCs w:val="20"/>
              </w:rPr>
              <w:t>101,2</w:t>
            </w:r>
          </w:p>
        </w:tc>
        <w:tc>
          <w:tcPr>
            <w:tcW w:w="1134" w:type="dxa"/>
            <w:tcBorders>
              <w:top w:val="nil"/>
              <w:left w:val="nil"/>
              <w:bottom w:val="single" w:sz="4" w:space="0" w:color="auto"/>
              <w:right w:val="single" w:sz="4" w:space="0" w:color="auto"/>
            </w:tcBorders>
            <w:shd w:val="clear" w:color="000000" w:fill="FFFFFF"/>
            <w:noWrap/>
            <w:vAlign w:val="bottom"/>
            <w:hideMark/>
          </w:tcPr>
          <w:p w:rsidR="005E541F" w:rsidRPr="00A101D0" w:rsidRDefault="005E541F" w:rsidP="00191861">
            <w:pPr>
              <w:jc w:val="center"/>
              <w:rPr>
                <w:sz w:val="20"/>
                <w:szCs w:val="20"/>
              </w:rPr>
            </w:pPr>
            <w:r w:rsidRPr="00A101D0">
              <w:rPr>
                <w:sz w:val="20"/>
                <w:szCs w:val="20"/>
              </w:rPr>
              <w:t>Х</w:t>
            </w:r>
          </w:p>
        </w:tc>
      </w:tr>
      <w:tr w:rsidR="005E541F" w:rsidRPr="00467F9C" w:rsidTr="005E541F">
        <w:trPr>
          <w:gridAfter w:val="4"/>
          <w:wAfter w:w="21912" w:type="dxa"/>
          <w:trHeight w:val="252"/>
        </w:trPr>
        <w:tc>
          <w:tcPr>
            <w:tcW w:w="2120" w:type="dxa"/>
            <w:tcBorders>
              <w:top w:val="nil"/>
              <w:left w:val="single" w:sz="4" w:space="0" w:color="auto"/>
              <w:bottom w:val="single" w:sz="4" w:space="0" w:color="auto"/>
              <w:right w:val="single" w:sz="4" w:space="0" w:color="auto"/>
            </w:tcBorders>
            <w:shd w:val="clear" w:color="000000" w:fill="FFFFFF"/>
            <w:vAlign w:val="center"/>
            <w:hideMark/>
          </w:tcPr>
          <w:p w:rsidR="005E541F" w:rsidRPr="00A101D0" w:rsidRDefault="005E541F" w:rsidP="00191861">
            <w:pPr>
              <w:ind w:right="-103"/>
              <w:rPr>
                <w:sz w:val="20"/>
                <w:szCs w:val="20"/>
              </w:rPr>
            </w:pPr>
            <w:r w:rsidRPr="00A101D0">
              <w:rPr>
                <w:sz w:val="20"/>
                <w:szCs w:val="20"/>
              </w:rPr>
              <w:t xml:space="preserve">4.Финансовый результат </w:t>
            </w:r>
          </w:p>
        </w:tc>
        <w:tc>
          <w:tcPr>
            <w:tcW w:w="1129" w:type="dxa"/>
            <w:tcBorders>
              <w:top w:val="nil"/>
              <w:left w:val="nil"/>
              <w:bottom w:val="single" w:sz="4" w:space="0" w:color="auto"/>
              <w:right w:val="single" w:sz="4" w:space="0" w:color="auto"/>
            </w:tcBorders>
            <w:shd w:val="clear" w:color="auto" w:fill="auto"/>
            <w:vAlign w:val="bottom"/>
          </w:tcPr>
          <w:p w:rsidR="005E541F" w:rsidRPr="00A101D0" w:rsidRDefault="005E541F" w:rsidP="00A101D0">
            <w:pPr>
              <w:ind w:left="-63" w:right="-145"/>
              <w:jc w:val="center"/>
              <w:rPr>
                <w:sz w:val="20"/>
                <w:szCs w:val="20"/>
              </w:rPr>
            </w:pPr>
            <w:r w:rsidRPr="00A101D0">
              <w:rPr>
                <w:sz w:val="20"/>
                <w:szCs w:val="20"/>
              </w:rPr>
              <w:t>- 28 065,7</w:t>
            </w:r>
          </w:p>
        </w:tc>
        <w:tc>
          <w:tcPr>
            <w:tcW w:w="993" w:type="dxa"/>
            <w:tcBorders>
              <w:top w:val="nil"/>
              <w:left w:val="nil"/>
              <w:bottom w:val="single" w:sz="4" w:space="0" w:color="auto"/>
              <w:right w:val="single" w:sz="4" w:space="0" w:color="auto"/>
            </w:tcBorders>
            <w:shd w:val="clear" w:color="auto" w:fill="auto"/>
            <w:vAlign w:val="bottom"/>
          </w:tcPr>
          <w:p w:rsidR="005E541F" w:rsidRPr="00A101D0" w:rsidRDefault="005E541F" w:rsidP="00191861">
            <w:pPr>
              <w:jc w:val="center"/>
              <w:rPr>
                <w:sz w:val="20"/>
                <w:szCs w:val="20"/>
              </w:rPr>
            </w:pPr>
            <w:r w:rsidRPr="00A101D0">
              <w:rPr>
                <w:sz w:val="20"/>
                <w:szCs w:val="20"/>
              </w:rPr>
              <w:t>0,0</w:t>
            </w:r>
          </w:p>
        </w:tc>
        <w:tc>
          <w:tcPr>
            <w:tcW w:w="1133" w:type="dxa"/>
            <w:tcBorders>
              <w:top w:val="nil"/>
              <w:left w:val="nil"/>
              <w:bottom w:val="single" w:sz="4" w:space="0" w:color="auto"/>
              <w:right w:val="single" w:sz="4" w:space="0" w:color="auto"/>
            </w:tcBorders>
            <w:shd w:val="clear" w:color="auto" w:fill="auto"/>
            <w:noWrap/>
            <w:vAlign w:val="bottom"/>
          </w:tcPr>
          <w:p w:rsidR="005E541F" w:rsidRPr="00A101D0" w:rsidRDefault="005E541F" w:rsidP="00191861">
            <w:pPr>
              <w:ind w:left="-109" w:right="-125"/>
              <w:jc w:val="center"/>
              <w:rPr>
                <w:sz w:val="20"/>
                <w:szCs w:val="20"/>
              </w:rPr>
            </w:pPr>
            <w:r w:rsidRPr="00A101D0">
              <w:rPr>
                <w:sz w:val="20"/>
                <w:szCs w:val="20"/>
              </w:rPr>
              <w:t>- 28 065,7</w:t>
            </w:r>
          </w:p>
        </w:tc>
        <w:tc>
          <w:tcPr>
            <w:tcW w:w="1133" w:type="dxa"/>
            <w:tcBorders>
              <w:top w:val="nil"/>
              <w:left w:val="nil"/>
              <w:bottom w:val="single" w:sz="4" w:space="0" w:color="auto"/>
              <w:right w:val="single" w:sz="4" w:space="0" w:color="auto"/>
            </w:tcBorders>
            <w:shd w:val="clear" w:color="auto" w:fill="auto"/>
            <w:vAlign w:val="bottom"/>
          </w:tcPr>
          <w:p w:rsidR="005E541F" w:rsidRPr="00A101D0" w:rsidRDefault="005E541F" w:rsidP="00A101D0">
            <w:pPr>
              <w:ind w:left="-70" w:right="-17"/>
              <w:jc w:val="center"/>
              <w:rPr>
                <w:sz w:val="20"/>
                <w:szCs w:val="20"/>
              </w:rPr>
            </w:pPr>
            <w:r w:rsidRPr="00A101D0">
              <w:rPr>
                <w:sz w:val="20"/>
                <w:szCs w:val="20"/>
              </w:rPr>
              <w:t>- 126 808,0</w:t>
            </w:r>
          </w:p>
        </w:tc>
        <w:tc>
          <w:tcPr>
            <w:tcW w:w="991" w:type="dxa"/>
            <w:tcBorders>
              <w:top w:val="nil"/>
              <w:left w:val="nil"/>
              <w:bottom w:val="single" w:sz="4" w:space="0" w:color="auto"/>
              <w:right w:val="single" w:sz="4" w:space="0" w:color="auto"/>
            </w:tcBorders>
            <w:shd w:val="clear" w:color="auto" w:fill="auto"/>
            <w:vAlign w:val="bottom"/>
          </w:tcPr>
          <w:p w:rsidR="005E541F" w:rsidRPr="00A101D0" w:rsidRDefault="005E541F" w:rsidP="00191861">
            <w:pPr>
              <w:jc w:val="center"/>
              <w:rPr>
                <w:sz w:val="20"/>
                <w:szCs w:val="20"/>
              </w:rPr>
            </w:pPr>
            <w:r w:rsidRPr="00A101D0">
              <w:rPr>
                <w:sz w:val="20"/>
                <w:szCs w:val="20"/>
              </w:rPr>
              <w:t>0,0</w:t>
            </w:r>
          </w:p>
        </w:tc>
        <w:tc>
          <w:tcPr>
            <w:tcW w:w="1135" w:type="dxa"/>
            <w:tcBorders>
              <w:top w:val="nil"/>
              <w:left w:val="nil"/>
              <w:bottom w:val="single" w:sz="4" w:space="0" w:color="auto"/>
              <w:right w:val="single" w:sz="4" w:space="0" w:color="auto"/>
            </w:tcBorders>
            <w:shd w:val="clear" w:color="auto" w:fill="auto"/>
            <w:vAlign w:val="bottom"/>
          </w:tcPr>
          <w:p w:rsidR="005E541F" w:rsidRPr="00A101D0" w:rsidRDefault="005E541F" w:rsidP="00191861">
            <w:pPr>
              <w:ind w:left="-109" w:right="-125"/>
              <w:jc w:val="center"/>
              <w:rPr>
                <w:sz w:val="20"/>
                <w:szCs w:val="20"/>
              </w:rPr>
            </w:pPr>
            <w:r w:rsidRPr="00A101D0">
              <w:rPr>
                <w:sz w:val="20"/>
                <w:szCs w:val="20"/>
              </w:rPr>
              <w:t>- 126 808,0</w:t>
            </w:r>
          </w:p>
        </w:tc>
        <w:tc>
          <w:tcPr>
            <w:tcW w:w="1134" w:type="dxa"/>
            <w:tcBorders>
              <w:top w:val="nil"/>
              <w:left w:val="nil"/>
              <w:bottom w:val="single" w:sz="4" w:space="0" w:color="auto"/>
              <w:right w:val="single" w:sz="4" w:space="0" w:color="auto"/>
            </w:tcBorders>
            <w:shd w:val="clear" w:color="000000" w:fill="FFFFFF"/>
            <w:noWrap/>
            <w:vAlign w:val="bottom"/>
            <w:hideMark/>
          </w:tcPr>
          <w:p w:rsidR="005E541F" w:rsidRPr="00A101D0" w:rsidRDefault="005E541F" w:rsidP="00191861">
            <w:pPr>
              <w:jc w:val="center"/>
              <w:rPr>
                <w:sz w:val="20"/>
                <w:szCs w:val="20"/>
              </w:rPr>
            </w:pPr>
            <w:r w:rsidRPr="00A101D0">
              <w:rPr>
                <w:sz w:val="20"/>
                <w:szCs w:val="20"/>
              </w:rPr>
              <w:t>-98 742,3</w:t>
            </w:r>
          </w:p>
        </w:tc>
      </w:tr>
      <w:tr w:rsidR="005E541F" w:rsidRPr="00467F9C" w:rsidTr="005E541F">
        <w:trPr>
          <w:gridAfter w:val="4"/>
          <w:wAfter w:w="21912" w:type="dxa"/>
          <w:trHeight w:val="252"/>
        </w:trPr>
        <w:tc>
          <w:tcPr>
            <w:tcW w:w="2120" w:type="dxa"/>
            <w:tcBorders>
              <w:top w:val="nil"/>
              <w:left w:val="single" w:sz="4" w:space="0" w:color="auto"/>
              <w:bottom w:val="single" w:sz="4" w:space="0" w:color="auto"/>
              <w:right w:val="single" w:sz="4" w:space="0" w:color="auto"/>
            </w:tcBorders>
            <w:shd w:val="clear" w:color="000000" w:fill="FFFFFF"/>
            <w:vAlign w:val="center"/>
            <w:hideMark/>
          </w:tcPr>
          <w:p w:rsidR="005E541F" w:rsidRPr="00A101D0" w:rsidRDefault="005E541F" w:rsidP="00191861">
            <w:pPr>
              <w:ind w:right="-103"/>
              <w:rPr>
                <w:i/>
                <w:iCs/>
                <w:sz w:val="20"/>
                <w:szCs w:val="20"/>
              </w:rPr>
            </w:pPr>
            <w:r w:rsidRPr="00A101D0">
              <w:rPr>
                <w:i/>
                <w:iCs/>
                <w:sz w:val="20"/>
                <w:szCs w:val="20"/>
              </w:rPr>
              <w:t>Структура %</w:t>
            </w:r>
          </w:p>
        </w:tc>
        <w:tc>
          <w:tcPr>
            <w:tcW w:w="1129" w:type="dxa"/>
            <w:tcBorders>
              <w:top w:val="nil"/>
              <w:left w:val="nil"/>
              <w:bottom w:val="single" w:sz="4" w:space="0" w:color="auto"/>
              <w:right w:val="single" w:sz="4" w:space="0" w:color="auto"/>
            </w:tcBorders>
            <w:shd w:val="clear" w:color="auto" w:fill="auto"/>
            <w:vAlign w:val="bottom"/>
          </w:tcPr>
          <w:p w:rsidR="005E541F" w:rsidRPr="00A101D0" w:rsidRDefault="005E541F" w:rsidP="00A101D0">
            <w:pPr>
              <w:ind w:left="-63" w:right="-145"/>
              <w:jc w:val="center"/>
              <w:rPr>
                <w:sz w:val="20"/>
                <w:szCs w:val="20"/>
              </w:rPr>
            </w:pPr>
            <w:r w:rsidRPr="00A101D0">
              <w:rPr>
                <w:sz w:val="20"/>
                <w:szCs w:val="20"/>
              </w:rPr>
              <w:t>-0,3</w:t>
            </w:r>
          </w:p>
        </w:tc>
        <w:tc>
          <w:tcPr>
            <w:tcW w:w="993" w:type="dxa"/>
            <w:tcBorders>
              <w:top w:val="nil"/>
              <w:left w:val="nil"/>
              <w:bottom w:val="single" w:sz="4" w:space="0" w:color="auto"/>
              <w:right w:val="single" w:sz="4" w:space="0" w:color="auto"/>
            </w:tcBorders>
            <w:shd w:val="clear" w:color="auto" w:fill="auto"/>
            <w:vAlign w:val="bottom"/>
          </w:tcPr>
          <w:p w:rsidR="005E541F" w:rsidRPr="00A101D0" w:rsidRDefault="005E541F" w:rsidP="00191861">
            <w:pPr>
              <w:jc w:val="center"/>
              <w:rPr>
                <w:sz w:val="20"/>
                <w:szCs w:val="20"/>
              </w:rPr>
            </w:pPr>
            <w:r w:rsidRPr="00A101D0">
              <w:rPr>
                <w:sz w:val="20"/>
                <w:szCs w:val="20"/>
              </w:rPr>
              <w:t>0,0</w:t>
            </w:r>
          </w:p>
        </w:tc>
        <w:tc>
          <w:tcPr>
            <w:tcW w:w="1133" w:type="dxa"/>
            <w:tcBorders>
              <w:top w:val="nil"/>
              <w:left w:val="nil"/>
              <w:bottom w:val="single" w:sz="4" w:space="0" w:color="auto"/>
              <w:right w:val="single" w:sz="4" w:space="0" w:color="auto"/>
            </w:tcBorders>
            <w:shd w:val="clear" w:color="auto" w:fill="auto"/>
            <w:noWrap/>
            <w:vAlign w:val="bottom"/>
          </w:tcPr>
          <w:p w:rsidR="005E541F" w:rsidRPr="00A101D0" w:rsidRDefault="005E541F" w:rsidP="00191861">
            <w:pPr>
              <w:ind w:left="-109" w:right="-125"/>
              <w:jc w:val="center"/>
              <w:rPr>
                <w:sz w:val="20"/>
                <w:szCs w:val="20"/>
              </w:rPr>
            </w:pPr>
            <w:r w:rsidRPr="00A101D0">
              <w:rPr>
                <w:sz w:val="20"/>
                <w:szCs w:val="20"/>
              </w:rPr>
              <w:t>-0,3</w:t>
            </w:r>
          </w:p>
        </w:tc>
        <w:tc>
          <w:tcPr>
            <w:tcW w:w="1133" w:type="dxa"/>
            <w:tcBorders>
              <w:top w:val="nil"/>
              <w:left w:val="nil"/>
              <w:bottom w:val="single" w:sz="4" w:space="0" w:color="auto"/>
              <w:right w:val="single" w:sz="4" w:space="0" w:color="auto"/>
            </w:tcBorders>
            <w:shd w:val="clear" w:color="auto" w:fill="auto"/>
            <w:vAlign w:val="bottom"/>
          </w:tcPr>
          <w:p w:rsidR="005E541F" w:rsidRPr="00A101D0" w:rsidRDefault="005E541F" w:rsidP="00A101D0">
            <w:pPr>
              <w:ind w:left="-70" w:right="-17"/>
              <w:jc w:val="center"/>
              <w:rPr>
                <w:sz w:val="20"/>
                <w:szCs w:val="20"/>
              </w:rPr>
            </w:pPr>
            <w:r w:rsidRPr="00A101D0">
              <w:rPr>
                <w:sz w:val="20"/>
                <w:szCs w:val="20"/>
              </w:rPr>
              <w:t>-1,2</w:t>
            </w:r>
          </w:p>
        </w:tc>
        <w:tc>
          <w:tcPr>
            <w:tcW w:w="991" w:type="dxa"/>
            <w:tcBorders>
              <w:top w:val="nil"/>
              <w:left w:val="nil"/>
              <w:bottom w:val="single" w:sz="4" w:space="0" w:color="auto"/>
              <w:right w:val="single" w:sz="4" w:space="0" w:color="auto"/>
            </w:tcBorders>
            <w:shd w:val="clear" w:color="auto" w:fill="auto"/>
            <w:vAlign w:val="bottom"/>
          </w:tcPr>
          <w:p w:rsidR="005E541F" w:rsidRPr="00A101D0" w:rsidRDefault="005E541F" w:rsidP="00191861">
            <w:pPr>
              <w:jc w:val="center"/>
              <w:rPr>
                <w:sz w:val="20"/>
                <w:szCs w:val="20"/>
              </w:rPr>
            </w:pPr>
            <w:r w:rsidRPr="00A101D0">
              <w:rPr>
                <w:sz w:val="20"/>
                <w:szCs w:val="20"/>
              </w:rPr>
              <w:t>0,0</w:t>
            </w:r>
          </w:p>
        </w:tc>
        <w:tc>
          <w:tcPr>
            <w:tcW w:w="1135" w:type="dxa"/>
            <w:tcBorders>
              <w:top w:val="nil"/>
              <w:left w:val="nil"/>
              <w:bottom w:val="single" w:sz="4" w:space="0" w:color="auto"/>
              <w:right w:val="single" w:sz="4" w:space="0" w:color="auto"/>
            </w:tcBorders>
            <w:shd w:val="clear" w:color="auto" w:fill="auto"/>
            <w:vAlign w:val="bottom"/>
          </w:tcPr>
          <w:p w:rsidR="005E541F" w:rsidRPr="00A101D0" w:rsidRDefault="005E541F" w:rsidP="00191861">
            <w:pPr>
              <w:ind w:left="-109" w:right="-125"/>
              <w:jc w:val="center"/>
              <w:rPr>
                <w:sz w:val="20"/>
                <w:szCs w:val="20"/>
              </w:rPr>
            </w:pPr>
            <w:r w:rsidRPr="00A101D0">
              <w:rPr>
                <w:sz w:val="20"/>
                <w:szCs w:val="20"/>
              </w:rPr>
              <w:t>-1,2</w:t>
            </w:r>
          </w:p>
        </w:tc>
        <w:tc>
          <w:tcPr>
            <w:tcW w:w="1134" w:type="dxa"/>
            <w:tcBorders>
              <w:top w:val="nil"/>
              <w:left w:val="nil"/>
              <w:bottom w:val="single" w:sz="4" w:space="0" w:color="auto"/>
              <w:right w:val="single" w:sz="4" w:space="0" w:color="auto"/>
            </w:tcBorders>
            <w:shd w:val="clear" w:color="000000" w:fill="FFFFFF"/>
            <w:noWrap/>
            <w:vAlign w:val="bottom"/>
            <w:hideMark/>
          </w:tcPr>
          <w:p w:rsidR="005E541F" w:rsidRPr="00A101D0" w:rsidRDefault="005E541F" w:rsidP="00191861">
            <w:pPr>
              <w:jc w:val="center"/>
              <w:rPr>
                <w:sz w:val="20"/>
                <w:szCs w:val="20"/>
              </w:rPr>
            </w:pPr>
            <w:r w:rsidRPr="00A101D0">
              <w:rPr>
                <w:sz w:val="20"/>
                <w:szCs w:val="20"/>
              </w:rPr>
              <w:t>Х</w:t>
            </w:r>
          </w:p>
        </w:tc>
      </w:tr>
      <w:tr w:rsidR="005E541F" w:rsidRPr="00467F9C" w:rsidTr="005E541F">
        <w:trPr>
          <w:gridAfter w:val="4"/>
          <w:wAfter w:w="21912" w:type="dxa"/>
          <w:trHeight w:val="252"/>
        </w:trPr>
        <w:tc>
          <w:tcPr>
            <w:tcW w:w="2120" w:type="dxa"/>
            <w:tcBorders>
              <w:top w:val="nil"/>
              <w:left w:val="single" w:sz="4" w:space="0" w:color="auto"/>
              <w:bottom w:val="single" w:sz="4" w:space="0" w:color="auto"/>
              <w:right w:val="single" w:sz="4" w:space="0" w:color="auto"/>
            </w:tcBorders>
            <w:shd w:val="clear" w:color="000000" w:fill="FFFFFF"/>
            <w:noWrap/>
            <w:vAlign w:val="center"/>
            <w:hideMark/>
          </w:tcPr>
          <w:p w:rsidR="005E541F" w:rsidRPr="00A101D0" w:rsidRDefault="005E541F" w:rsidP="00191861">
            <w:pPr>
              <w:ind w:right="-103"/>
              <w:rPr>
                <w:b/>
                <w:bCs/>
                <w:sz w:val="20"/>
                <w:szCs w:val="20"/>
              </w:rPr>
            </w:pPr>
            <w:r w:rsidRPr="00A101D0">
              <w:rPr>
                <w:b/>
                <w:bCs/>
                <w:sz w:val="20"/>
                <w:szCs w:val="20"/>
              </w:rPr>
              <w:t xml:space="preserve">Баланс </w:t>
            </w:r>
          </w:p>
        </w:tc>
        <w:tc>
          <w:tcPr>
            <w:tcW w:w="1129" w:type="dxa"/>
            <w:tcBorders>
              <w:top w:val="nil"/>
              <w:left w:val="nil"/>
              <w:bottom w:val="single" w:sz="4" w:space="0" w:color="auto"/>
              <w:right w:val="single" w:sz="4" w:space="0" w:color="auto"/>
            </w:tcBorders>
            <w:shd w:val="clear" w:color="000000" w:fill="FFFFFF"/>
            <w:noWrap/>
            <w:vAlign w:val="bottom"/>
          </w:tcPr>
          <w:p w:rsidR="005E541F" w:rsidRPr="00A101D0" w:rsidRDefault="005E541F" w:rsidP="00A101D0">
            <w:pPr>
              <w:ind w:left="-63" w:right="-145"/>
              <w:jc w:val="center"/>
              <w:rPr>
                <w:b/>
                <w:bCs/>
                <w:sz w:val="20"/>
                <w:szCs w:val="20"/>
              </w:rPr>
            </w:pPr>
            <w:r w:rsidRPr="00A101D0">
              <w:rPr>
                <w:b/>
                <w:bCs/>
                <w:sz w:val="20"/>
                <w:szCs w:val="20"/>
              </w:rPr>
              <w:t>9 283 533,3</w:t>
            </w:r>
          </w:p>
        </w:tc>
        <w:tc>
          <w:tcPr>
            <w:tcW w:w="993" w:type="dxa"/>
            <w:tcBorders>
              <w:top w:val="nil"/>
              <w:left w:val="nil"/>
              <w:bottom w:val="single" w:sz="4" w:space="0" w:color="auto"/>
              <w:right w:val="single" w:sz="4" w:space="0" w:color="auto"/>
            </w:tcBorders>
            <w:shd w:val="clear" w:color="000000" w:fill="FFFFFF"/>
            <w:noWrap/>
            <w:vAlign w:val="bottom"/>
          </w:tcPr>
          <w:p w:rsidR="005E541F" w:rsidRPr="00A101D0" w:rsidRDefault="005E541F" w:rsidP="00191861">
            <w:pPr>
              <w:jc w:val="center"/>
              <w:rPr>
                <w:b/>
                <w:bCs/>
                <w:sz w:val="20"/>
                <w:szCs w:val="20"/>
              </w:rPr>
            </w:pPr>
            <w:r w:rsidRPr="00A101D0">
              <w:rPr>
                <w:b/>
                <w:bCs/>
                <w:sz w:val="20"/>
                <w:szCs w:val="20"/>
              </w:rPr>
              <w:t>45,4</w:t>
            </w:r>
          </w:p>
        </w:tc>
        <w:tc>
          <w:tcPr>
            <w:tcW w:w="1133" w:type="dxa"/>
            <w:tcBorders>
              <w:top w:val="nil"/>
              <w:left w:val="nil"/>
              <w:bottom w:val="single" w:sz="4" w:space="0" w:color="auto"/>
              <w:right w:val="single" w:sz="4" w:space="0" w:color="auto"/>
            </w:tcBorders>
            <w:shd w:val="clear" w:color="000000" w:fill="FFFFFF"/>
            <w:noWrap/>
            <w:vAlign w:val="bottom"/>
          </w:tcPr>
          <w:p w:rsidR="005E541F" w:rsidRPr="00A101D0" w:rsidRDefault="005E541F" w:rsidP="00191861">
            <w:pPr>
              <w:ind w:left="-109" w:right="-125"/>
              <w:jc w:val="center"/>
              <w:rPr>
                <w:b/>
                <w:bCs/>
                <w:sz w:val="20"/>
                <w:szCs w:val="20"/>
              </w:rPr>
            </w:pPr>
            <w:r w:rsidRPr="00A101D0">
              <w:rPr>
                <w:b/>
                <w:bCs/>
                <w:sz w:val="20"/>
                <w:szCs w:val="20"/>
              </w:rPr>
              <w:t>9 283 578,7</w:t>
            </w:r>
          </w:p>
        </w:tc>
        <w:tc>
          <w:tcPr>
            <w:tcW w:w="1133" w:type="dxa"/>
            <w:tcBorders>
              <w:top w:val="nil"/>
              <w:left w:val="nil"/>
              <w:bottom w:val="single" w:sz="4" w:space="0" w:color="auto"/>
              <w:right w:val="single" w:sz="4" w:space="0" w:color="auto"/>
            </w:tcBorders>
            <w:shd w:val="clear" w:color="000000" w:fill="FFFFFF"/>
            <w:noWrap/>
            <w:vAlign w:val="bottom"/>
          </w:tcPr>
          <w:p w:rsidR="005E541F" w:rsidRPr="00A101D0" w:rsidRDefault="005E541F" w:rsidP="00A101D0">
            <w:pPr>
              <w:ind w:left="-70" w:right="-17"/>
              <w:jc w:val="center"/>
              <w:rPr>
                <w:b/>
                <w:bCs/>
                <w:sz w:val="20"/>
                <w:szCs w:val="20"/>
              </w:rPr>
            </w:pPr>
            <w:r w:rsidRPr="00A101D0">
              <w:rPr>
                <w:b/>
                <w:bCs/>
                <w:sz w:val="20"/>
                <w:szCs w:val="20"/>
              </w:rPr>
              <w:t>10272 903,8</w:t>
            </w:r>
          </w:p>
        </w:tc>
        <w:tc>
          <w:tcPr>
            <w:tcW w:w="991" w:type="dxa"/>
            <w:tcBorders>
              <w:top w:val="nil"/>
              <w:left w:val="nil"/>
              <w:bottom w:val="single" w:sz="4" w:space="0" w:color="auto"/>
              <w:right w:val="single" w:sz="4" w:space="0" w:color="auto"/>
            </w:tcBorders>
            <w:shd w:val="clear" w:color="000000" w:fill="FFFFFF"/>
            <w:noWrap/>
            <w:vAlign w:val="bottom"/>
          </w:tcPr>
          <w:p w:rsidR="005E541F" w:rsidRPr="00A101D0" w:rsidRDefault="005E541F" w:rsidP="00191861">
            <w:pPr>
              <w:jc w:val="center"/>
              <w:rPr>
                <w:b/>
                <w:bCs/>
                <w:sz w:val="20"/>
                <w:szCs w:val="20"/>
              </w:rPr>
            </w:pPr>
            <w:r w:rsidRPr="00A101D0">
              <w:rPr>
                <w:b/>
                <w:bCs/>
                <w:sz w:val="20"/>
                <w:szCs w:val="20"/>
              </w:rPr>
              <w:t>46,4</w:t>
            </w:r>
          </w:p>
        </w:tc>
        <w:tc>
          <w:tcPr>
            <w:tcW w:w="1135" w:type="dxa"/>
            <w:tcBorders>
              <w:top w:val="nil"/>
              <w:left w:val="nil"/>
              <w:bottom w:val="single" w:sz="4" w:space="0" w:color="auto"/>
              <w:right w:val="single" w:sz="4" w:space="0" w:color="auto"/>
            </w:tcBorders>
            <w:shd w:val="clear" w:color="000000" w:fill="FFFFFF"/>
            <w:noWrap/>
            <w:vAlign w:val="bottom"/>
          </w:tcPr>
          <w:p w:rsidR="005E541F" w:rsidRPr="00A101D0" w:rsidRDefault="005E541F" w:rsidP="00191861">
            <w:pPr>
              <w:ind w:left="-109" w:right="-125"/>
              <w:jc w:val="center"/>
              <w:rPr>
                <w:b/>
                <w:bCs/>
                <w:sz w:val="20"/>
                <w:szCs w:val="20"/>
              </w:rPr>
            </w:pPr>
            <w:r w:rsidRPr="00A101D0">
              <w:rPr>
                <w:b/>
                <w:bCs/>
                <w:sz w:val="20"/>
                <w:szCs w:val="20"/>
              </w:rPr>
              <w:t>10 272 950,2</w:t>
            </w:r>
          </w:p>
        </w:tc>
        <w:tc>
          <w:tcPr>
            <w:tcW w:w="1134" w:type="dxa"/>
            <w:tcBorders>
              <w:top w:val="nil"/>
              <w:left w:val="nil"/>
              <w:bottom w:val="single" w:sz="4" w:space="0" w:color="auto"/>
              <w:right w:val="single" w:sz="4" w:space="0" w:color="auto"/>
            </w:tcBorders>
            <w:shd w:val="clear" w:color="000000" w:fill="FFFFFF"/>
            <w:noWrap/>
            <w:vAlign w:val="bottom"/>
            <w:hideMark/>
          </w:tcPr>
          <w:p w:rsidR="005E541F" w:rsidRPr="00A101D0" w:rsidRDefault="005E541F" w:rsidP="00191861">
            <w:pPr>
              <w:jc w:val="center"/>
              <w:rPr>
                <w:b/>
                <w:bCs/>
                <w:sz w:val="20"/>
                <w:szCs w:val="20"/>
              </w:rPr>
            </w:pPr>
            <w:r w:rsidRPr="00A101D0">
              <w:rPr>
                <w:b/>
                <w:bCs/>
                <w:sz w:val="20"/>
                <w:szCs w:val="20"/>
              </w:rPr>
              <w:t>989 371,5</w:t>
            </w:r>
          </w:p>
        </w:tc>
      </w:tr>
    </w:tbl>
    <w:p w:rsidR="005E541F" w:rsidRPr="00467F9C" w:rsidRDefault="005E541F" w:rsidP="00191861">
      <w:pPr>
        <w:ind w:firstLine="709"/>
        <w:jc w:val="both"/>
        <w:rPr>
          <w:sz w:val="6"/>
          <w:szCs w:val="6"/>
        </w:rPr>
      </w:pPr>
    </w:p>
    <w:p w:rsidR="00A101D0" w:rsidRPr="00A101D0" w:rsidRDefault="00A101D0" w:rsidP="00191861">
      <w:pPr>
        <w:ind w:firstLine="709"/>
        <w:jc w:val="both"/>
        <w:rPr>
          <w:sz w:val="14"/>
          <w:szCs w:val="14"/>
        </w:rPr>
      </w:pPr>
    </w:p>
    <w:p w:rsidR="005E541F" w:rsidRPr="00467F9C" w:rsidRDefault="005E541F" w:rsidP="00191861">
      <w:pPr>
        <w:ind w:firstLine="709"/>
        <w:jc w:val="both"/>
        <w:rPr>
          <w:sz w:val="28"/>
          <w:szCs w:val="28"/>
        </w:rPr>
      </w:pPr>
      <w:r w:rsidRPr="00467F9C">
        <w:rPr>
          <w:sz w:val="28"/>
          <w:szCs w:val="28"/>
        </w:rPr>
        <w:t xml:space="preserve">Балансовая стоимость основных средств за 2021 год увеличилась на </w:t>
      </w:r>
      <w:r w:rsidR="00A101D0">
        <w:rPr>
          <w:sz w:val="28"/>
          <w:szCs w:val="28"/>
        </w:rPr>
        <w:t xml:space="preserve">                   </w:t>
      </w:r>
      <w:r w:rsidRPr="00467F9C">
        <w:rPr>
          <w:sz w:val="28"/>
          <w:szCs w:val="28"/>
        </w:rPr>
        <w:t xml:space="preserve"> 2 509,0 тыс. рублей и на конец отчетного периода составила 15 710,6 тыс. рублей. Амортизация основных средств составила 12 399,1 тыс. рублей или 79,0% балансовой стоимости основных средств и осталась на уровне прошлого отчетного периода.  В 2021 году основные средства поступили на сумму</w:t>
      </w:r>
      <w:r w:rsidR="00A101D0">
        <w:rPr>
          <w:sz w:val="28"/>
          <w:szCs w:val="28"/>
        </w:rPr>
        <w:t xml:space="preserve"> </w:t>
      </w:r>
      <w:r w:rsidRPr="00467F9C">
        <w:rPr>
          <w:sz w:val="28"/>
          <w:szCs w:val="28"/>
        </w:rPr>
        <w:t>2 548,0 тыс. рублей, выбыли на сумму 39,1 тыс. рублей.</w:t>
      </w:r>
    </w:p>
    <w:p w:rsidR="005E541F" w:rsidRPr="00467F9C" w:rsidRDefault="005E541F" w:rsidP="00191861">
      <w:pPr>
        <w:ind w:firstLine="709"/>
        <w:jc w:val="both"/>
        <w:rPr>
          <w:sz w:val="28"/>
          <w:szCs w:val="28"/>
        </w:rPr>
      </w:pPr>
      <w:r w:rsidRPr="00467F9C">
        <w:rPr>
          <w:sz w:val="28"/>
          <w:szCs w:val="28"/>
        </w:rPr>
        <w:t>В отчетном периоде поступили материальные запасы на сумму 1 118,5 тыс. рублей, выбыли на сумму 555,2 тыс. рублей. Стоимость материальных запасов на конец отчетного периода составила 1 671,1 тыс. рублей и уменьшилась за отчетный период на 50,1%.</w:t>
      </w:r>
    </w:p>
    <w:p w:rsidR="005E541F" w:rsidRPr="00467F9C" w:rsidRDefault="005E541F" w:rsidP="00191861">
      <w:pPr>
        <w:ind w:firstLine="709"/>
        <w:jc w:val="both"/>
        <w:rPr>
          <w:sz w:val="28"/>
          <w:szCs w:val="28"/>
        </w:rPr>
      </w:pPr>
      <w:r w:rsidRPr="00467F9C">
        <w:rPr>
          <w:sz w:val="28"/>
          <w:szCs w:val="28"/>
        </w:rPr>
        <w:t>Балансовая стоимость права пользования имуществом, переданного Фонду по договорам безвозмездного временного пользования имуществом с ФФ ОМС, на конец отчетного периода составила 2 080,5 тыс. рублей.</w:t>
      </w:r>
    </w:p>
    <w:p w:rsidR="005E541F" w:rsidRPr="00467F9C" w:rsidRDefault="005E541F" w:rsidP="00191861">
      <w:pPr>
        <w:ind w:firstLine="743"/>
        <w:jc w:val="both"/>
        <w:rPr>
          <w:sz w:val="28"/>
          <w:szCs w:val="28"/>
        </w:rPr>
      </w:pPr>
      <w:r w:rsidRPr="00467F9C">
        <w:rPr>
          <w:sz w:val="28"/>
          <w:szCs w:val="28"/>
        </w:rPr>
        <w:t>В состав Баланса (форма 0503130), в соответствии с требованиями Инструкции №191н, включена «Справка о наличии имущества и обязательств на забалансовых счетах», в соответствии с которой в отчетном периоде на забалансовых счетах Фонда сомнительная задолженность не числится.</w:t>
      </w:r>
    </w:p>
    <w:p w:rsidR="005E541F" w:rsidRPr="00467F9C" w:rsidRDefault="005E541F" w:rsidP="00191861">
      <w:pPr>
        <w:ind w:firstLine="720"/>
        <w:contextualSpacing/>
        <w:jc w:val="both"/>
        <w:rPr>
          <w:sz w:val="28"/>
          <w:szCs w:val="28"/>
          <w:highlight w:val="yellow"/>
        </w:rPr>
      </w:pPr>
      <w:r w:rsidRPr="00467F9C">
        <w:rPr>
          <w:sz w:val="28"/>
          <w:szCs w:val="28"/>
        </w:rPr>
        <w:t>В составе «Расходов будущих периодов» (401 50) по состоянию на 1 января 2022 года отражены расходы по приобретенным правам пользования программными продуктами, переходящие на следующий финансовый период в сумме 194,2 тыс. рублей</w:t>
      </w:r>
      <w:r w:rsidRPr="00467F9C">
        <w:rPr>
          <w:sz w:val="28"/>
          <w:szCs w:val="28"/>
          <w:highlight w:val="yellow"/>
        </w:rPr>
        <w:t xml:space="preserve"> </w:t>
      </w:r>
    </w:p>
    <w:p w:rsidR="005E541F" w:rsidRPr="00467F9C" w:rsidRDefault="005E541F" w:rsidP="00191861">
      <w:pPr>
        <w:spacing w:before="120"/>
        <w:ind w:firstLine="743"/>
        <w:jc w:val="both"/>
        <w:rPr>
          <w:sz w:val="28"/>
          <w:szCs w:val="28"/>
        </w:rPr>
      </w:pPr>
      <w:r w:rsidRPr="00467F9C">
        <w:rPr>
          <w:sz w:val="28"/>
          <w:szCs w:val="28"/>
        </w:rPr>
        <w:t>По данным формы 0503169 «Сведения по дебиторской и кредиторской задолженности» дебиторская задолженность по расходам за отчетный период снизилась на 368,8 тыс. рублей или в 3,4 раза и на конец отчетного периода составила 151,8 тыс. рублей. Сведения о дебиторской задолженности Фонда за 2021 год приведены в таблице 2.</w:t>
      </w:r>
    </w:p>
    <w:p w:rsidR="008C1A12" w:rsidRDefault="008C1A12" w:rsidP="00191861">
      <w:pPr>
        <w:jc w:val="right"/>
        <w:rPr>
          <w:sz w:val="28"/>
          <w:szCs w:val="28"/>
        </w:rPr>
      </w:pPr>
    </w:p>
    <w:p w:rsidR="008C1A12" w:rsidRDefault="008C1A12" w:rsidP="00191861">
      <w:pPr>
        <w:jc w:val="right"/>
        <w:rPr>
          <w:sz w:val="28"/>
          <w:szCs w:val="28"/>
        </w:rPr>
      </w:pPr>
    </w:p>
    <w:p w:rsidR="005E541F" w:rsidRPr="00467F9C" w:rsidRDefault="005E541F" w:rsidP="00191861">
      <w:pPr>
        <w:jc w:val="right"/>
        <w:rPr>
          <w:sz w:val="28"/>
          <w:szCs w:val="28"/>
        </w:rPr>
      </w:pPr>
      <w:r w:rsidRPr="00467F9C">
        <w:rPr>
          <w:sz w:val="28"/>
          <w:szCs w:val="28"/>
        </w:rPr>
        <w:lastRenderedPageBreak/>
        <w:t>Таблица 2 (тыс. рублей)</w:t>
      </w:r>
    </w:p>
    <w:tbl>
      <w:tblPr>
        <w:tblW w:w="9857" w:type="dxa"/>
        <w:tblInd w:w="113" w:type="dxa"/>
        <w:tblLayout w:type="fixed"/>
        <w:tblLook w:val="04A0" w:firstRow="1" w:lastRow="0" w:firstColumn="1" w:lastColumn="0" w:noHBand="0" w:noVBand="1"/>
      </w:tblPr>
      <w:tblGrid>
        <w:gridCol w:w="5269"/>
        <w:gridCol w:w="1134"/>
        <w:gridCol w:w="1134"/>
        <w:gridCol w:w="1134"/>
        <w:gridCol w:w="1186"/>
      </w:tblGrid>
      <w:tr w:rsidR="005E541F" w:rsidRPr="00467F9C" w:rsidTr="00EE5147">
        <w:trPr>
          <w:trHeight w:val="794"/>
          <w:tblHeader/>
        </w:trPr>
        <w:tc>
          <w:tcPr>
            <w:tcW w:w="5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Наименование показателя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541F" w:rsidRPr="00467F9C" w:rsidRDefault="005E541F" w:rsidP="00191861">
            <w:pPr>
              <w:ind w:left="-105" w:right="-81"/>
              <w:jc w:val="center"/>
              <w:rPr>
                <w:sz w:val="18"/>
                <w:szCs w:val="18"/>
              </w:rPr>
            </w:pPr>
            <w:r w:rsidRPr="00467F9C">
              <w:rPr>
                <w:sz w:val="18"/>
                <w:szCs w:val="18"/>
              </w:rPr>
              <w:t xml:space="preserve"> По состоянию на 01.01.2021 г.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541F" w:rsidRPr="00467F9C" w:rsidRDefault="005E541F" w:rsidP="00191861">
            <w:pPr>
              <w:ind w:left="-111" w:right="-51"/>
              <w:jc w:val="center"/>
              <w:rPr>
                <w:sz w:val="18"/>
                <w:szCs w:val="18"/>
              </w:rPr>
            </w:pPr>
            <w:r w:rsidRPr="00467F9C">
              <w:rPr>
                <w:sz w:val="18"/>
                <w:szCs w:val="18"/>
              </w:rPr>
              <w:t xml:space="preserve"> По состоянию на 01.01.2022 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541F" w:rsidRPr="00467F9C" w:rsidRDefault="005E541F" w:rsidP="00EE5147">
            <w:pPr>
              <w:ind w:left="-115" w:right="-170"/>
              <w:rPr>
                <w:sz w:val="18"/>
                <w:szCs w:val="18"/>
              </w:rPr>
            </w:pPr>
            <w:r w:rsidRPr="00467F9C">
              <w:rPr>
                <w:sz w:val="18"/>
                <w:szCs w:val="18"/>
              </w:rPr>
              <w:t>Долгосрочная</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rsidR="005E541F" w:rsidRPr="00467F9C" w:rsidRDefault="005E541F" w:rsidP="00191861">
            <w:pPr>
              <w:ind w:left="-111" w:right="-87"/>
              <w:jc w:val="center"/>
              <w:rPr>
                <w:sz w:val="18"/>
                <w:szCs w:val="18"/>
              </w:rPr>
            </w:pPr>
            <w:r w:rsidRPr="00467F9C">
              <w:rPr>
                <w:sz w:val="18"/>
                <w:szCs w:val="18"/>
              </w:rPr>
              <w:t xml:space="preserve"> </w:t>
            </w:r>
            <w:proofErr w:type="gramStart"/>
            <w:r w:rsidRPr="00467F9C">
              <w:rPr>
                <w:sz w:val="18"/>
                <w:szCs w:val="18"/>
              </w:rPr>
              <w:t xml:space="preserve">Изменения:   </w:t>
            </w:r>
            <w:proofErr w:type="gramEnd"/>
            <w:r w:rsidRPr="00467F9C">
              <w:rPr>
                <w:sz w:val="18"/>
                <w:szCs w:val="18"/>
              </w:rPr>
              <w:t xml:space="preserve">   (-) снижение, (+) рост            (гр.3-гр.2) </w:t>
            </w:r>
          </w:p>
        </w:tc>
      </w:tr>
      <w:tr w:rsidR="005E541F" w:rsidRPr="00467F9C" w:rsidTr="00EE5147">
        <w:trPr>
          <w:trHeight w:val="227"/>
          <w:tblHeader/>
        </w:trPr>
        <w:tc>
          <w:tcPr>
            <w:tcW w:w="5269"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1</w:t>
            </w:r>
          </w:p>
        </w:tc>
        <w:tc>
          <w:tcPr>
            <w:tcW w:w="1134" w:type="dxa"/>
            <w:tcBorders>
              <w:top w:val="nil"/>
              <w:left w:val="nil"/>
              <w:bottom w:val="single" w:sz="4" w:space="0" w:color="auto"/>
              <w:right w:val="single" w:sz="4" w:space="0" w:color="auto"/>
            </w:tcBorders>
            <w:shd w:val="clear" w:color="auto" w:fill="auto"/>
            <w:noWrap/>
            <w:vAlign w:val="center"/>
            <w:hideMark/>
          </w:tcPr>
          <w:p w:rsidR="005E541F" w:rsidRPr="00467F9C" w:rsidRDefault="005E541F" w:rsidP="00191861">
            <w:pPr>
              <w:jc w:val="center"/>
              <w:rPr>
                <w:sz w:val="18"/>
                <w:szCs w:val="18"/>
              </w:rPr>
            </w:pPr>
            <w:r w:rsidRPr="00467F9C">
              <w:rPr>
                <w:sz w:val="18"/>
                <w:szCs w:val="18"/>
              </w:rPr>
              <w:t>2</w:t>
            </w:r>
          </w:p>
        </w:tc>
        <w:tc>
          <w:tcPr>
            <w:tcW w:w="1134" w:type="dxa"/>
            <w:tcBorders>
              <w:top w:val="nil"/>
              <w:left w:val="nil"/>
              <w:bottom w:val="single" w:sz="4" w:space="0" w:color="auto"/>
              <w:right w:val="single" w:sz="4" w:space="0" w:color="auto"/>
            </w:tcBorders>
            <w:shd w:val="clear" w:color="auto" w:fill="auto"/>
            <w:noWrap/>
            <w:vAlign w:val="center"/>
            <w:hideMark/>
          </w:tcPr>
          <w:p w:rsidR="005E541F" w:rsidRPr="00467F9C" w:rsidRDefault="005E541F" w:rsidP="00191861">
            <w:pPr>
              <w:jc w:val="center"/>
              <w:rPr>
                <w:sz w:val="18"/>
                <w:szCs w:val="18"/>
              </w:rPr>
            </w:pPr>
            <w:r w:rsidRPr="00467F9C">
              <w:rPr>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rsidR="005E541F" w:rsidRPr="00467F9C" w:rsidRDefault="005E541F" w:rsidP="00191861">
            <w:pPr>
              <w:jc w:val="center"/>
              <w:rPr>
                <w:sz w:val="18"/>
                <w:szCs w:val="18"/>
              </w:rPr>
            </w:pPr>
            <w:r w:rsidRPr="00467F9C">
              <w:rPr>
                <w:sz w:val="18"/>
                <w:szCs w:val="18"/>
              </w:rPr>
              <w:t>4</w:t>
            </w:r>
          </w:p>
        </w:tc>
        <w:tc>
          <w:tcPr>
            <w:tcW w:w="1186" w:type="dxa"/>
            <w:tcBorders>
              <w:top w:val="nil"/>
              <w:left w:val="nil"/>
              <w:bottom w:val="single" w:sz="4" w:space="0" w:color="auto"/>
              <w:right w:val="single" w:sz="4" w:space="0" w:color="auto"/>
            </w:tcBorders>
            <w:shd w:val="clear" w:color="auto" w:fill="auto"/>
            <w:noWrap/>
            <w:vAlign w:val="center"/>
            <w:hideMark/>
          </w:tcPr>
          <w:p w:rsidR="005E541F" w:rsidRPr="00467F9C" w:rsidRDefault="005E541F" w:rsidP="00191861">
            <w:pPr>
              <w:jc w:val="center"/>
              <w:rPr>
                <w:sz w:val="18"/>
                <w:szCs w:val="18"/>
              </w:rPr>
            </w:pPr>
            <w:r w:rsidRPr="00467F9C">
              <w:rPr>
                <w:sz w:val="18"/>
                <w:szCs w:val="18"/>
              </w:rPr>
              <w:t>5</w:t>
            </w:r>
          </w:p>
        </w:tc>
      </w:tr>
      <w:tr w:rsidR="005E541F" w:rsidRPr="00467F9C" w:rsidTr="00EE5147">
        <w:trPr>
          <w:trHeight w:val="227"/>
        </w:trPr>
        <w:tc>
          <w:tcPr>
            <w:tcW w:w="5269" w:type="dxa"/>
            <w:tcBorders>
              <w:top w:val="nil"/>
              <w:left w:val="single" w:sz="4" w:space="0" w:color="auto"/>
              <w:bottom w:val="single" w:sz="4" w:space="0" w:color="auto"/>
              <w:right w:val="single" w:sz="4" w:space="0" w:color="auto"/>
            </w:tcBorders>
            <w:shd w:val="clear" w:color="auto" w:fill="auto"/>
            <w:vAlign w:val="center"/>
            <w:hideMark/>
          </w:tcPr>
          <w:p w:rsidR="005E541F" w:rsidRPr="008C1A12" w:rsidRDefault="005E541F" w:rsidP="008C1A12">
            <w:pPr>
              <w:ind w:right="-100"/>
              <w:rPr>
                <w:b/>
                <w:bCs/>
                <w:sz w:val="20"/>
                <w:szCs w:val="20"/>
              </w:rPr>
            </w:pPr>
            <w:r w:rsidRPr="008C1A12">
              <w:rPr>
                <w:b/>
                <w:bCs/>
                <w:sz w:val="20"/>
                <w:szCs w:val="20"/>
              </w:rPr>
              <w:t>Дебиторская задолженность по расходам, всего</w:t>
            </w:r>
          </w:p>
        </w:tc>
        <w:tc>
          <w:tcPr>
            <w:tcW w:w="1134"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b/>
                <w:bCs/>
                <w:sz w:val="20"/>
                <w:szCs w:val="20"/>
              </w:rPr>
            </w:pPr>
            <w:r w:rsidRPr="008C1A12">
              <w:rPr>
                <w:b/>
                <w:bCs/>
                <w:sz w:val="20"/>
                <w:szCs w:val="20"/>
              </w:rPr>
              <w:t>520,6</w:t>
            </w:r>
          </w:p>
        </w:tc>
        <w:tc>
          <w:tcPr>
            <w:tcW w:w="1134"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b/>
                <w:bCs/>
                <w:sz w:val="20"/>
                <w:szCs w:val="20"/>
              </w:rPr>
            </w:pPr>
            <w:r w:rsidRPr="008C1A12">
              <w:rPr>
                <w:b/>
                <w:bCs/>
                <w:sz w:val="20"/>
                <w:szCs w:val="20"/>
              </w:rPr>
              <w:t>151,8</w:t>
            </w:r>
          </w:p>
        </w:tc>
        <w:tc>
          <w:tcPr>
            <w:tcW w:w="1134" w:type="dxa"/>
            <w:tcBorders>
              <w:top w:val="nil"/>
              <w:left w:val="nil"/>
              <w:bottom w:val="single" w:sz="4" w:space="0" w:color="auto"/>
              <w:right w:val="single" w:sz="4" w:space="0" w:color="auto"/>
            </w:tcBorders>
            <w:shd w:val="clear" w:color="auto" w:fill="auto"/>
            <w:noWrap/>
            <w:vAlign w:val="center"/>
            <w:hideMark/>
          </w:tcPr>
          <w:p w:rsidR="005E541F" w:rsidRPr="008C1A12" w:rsidRDefault="005E541F" w:rsidP="00191861">
            <w:pPr>
              <w:jc w:val="center"/>
              <w:rPr>
                <w:b/>
                <w:bCs/>
                <w:sz w:val="20"/>
                <w:szCs w:val="20"/>
              </w:rPr>
            </w:pPr>
            <w:r w:rsidRPr="008C1A12">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b/>
                <w:bCs/>
                <w:sz w:val="20"/>
                <w:szCs w:val="20"/>
              </w:rPr>
            </w:pPr>
            <w:r w:rsidRPr="008C1A12">
              <w:rPr>
                <w:b/>
                <w:bCs/>
                <w:sz w:val="20"/>
                <w:szCs w:val="20"/>
              </w:rPr>
              <w:t>-368,8</w:t>
            </w:r>
          </w:p>
        </w:tc>
      </w:tr>
      <w:tr w:rsidR="005E541F" w:rsidRPr="00467F9C" w:rsidTr="00EE5147">
        <w:trPr>
          <w:trHeight w:val="227"/>
        </w:trPr>
        <w:tc>
          <w:tcPr>
            <w:tcW w:w="5269" w:type="dxa"/>
            <w:tcBorders>
              <w:top w:val="nil"/>
              <w:left w:val="single" w:sz="4" w:space="0" w:color="auto"/>
              <w:bottom w:val="single" w:sz="4" w:space="0" w:color="auto"/>
              <w:right w:val="single" w:sz="4" w:space="0" w:color="auto"/>
            </w:tcBorders>
            <w:shd w:val="clear" w:color="000000" w:fill="FFFFFF"/>
            <w:vAlign w:val="center"/>
            <w:hideMark/>
          </w:tcPr>
          <w:p w:rsidR="005E541F" w:rsidRPr="008C1A12" w:rsidRDefault="005E541F" w:rsidP="008C1A12">
            <w:pPr>
              <w:ind w:right="-100"/>
              <w:rPr>
                <w:b/>
                <w:bCs/>
                <w:sz w:val="20"/>
                <w:szCs w:val="20"/>
              </w:rPr>
            </w:pPr>
            <w:r w:rsidRPr="008C1A12">
              <w:rPr>
                <w:b/>
                <w:bCs/>
                <w:sz w:val="20"/>
                <w:szCs w:val="20"/>
              </w:rPr>
              <w:t xml:space="preserve"> Расчеты по выданным авансам (206 00) </w:t>
            </w:r>
          </w:p>
        </w:tc>
        <w:tc>
          <w:tcPr>
            <w:tcW w:w="1134" w:type="dxa"/>
            <w:tcBorders>
              <w:top w:val="nil"/>
              <w:left w:val="nil"/>
              <w:bottom w:val="single" w:sz="4" w:space="0" w:color="auto"/>
              <w:right w:val="single" w:sz="4" w:space="0" w:color="auto"/>
            </w:tcBorders>
            <w:shd w:val="clear" w:color="000000" w:fill="FFFFFF"/>
            <w:noWrap/>
            <w:vAlign w:val="center"/>
          </w:tcPr>
          <w:p w:rsidR="005E541F" w:rsidRPr="008C1A12" w:rsidRDefault="005E541F" w:rsidP="00191861">
            <w:pPr>
              <w:jc w:val="center"/>
              <w:rPr>
                <w:b/>
                <w:bCs/>
                <w:sz w:val="20"/>
                <w:szCs w:val="20"/>
              </w:rPr>
            </w:pPr>
            <w:r w:rsidRPr="008C1A12">
              <w:rPr>
                <w:b/>
                <w:bCs/>
                <w:sz w:val="20"/>
                <w:szCs w:val="20"/>
              </w:rPr>
              <w:t>451,3</w:t>
            </w:r>
          </w:p>
        </w:tc>
        <w:tc>
          <w:tcPr>
            <w:tcW w:w="1134" w:type="dxa"/>
            <w:tcBorders>
              <w:top w:val="nil"/>
              <w:left w:val="nil"/>
              <w:bottom w:val="single" w:sz="4" w:space="0" w:color="auto"/>
              <w:right w:val="single" w:sz="4" w:space="0" w:color="auto"/>
            </w:tcBorders>
            <w:shd w:val="clear" w:color="000000" w:fill="FFFFFF"/>
            <w:noWrap/>
            <w:vAlign w:val="center"/>
          </w:tcPr>
          <w:p w:rsidR="005E541F" w:rsidRPr="008C1A12" w:rsidRDefault="005E541F" w:rsidP="00191861">
            <w:pPr>
              <w:jc w:val="center"/>
              <w:rPr>
                <w:b/>
                <w:bCs/>
                <w:sz w:val="20"/>
                <w:szCs w:val="20"/>
              </w:rPr>
            </w:pPr>
            <w:r w:rsidRPr="008C1A12">
              <w:rPr>
                <w:b/>
                <w:bCs/>
                <w:sz w:val="20"/>
                <w:szCs w:val="20"/>
              </w:rPr>
              <w:t>151,8</w:t>
            </w:r>
          </w:p>
        </w:tc>
        <w:tc>
          <w:tcPr>
            <w:tcW w:w="1134" w:type="dxa"/>
            <w:tcBorders>
              <w:top w:val="nil"/>
              <w:left w:val="nil"/>
              <w:bottom w:val="single" w:sz="4" w:space="0" w:color="auto"/>
              <w:right w:val="single" w:sz="4" w:space="0" w:color="auto"/>
            </w:tcBorders>
            <w:shd w:val="clear" w:color="000000" w:fill="FFFFFF"/>
            <w:noWrap/>
            <w:vAlign w:val="center"/>
            <w:hideMark/>
          </w:tcPr>
          <w:p w:rsidR="005E541F" w:rsidRPr="008C1A12" w:rsidRDefault="005E541F" w:rsidP="00191861">
            <w:pPr>
              <w:jc w:val="center"/>
              <w:rPr>
                <w:b/>
                <w:bCs/>
                <w:sz w:val="20"/>
                <w:szCs w:val="20"/>
              </w:rPr>
            </w:pPr>
            <w:r w:rsidRPr="008C1A12">
              <w:rPr>
                <w:b/>
                <w:bCs/>
                <w:sz w:val="20"/>
                <w:szCs w:val="20"/>
              </w:rPr>
              <w:t>0,0</w:t>
            </w:r>
          </w:p>
        </w:tc>
        <w:tc>
          <w:tcPr>
            <w:tcW w:w="1186" w:type="dxa"/>
            <w:tcBorders>
              <w:top w:val="nil"/>
              <w:left w:val="nil"/>
              <w:bottom w:val="single" w:sz="4" w:space="0" w:color="auto"/>
              <w:right w:val="single" w:sz="4" w:space="0" w:color="auto"/>
            </w:tcBorders>
            <w:shd w:val="clear" w:color="000000" w:fill="FFFFFF"/>
            <w:noWrap/>
            <w:vAlign w:val="center"/>
          </w:tcPr>
          <w:p w:rsidR="005E541F" w:rsidRPr="008C1A12" w:rsidRDefault="005E541F" w:rsidP="00191861">
            <w:pPr>
              <w:jc w:val="center"/>
              <w:rPr>
                <w:b/>
                <w:bCs/>
                <w:sz w:val="20"/>
                <w:szCs w:val="20"/>
              </w:rPr>
            </w:pPr>
            <w:r w:rsidRPr="008C1A12">
              <w:rPr>
                <w:b/>
                <w:bCs/>
                <w:sz w:val="20"/>
                <w:szCs w:val="20"/>
              </w:rPr>
              <w:t>-299,5</w:t>
            </w:r>
          </w:p>
        </w:tc>
      </w:tr>
      <w:tr w:rsidR="005E541F" w:rsidRPr="00467F9C" w:rsidTr="00EE5147">
        <w:trPr>
          <w:trHeight w:val="227"/>
        </w:trPr>
        <w:tc>
          <w:tcPr>
            <w:tcW w:w="5269" w:type="dxa"/>
            <w:tcBorders>
              <w:top w:val="nil"/>
              <w:left w:val="single" w:sz="4" w:space="0" w:color="auto"/>
              <w:bottom w:val="single" w:sz="4" w:space="0" w:color="auto"/>
              <w:right w:val="single" w:sz="4" w:space="0" w:color="auto"/>
            </w:tcBorders>
            <w:shd w:val="clear" w:color="auto" w:fill="auto"/>
            <w:vAlign w:val="center"/>
            <w:hideMark/>
          </w:tcPr>
          <w:p w:rsidR="005E541F" w:rsidRPr="008C1A12" w:rsidRDefault="005E541F" w:rsidP="008C1A12">
            <w:pPr>
              <w:ind w:right="-100"/>
              <w:rPr>
                <w:sz w:val="20"/>
                <w:szCs w:val="20"/>
              </w:rPr>
            </w:pPr>
            <w:r w:rsidRPr="008C1A12">
              <w:rPr>
                <w:sz w:val="20"/>
                <w:szCs w:val="20"/>
              </w:rPr>
              <w:t xml:space="preserve"> Расчеты по авансам по услугам связи (206 21) </w:t>
            </w:r>
          </w:p>
        </w:tc>
        <w:tc>
          <w:tcPr>
            <w:tcW w:w="1134"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sz w:val="20"/>
                <w:szCs w:val="20"/>
              </w:rPr>
            </w:pPr>
            <w:r w:rsidRPr="008C1A12">
              <w:rPr>
                <w:sz w:val="20"/>
                <w:szCs w:val="20"/>
              </w:rPr>
              <w:t>45,6</w:t>
            </w:r>
          </w:p>
        </w:tc>
        <w:tc>
          <w:tcPr>
            <w:tcW w:w="1134"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sz w:val="20"/>
                <w:szCs w:val="20"/>
              </w:rPr>
            </w:pPr>
            <w:r w:rsidRPr="008C1A12">
              <w:rPr>
                <w:bCs/>
                <w:sz w:val="20"/>
                <w:szCs w:val="20"/>
              </w:rPr>
              <w:t>101,5</w:t>
            </w:r>
          </w:p>
        </w:tc>
        <w:tc>
          <w:tcPr>
            <w:tcW w:w="1134" w:type="dxa"/>
            <w:tcBorders>
              <w:top w:val="nil"/>
              <w:left w:val="nil"/>
              <w:bottom w:val="single" w:sz="4" w:space="0" w:color="auto"/>
              <w:right w:val="single" w:sz="4" w:space="0" w:color="auto"/>
            </w:tcBorders>
            <w:shd w:val="clear" w:color="auto" w:fill="auto"/>
            <w:noWrap/>
            <w:vAlign w:val="center"/>
            <w:hideMark/>
          </w:tcPr>
          <w:p w:rsidR="005E541F" w:rsidRPr="008C1A12" w:rsidRDefault="005E541F" w:rsidP="00191861">
            <w:pPr>
              <w:jc w:val="center"/>
              <w:rPr>
                <w:sz w:val="20"/>
                <w:szCs w:val="20"/>
              </w:rPr>
            </w:pPr>
            <w:r w:rsidRPr="008C1A12">
              <w:rPr>
                <w:sz w:val="20"/>
                <w:szCs w:val="20"/>
              </w:rPr>
              <w:t>0,0</w:t>
            </w:r>
          </w:p>
        </w:tc>
        <w:tc>
          <w:tcPr>
            <w:tcW w:w="1186"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sz w:val="20"/>
                <w:szCs w:val="20"/>
              </w:rPr>
            </w:pPr>
            <w:r w:rsidRPr="008C1A12">
              <w:rPr>
                <w:sz w:val="20"/>
                <w:szCs w:val="20"/>
              </w:rPr>
              <w:t>55,9</w:t>
            </w:r>
          </w:p>
        </w:tc>
      </w:tr>
      <w:tr w:rsidR="005E541F" w:rsidRPr="00467F9C" w:rsidTr="00EE5147">
        <w:trPr>
          <w:trHeight w:val="227"/>
        </w:trPr>
        <w:tc>
          <w:tcPr>
            <w:tcW w:w="5269" w:type="dxa"/>
            <w:tcBorders>
              <w:top w:val="nil"/>
              <w:left w:val="single" w:sz="4" w:space="0" w:color="auto"/>
              <w:bottom w:val="single" w:sz="4" w:space="0" w:color="auto"/>
              <w:right w:val="single" w:sz="4" w:space="0" w:color="auto"/>
            </w:tcBorders>
            <w:shd w:val="clear" w:color="auto" w:fill="auto"/>
            <w:vAlign w:val="center"/>
            <w:hideMark/>
          </w:tcPr>
          <w:p w:rsidR="005E541F" w:rsidRPr="008C1A12" w:rsidRDefault="005E541F" w:rsidP="008C1A12">
            <w:pPr>
              <w:ind w:right="-100"/>
              <w:rPr>
                <w:sz w:val="20"/>
                <w:szCs w:val="20"/>
              </w:rPr>
            </w:pPr>
            <w:r w:rsidRPr="008C1A12">
              <w:rPr>
                <w:sz w:val="20"/>
                <w:szCs w:val="20"/>
              </w:rPr>
              <w:t xml:space="preserve"> Расчеты по авансам по прочим работам, услугам (206 26) </w:t>
            </w:r>
          </w:p>
        </w:tc>
        <w:tc>
          <w:tcPr>
            <w:tcW w:w="1134"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sz w:val="20"/>
                <w:szCs w:val="20"/>
              </w:rPr>
            </w:pPr>
            <w:r w:rsidRPr="008C1A12">
              <w:rPr>
                <w:sz w:val="20"/>
                <w:szCs w:val="20"/>
              </w:rPr>
              <w:t>45,5</w:t>
            </w:r>
          </w:p>
        </w:tc>
        <w:tc>
          <w:tcPr>
            <w:tcW w:w="1134"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sz w:val="20"/>
                <w:szCs w:val="20"/>
              </w:rPr>
            </w:pPr>
            <w:r w:rsidRPr="008C1A12">
              <w:rPr>
                <w:sz w:val="20"/>
                <w:szCs w:val="20"/>
              </w:rPr>
              <w:t>43,7</w:t>
            </w:r>
          </w:p>
        </w:tc>
        <w:tc>
          <w:tcPr>
            <w:tcW w:w="1134" w:type="dxa"/>
            <w:tcBorders>
              <w:top w:val="nil"/>
              <w:left w:val="nil"/>
              <w:bottom w:val="single" w:sz="4" w:space="0" w:color="auto"/>
              <w:right w:val="single" w:sz="4" w:space="0" w:color="auto"/>
            </w:tcBorders>
            <w:shd w:val="clear" w:color="auto" w:fill="auto"/>
            <w:noWrap/>
            <w:vAlign w:val="center"/>
            <w:hideMark/>
          </w:tcPr>
          <w:p w:rsidR="005E541F" w:rsidRPr="008C1A12" w:rsidRDefault="005E541F" w:rsidP="00191861">
            <w:pPr>
              <w:jc w:val="center"/>
              <w:rPr>
                <w:sz w:val="20"/>
                <w:szCs w:val="20"/>
              </w:rPr>
            </w:pPr>
            <w:r w:rsidRPr="008C1A12">
              <w:rPr>
                <w:sz w:val="20"/>
                <w:szCs w:val="20"/>
              </w:rPr>
              <w:t>0,0</w:t>
            </w:r>
          </w:p>
        </w:tc>
        <w:tc>
          <w:tcPr>
            <w:tcW w:w="1186"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sz w:val="20"/>
                <w:szCs w:val="20"/>
              </w:rPr>
            </w:pPr>
            <w:r w:rsidRPr="008C1A12">
              <w:rPr>
                <w:sz w:val="20"/>
                <w:szCs w:val="20"/>
              </w:rPr>
              <w:t>-1,8</w:t>
            </w:r>
          </w:p>
        </w:tc>
      </w:tr>
      <w:tr w:rsidR="005E541F" w:rsidRPr="00467F9C" w:rsidTr="00EE5147">
        <w:trPr>
          <w:trHeight w:val="340"/>
        </w:trPr>
        <w:tc>
          <w:tcPr>
            <w:tcW w:w="5269" w:type="dxa"/>
            <w:tcBorders>
              <w:top w:val="nil"/>
              <w:left w:val="single" w:sz="4" w:space="0" w:color="auto"/>
              <w:bottom w:val="single" w:sz="4" w:space="0" w:color="auto"/>
              <w:right w:val="single" w:sz="4" w:space="0" w:color="auto"/>
            </w:tcBorders>
            <w:shd w:val="clear" w:color="auto" w:fill="auto"/>
            <w:vAlign w:val="center"/>
            <w:hideMark/>
          </w:tcPr>
          <w:p w:rsidR="005E541F" w:rsidRPr="008C1A12" w:rsidRDefault="005E541F" w:rsidP="008C1A12">
            <w:pPr>
              <w:ind w:right="-100"/>
              <w:rPr>
                <w:sz w:val="20"/>
                <w:szCs w:val="20"/>
              </w:rPr>
            </w:pPr>
            <w:r w:rsidRPr="008C1A12">
              <w:rPr>
                <w:sz w:val="20"/>
                <w:szCs w:val="20"/>
              </w:rPr>
              <w:t xml:space="preserve"> Расчеты по авансам по приобретению материальных запасов (206 34) </w:t>
            </w:r>
          </w:p>
        </w:tc>
        <w:tc>
          <w:tcPr>
            <w:tcW w:w="1134"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sz w:val="20"/>
                <w:szCs w:val="20"/>
              </w:rPr>
            </w:pPr>
            <w:r w:rsidRPr="008C1A12">
              <w:rPr>
                <w:sz w:val="20"/>
                <w:szCs w:val="20"/>
              </w:rPr>
              <w:t>56,4</w:t>
            </w:r>
          </w:p>
        </w:tc>
        <w:tc>
          <w:tcPr>
            <w:tcW w:w="1134"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sz w:val="20"/>
                <w:szCs w:val="20"/>
              </w:rPr>
            </w:pPr>
            <w:r w:rsidRPr="008C1A12">
              <w:rPr>
                <w:sz w:val="20"/>
                <w:szCs w:val="20"/>
              </w:rPr>
              <w:t>6,6</w:t>
            </w:r>
          </w:p>
        </w:tc>
        <w:tc>
          <w:tcPr>
            <w:tcW w:w="1134" w:type="dxa"/>
            <w:tcBorders>
              <w:top w:val="nil"/>
              <w:left w:val="nil"/>
              <w:bottom w:val="single" w:sz="4" w:space="0" w:color="auto"/>
              <w:right w:val="single" w:sz="4" w:space="0" w:color="auto"/>
            </w:tcBorders>
            <w:shd w:val="clear" w:color="auto" w:fill="auto"/>
            <w:noWrap/>
            <w:vAlign w:val="center"/>
            <w:hideMark/>
          </w:tcPr>
          <w:p w:rsidR="005E541F" w:rsidRPr="008C1A12" w:rsidRDefault="005E541F" w:rsidP="00191861">
            <w:pPr>
              <w:jc w:val="center"/>
              <w:rPr>
                <w:sz w:val="20"/>
                <w:szCs w:val="20"/>
              </w:rPr>
            </w:pPr>
            <w:r w:rsidRPr="008C1A12">
              <w:rPr>
                <w:sz w:val="20"/>
                <w:szCs w:val="20"/>
              </w:rPr>
              <w:t>0,0</w:t>
            </w:r>
          </w:p>
        </w:tc>
        <w:tc>
          <w:tcPr>
            <w:tcW w:w="1186"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sz w:val="20"/>
                <w:szCs w:val="20"/>
              </w:rPr>
            </w:pPr>
            <w:r w:rsidRPr="008C1A12">
              <w:rPr>
                <w:sz w:val="20"/>
                <w:szCs w:val="20"/>
              </w:rPr>
              <w:t>-49,8</w:t>
            </w:r>
          </w:p>
        </w:tc>
      </w:tr>
      <w:tr w:rsidR="005E541F" w:rsidRPr="00467F9C" w:rsidTr="00EE5147">
        <w:trPr>
          <w:trHeight w:val="397"/>
        </w:trPr>
        <w:tc>
          <w:tcPr>
            <w:tcW w:w="5269" w:type="dxa"/>
            <w:tcBorders>
              <w:top w:val="nil"/>
              <w:left w:val="single" w:sz="4" w:space="0" w:color="auto"/>
              <w:bottom w:val="single" w:sz="4" w:space="0" w:color="auto"/>
              <w:right w:val="single" w:sz="4" w:space="0" w:color="auto"/>
            </w:tcBorders>
            <w:shd w:val="clear" w:color="auto" w:fill="auto"/>
            <w:vAlign w:val="center"/>
            <w:hideMark/>
          </w:tcPr>
          <w:p w:rsidR="005E541F" w:rsidRPr="008C1A12" w:rsidRDefault="005E541F" w:rsidP="008C1A12">
            <w:pPr>
              <w:ind w:right="-100"/>
              <w:rPr>
                <w:sz w:val="20"/>
                <w:szCs w:val="20"/>
              </w:rPr>
            </w:pPr>
            <w:r w:rsidRPr="008C1A12">
              <w:rPr>
                <w:sz w:val="20"/>
                <w:szCs w:val="20"/>
              </w:rPr>
              <w:t>Расчеты по авансовым платежам (перечислениям) по обязательным видам страхования (206 61)</w:t>
            </w:r>
          </w:p>
        </w:tc>
        <w:tc>
          <w:tcPr>
            <w:tcW w:w="1134"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sz w:val="20"/>
                <w:szCs w:val="20"/>
              </w:rPr>
            </w:pPr>
            <w:r w:rsidRPr="008C1A12">
              <w:rPr>
                <w:sz w:val="20"/>
                <w:szCs w:val="20"/>
              </w:rPr>
              <w:t>303,8</w:t>
            </w:r>
          </w:p>
        </w:tc>
        <w:tc>
          <w:tcPr>
            <w:tcW w:w="1134"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sz w:val="20"/>
                <w:szCs w:val="20"/>
              </w:rPr>
            </w:pPr>
            <w:r w:rsidRPr="008C1A12">
              <w:rPr>
                <w:sz w:val="20"/>
                <w:szCs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5E541F" w:rsidRPr="008C1A12" w:rsidRDefault="005E541F" w:rsidP="00191861">
            <w:pPr>
              <w:jc w:val="center"/>
              <w:rPr>
                <w:sz w:val="20"/>
                <w:szCs w:val="20"/>
              </w:rPr>
            </w:pPr>
            <w:r w:rsidRPr="008C1A12">
              <w:rPr>
                <w:sz w:val="20"/>
                <w:szCs w:val="20"/>
              </w:rPr>
              <w:t>0,0</w:t>
            </w:r>
          </w:p>
        </w:tc>
        <w:tc>
          <w:tcPr>
            <w:tcW w:w="1186"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sz w:val="20"/>
                <w:szCs w:val="20"/>
              </w:rPr>
            </w:pPr>
            <w:r w:rsidRPr="008C1A12">
              <w:rPr>
                <w:sz w:val="20"/>
                <w:szCs w:val="20"/>
              </w:rPr>
              <w:t>-303,8</w:t>
            </w:r>
          </w:p>
        </w:tc>
      </w:tr>
      <w:tr w:rsidR="005E541F" w:rsidRPr="00467F9C" w:rsidTr="00EE5147">
        <w:trPr>
          <w:trHeight w:val="227"/>
        </w:trPr>
        <w:tc>
          <w:tcPr>
            <w:tcW w:w="5269" w:type="dxa"/>
            <w:tcBorders>
              <w:top w:val="nil"/>
              <w:left w:val="single" w:sz="4" w:space="0" w:color="auto"/>
              <w:bottom w:val="single" w:sz="4" w:space="0" w:color="auto"/>
              <w:right w:val="single" w:sz="4" w:space="0" w:color="auto"/>
            </w:tcBorders>
            <w:shd w:val="clear" w:color="000000" w:fill="FFFFFF"/>
            <w:vAlign w:val="center"/>
            <w:hideMark/>
          </w:tcPr>
          <w:p w:rsidR="005E541F" w:rsidRPr="008C1A12" w:rsidRDefault="005E541F" w:rsidP="008C1A12">
            <w:pPr>
              <w:ind w:right="-100"/>
              <w:rPr>
                <w:b/>
                <w:bCs/>
                <w:sz w:val="20"/>
                <w:szCs w:val="20"/>
              </w:rPr>
            </w:pPr>
            <w:r w:rsidRPr="008C1A12">
              <w:rPr>
                <w:b/>
                <w:bCs/>
                <w:sz w:val="20"/>
                <w:szCs w:val="20"/>
              </w:rPr>
              <w:t xml:space="preserve"> Расчеты с подотчетными лицами (208 00) </w:t>
            </w:r>
          </w:p>
        </w:tc>
        <w:tc>
          <w:tcPr>
            <w:tcW w:w="1134" w:type="dxa"/>
            <w:tcBorders>
              <w:top w:val="nil"/>
              <w:left w:val="nil"/>
              <w:bottom w:val="single" w:sz="4" w:space="0" w:color="auto"/>
              <w:right w:val="single" w:sz="4" w:space="0" w:color="auto"/>
            </w:tcBorders>
            <w:shd w:val="clear" w:color="000000" w:fill="FFFFFF"/>
            <w:noWrap/>
            <w:vAlign w:val="center"/>
          </w:tcPr>
          <w:p w:rsidR="005E541F" w:rsidRPr="008C1A12" w:rsidRDefault="005E541F" w:rsidP="00191861">
            <w:pPr>
              <w:jc w:val="center"/>
              <w:rPr>
                <w:b/>
                <w:bCs/>
                <w:sz w:val="20"/>
                <w:szCs w:val="20"/>
              </w:rPr>
            </w:pPr>
            <w:r w:rsidRPr="008C1A12">
              <w:rPr>
                <w:b/>
                <w:bCs/>
                <w:sz w:val="20"/>
                <w:szCs w:val="20"/>
              </w:rPr>
              <w:t>69,2</w:t>
            </w:r>
          </w:p>
        </w:tc>
        <w:tc>
          <w:tcPr>
            <w:tcW w:w="1134" w:type="dxa"/>
            <w:tcBorders>
              <w:top w:val="nil"/>
              <w:left w:val="nil"/>
              <w:bottom w:val="single" w:sz="4" w:space="0" w:color="auto"/>
              <w:right w:val="single" w:sz="4" w:space="0" w:color="auto"/>
            </w:tcBorders>
            <w:shd w:val="clear" w:color="000000" w:fill="FFFFFF"/>
            <w:noWrap/>
            <w:vAlign w:val="center"/>
          </w:tcPr>
          <w:p w:rsidR="005E541F" w:rsidRPr="008C1A12" w:rsidRDefault="005E541F" w:rsidP="00191861">
            <w:pPr>
              <w:jc w:val="center"/>
              <w:rPr>
                <w:b/>
                <w:bCs/>
                <w:sz w:val="20"/>
                <w:szCs w:val="20"/>
              </w:rPr>
            </w:pPr>
            <w:r w:rsidRPr="008C1A12">
              <w:rPr>
                <w:b/>
                <w:bCs/>
                <w:sz w:val="20"/>
                <w:szCs w:val="20"/>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5E541F" w:rsidRPr="008C1A12" w:rsidRDefault="005E541F" w:rsidP="00191861">
            <w:pPr>
              <w:jc w:val="center"/>
              <w:rPr>
                <w:b/>
                <w:bCs/>
                <w:sz w:val="20"/>
                <w:szCs w:val="20"/>
              </w:rPr>
            </w:pPr>
            <w:r w:rsidRPr="008C1A12">
              <w:rPr>
                <w:b/>
                <w:bCs/>
                <w:sz w:val="20"/>
                <w:szCs w:val="20"/>
              </w:rPr>
              <w:t>0,0</w:t>
            </w:r>
          </w:p>
        </w:tc>
        <w:tc>
          <w:tcPr>
            <w:tcW w:w="1186" w:type="dxa"/>
            <w:tcBorders>
              <w:top w:val="nil"/>
              <w:left w:val="nil"/>
              <w:bottom w:val="single" w:sz="4" w:space="0" w:color="auto"/>
              <w:right w:val="single" w:sz="4" w:space="0" w:color="auto"/>
            </w:tcBorders>
            <w:shd w:val="clear" w:color="000000" w:fill="FFFFFF"/>
            <w:noWrap/>
            <w:vAlign w:val="center"/>
          </w:tcPr>
          <w:p w:rsidR="005E541F" w:rsidRPr="008C1A12" w:rsidRDefault="005E541F" w:rsidP="00191861">
            <w:pPr>
              <w:jc w:val="center"/>
              <w:rPr>
                <w:b/>
                <w:bCs/>
                <w:sz w:val="20"/>
                <w:szCs w:val="20"/>
              </w:rPr>
            </w:pPr>
            <w:r w:rsidRPr="008C1A12">
              <w:rPr>
                <w:b/>
                <w:bCs/>
                <w:sz w:val="20"/>
                <w:szCs w:val="20"/>
              </w:rPr>
              <w:t>-69,2</w:t>
            </w:r>
          </w:p>
        </w:tc>
      </w:tr>
      <w:tr w:rsidR="005E541F" w:rsidRPr="00467F9C" w:rsidTr="00EE5147">
        <w:trPr>
          <w:trHeight w:val="397"/>
        </w:trPr>
        <w:tc>
          <w:tcPr>
            <w:tcW w:w="5269" w:type="dxa"/>
            <w:tcBorders>
              <w:top w:val="nil"/>
              <w:left w:val="single" w:sz="4" w:space="0" w:color="auto"/>
              <w:bottom w:val="single" w:sz="4" w:space="0" w:color="auto"/>
              <w:right w:val="single" w:sz="4" w:space="0" w:color="auto"/>
            </w:tcBorders>
            <w:shd w:val="clear" w:color="auto" w:fill="auto"/>
            <w:vAlign w:val="center"/>
            <w:hideMark/>
          </w:tcPr>
          <w:p w:rsidR="005E541F" w:rsidRPr="008C1A12" w:rsidRDefault="005E541F" w:rsidP="008C1A12">
            <w:pPr>
              <w:ind w:right="-100"/>
              <w:rPr>
                <w:sz w:val="20"/>
                <w:szCs w:val="20"/>
              </w:rPr>
            </w:pPr>
            <w:r w:rsidRPr="008C1A12">
              <w:rPr>
                <w:sz w:val="20"/>
                <w:szCs w:val="20"/>
              </w:rPr>
              <w:t xml:space="preserve"> Расчеты с подотчетными лицами по прочим несоциальным выплатам персоналу в натуральной форме (208 14) </w:t>
            </w:r>
          </w:p>
        </w:tc>
        <w:tc>
          <w:tcPr>
            <w:tcW w:w="1134"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sz w:val="20"/>
                <w:szCs w:val="20"/>
              </w:rPr>
            </w:pPr>
            <w:r w:rsidRPr="008C1A12">
              <w:rPr>
                <w:sz w:val="20"/>
                <w:szCs w:val="20"/>
              </w:rPr>
              <w:t>69,2</w:t>
            </w:r>
          </w:p>
        </w:tc>
        <w:tc>
          <w:tcPr>
            <w:tcW w:w="1134"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sz w:val="20"/>
                <w:szCs w:val="20"/>
              </w:rPr>
            </w:pPr>
            <w:r w:rsidRPr="008C1A12">
              <w:rPr>
                <w:sz w:val="20"/>
                <w:szCs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5E541F" w:rsidRPr="008C1A12" w:rsidRDefault="005E541F" w:rsidP="00191861">
            <w:pPr>
              <w:jc w:val="center"/>
              <w:rPr>
                <w:sz w:val="20"/>
                <w:szCs w:val="20"/>
              </w:rPr>
            </w:pPr>
            <w:r w:rsidRPr="008C1A12">
              <w:rPr>
                <w:sz w:val="20"/>
                <w:szCs w:val="20"/>
              </w:rPr>
              <w:t>0,0</w:t>
            </w:r>
          </w:p>
        </w:tc>
        <w:tc>
          <w:tcPr>
            <w:tcW w:w="1186"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sz w:val="20"/>
                <w:szCs w:val="20"/>
              </w:rPr>
            </w:pPr>
            <w:r w:rsidRPr="008C1A12">
              <w:rPr>
                <w:sz w:val="20"/>
                <w:szCs w:val="20"/>
              </w:rPr>
              <w:t>-69,2</w:t>
            </w:r>
          </w:p>
        </w:tc>
      </w:tr>
      <w:tr w:rsidR="005E541F" w:rsidRPr="00467F9C" w:rsidTr="00EE5147">
        <w:trPr>
          <w:trHeight w:val="227"/>
        </w:trPr>
        <w:tc>
          <w:tcPr>
            <w:tcW w:w="5269" w:type="dxa"/>
            <w:tcBorders>
              <w:top w:val="nil"/>
              <w:left w:val="single" w:sz="4" w:space="0" w:color="auto"/>
              <w:bottom w:val="single" w:sz="4" w:space="0" w:color="auto"/>
              <w:right w:val="single" w:sz="4" w:space="0" w:color="auto"/>
            </w:tcBorders>
            <w:shd w:val="clear" w:color="000000" w:fill="FFFFFF"/>
            <w:hideMark/>
          </w:tcPr>
          <w:p w:rsidR="005E541F" w:rsidRPr="008C1A12" w:rsidRDefault="005E541F" w:rsidP="008C1A12">
            <w:pPr>
              <w:ind w:right="-100"/>
              <w:rPr>
                <w:b/>
                <w:bCs/>
                <w:sz w:val="20"/>
                <w:szCs w:val="20"/>
              </w:rPr>
            </w:pPr>
            <w:r w:rsidRPr="008C1A12">
              <w:rPr>
                <w:b/>
                <w:bCs/>
                <w:sz w:val="20"/>
                <w:szCs w:val="20"/>
              </w:rPr>
              <w:t xml:space="preserve"> Расчеты по платежам в бюджеты (303 00) </w:t>
            </w:r>
          </w:p>
        </w:tc>
        <w:tc>
          <w:tcPr>
            <w:tcW w:w="1134" w:type="dxa"/>
            <w:tcBorders>
              <w:top w:val="nil"/>
              <w:left w:val="nil"/>
              <w:bottom w:val="single" w:sz="4" w:space="0" w:color="auto"/>
              <w:right w:val="single" w:sz="4" w:space="0" w:color="auto"/>
            </w:tcBorders>
            <w:shd w:val="clear" w:color="000000" w:fill="FFFFFF"/>
            <w:noWrap/>
            <w:vAlign w:val="center"/>
          </w:tcPr>
          <w:p w:rsidR="005E541F" w:rsidRPr="008C1A12" w:rsidRDefault="005E541F" w:rsidP="00191861">
            <w:pPr>
              <w:jc w:val="center"/>
              <w:rPr>
                <w:b/>
                <w:bCs/>
                <w:sz w:val="20"/>
                <w:szCs w:val="20"/>
              </w:rPr>
            </w:pPr>
            <w:r w:rsidRPr="008C1A12">
              <w:rPr>
                <w:b/>
                <w:bCs/>
                <w:sz w:val="20"/>
                <w:szCs w:val="20"/>
              </w:rPr>
              <w:t>0,1</w:t>
            </w:r>
          </w:p>
        </w:tc>
        <w:tc>
          <w:tcPr>
            <w:tcW w:w="1134" w:type="dxa"/>
            <w:tcBorders>
              <w:top w:val="nil"/>
              <w:left w:val="nil"/>
              <w:bottom w:val="single" w:sz="4" w:space="0" w:color="auto"/>
              <w:right w:val="single" w:sz="4" w:space="0" w:color="auto"/>
            </w:tcBorders>
            <w:shd w:val="clear" w:color="000000" w:fill="FFFFFF"/>
            <w:noWrap/>
            <w:vAlign w:val="center"/>
          </w:tcPr>
          <w:p w:rsidR="005E541F" w:rsidRPr="008C1A12" w:rsidRDefault="005E541F" w:rsidP="00191861">
            <w:pPr>
              <w:jc w:val="center"/>
              <w:rPr>
                <w:b/>
                <w:bCs/>
                <w:sz w:val="20"/>
                <w:szCs w:val="20"/>
              </w:rPr>
            </w:pPr>
            <w:r w:rsidRPr="008C1A12">
              <w:rPr>
                <w:b/>
                <w:bCs/>
                <w:sz w:val="20"/>
                <w:szCs w:val="20"/>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5E541F" w:rsidRPr="008C1A12" w:rsidRDefault="005E541F" w:rsidP="00191861">
            <w:pPr>
              <w:jc w:val="center"/>
              <w:rPr>
                <w:b/>
                <w:bCs/>
                <w:sz w:val="20"/>
                <w:szCs w:val="20"/>
              </w:rPr>
            </w:pPr>
            <w:r w:rsidRPr="008C1A12">
              <w:rPr>
                <w:b/>
                <w:bCs/>
                <w:sz w:val="20"/>
                <w:szCs w:val="20"/>
              </w:rPr>
              <w:t>0,0</w:t>
            </w:r>
          </w:p>
        </w:tc>
        <w:tc>
          <w:tcPr>
            <w:tcW w:w="1186" w:type="dxa"/>
            <w:tcBorders>
              <w:top w:val="nil"/>
              <w:left w:val="nil"/>
              <w:bottom w:val="single" w:sz="4" w:space="0" w:color="auto"/>
              <w:right w:val="single" w:sz="4" w:space="0" w:color="auto"/>
            </w:tcBorders>
            <w:shd w:val="clear" w:color="000000" w:fill="FFFFFF"/>
            <w:noWrap/>
            <w:vAlign w:val="center"/>
          </w:tcPr>
          <w:p w:rsidR="005E541F" w:rsidRPr="008C1A12" w:rsidRDefault="005E541F" w:rsidP="00191861">
            <w:pPr>
              <w:jc w:val="center"/>
              <w:rPr>
                <w:b/>
                <w:bCs/>
                <w:sz w:val="20"/>
                <w:szCs w:val="20"/>
              </w:rPr>
            </w:pPr>
            <w:r w:rsidRPr="008C1A12">
              <w:rPr>
                <w:b/>
                <w:bCs/>
                <w:sz w:val="20"/>
                <w:szCs w:val="20"/>
              </w:rPr>
              <w:t>-0,1</w:t>
            </w:r>
          </w:p>
        </w:tc>
      </w:tr>
      <w:tr w:rsidR="005E541F" w:rsidRPr="00467F9C" w:rsidTr="00EE5147">
        <w:trPr>
          <w:trHeight w:val="227"/>
        </w:trPr>
        <w:tc>
          <w:tcPr>
            <w:tcW w:w="5269" w:type="dxa"/>
            <w:tcBorders>
              <w:top w:val="nil"/>
              <w:left w:val="single" w:sz="4" w:space="0" w:color="auto"/>
              <w:bottom w:val="single" w:sz="4" w:space="0" w:color="auto"/>
              <w:right w:val="single" w:sz="4" w:space="0" w:color="auto"/>
            </w:tcBorders>
            <w:shd w:val="clear" w:color="000000" w:fill="FFFFFF"/>
          </w:tcPr>
          <w:p w:rsidR="005E541F" w:rsidRPr="008C1A12" w:rsidRDefault="005E541F" w:rsidP="00191861">
            <w:pPr>
              <w:rPr>
                <w:sz w:val="20"/>
                <w:szCs w:val="20"/>
              </w:rPr>
            </w:pPr>
            <w:r w:rsidRPr="008C1A12">
              <w:rPr>
                <w:sz w:val="20"/>
                <w:szCs w:val="20"/>
              </w:rPr>
              <w:t xml:space="preserve"> Расчеты по налогу на доходы физических лиц (303 01) </w:t>
            </w:r>
          </w:p>
        </w:tc>
        <w:tc>
          <w:tcPr>
            <w:tcW w:w="1134" w:type="dxa"/>
            <w:tcBorders>
              <w:top w:val="nil"/>
              <w:left w:val="nil"/>
              <w:bottom w:val="single" w:sz="4" w:space="0" w:color="auto"/>
              <w:right w:val="single" w:sz="4" w:space="0" w:color="auto"/>
            </w:tcBorders>
            <w:shd w:val="clear" w:color="000000" w:fill="FFFFFF"/>
            <w:noWrap/>
            <w:vAlign w:val="center"/>
          </w:tcPr>
          <w:p w:rsidR="005E541F" w:rsidRPr="008C1A12" w:rsidRDefault="005E541F" w:rsidP="00191861">
            <w:pPr>
              <w:jc w:val="center"/>
              <w:rPr>
                <w:sz w:val="20"/>
                <w:szCs w:val="20"/>
              </w:rPr>
            </w:pPr>
            <w:r w:rsidRPr="008C1A12">
              <w:rPr>
                <w:sz w:val="20"/>
                <w:szCs w:val="20"/>
              </w:rPr>
              <w:t>0,1</w:t>
            </w:r>
          </w:p>
        </w:tc>
        <w:tc>
          <w:tcPr>
            <w:tcW w:w="1134" w:type="dxa"/>
            <w:tcBorders>
              <w:top w:val="nil"/>
              <w:left w:val="nil"/>
              <w:bottom w:val="single" w:sz="4" w:space="0" w:color="auto"/>
              <w:right w:val="single" w:sz="4" w:space="0" w:color="auto"/>
            </w:tcBorders>
            <w:shd w:val="clear" w:color="000000" w:fill="FFFFFF"/>
            <w:noWrap/>
            <w:vAlign w:val="center"/>
          </w:tcPr>
          <w:p w:rsidR="005E541F" w:rsidRPr="008C1A12" w:rsidRDefault="005E541F" w:rsidP="00191861">
            <w:pPr>
              <w:jc w:val="center"/>
              <w:rPr>
                <w:sz w:val="20"/>
                <w:szCs w:val="20"/>
              </w:rPr>
            </w:pPr>
            <w:r w:rsidRPr="008C1A12">
              <w:rPr>
                <w:sz w:val="20"/>
                <w:szCs w:val="20"/>
              </w:rPr>
              <w:t>0,0</w:t>
            </w:r>
          </w:p>
        </w:tc>
        <w:tc>
          <w:tcPr>
            <w:tcW w:w="1134" w:type="dxa"/>
            <w:tcBorders>
              <w:top w:val="nil"/>
              <w:left w:val="nil"/>
              <w:bottom w:val="single" w:sz="4" w:space="0" w:color="auto"/>
              <w:right w:val="single" w:sz="4" w:space="0" w:color="auto"/>
            </w:tcBorders>
            <w:shd w:val="clear" w:color="000000" w:fill="FFFFFF"/>
            <w:noWrap/>
            <w:vAlign w:val="center"/>
          </w:tcPr>
          <w:p w:rsidR="005E541F" w:rsidRPr="008C1A12" w:rsidRDefault="005E541F" w:rsidP="00191861">
            <w:pPr>
              <w:jc w:val="center"/>
              <w:rPr>
                <w:sz w:val="20"/>
                <w:szCs w:val="20"/>
              </w:rPr>
            </w:pPr>
            <w:r w:rsidRPr="008C1A12">
              <w:rPr>
                <w:sz w:val="20"/>
                <w:szCs w:val="20"/>
              </w:rPr>
              <w:t>0,0</w:t>
            </w:r>
          </w:p>
        </w:tc>
        <w:tc>
          <w:tcPr>
            <w:tcW w:w="1186" w:type="dxa"/>
            <w:tcBorders>
              <w:top w:val="nil"/>
              <w:left w:val="nil"/>
              <w:bottom w:val="single" w:sz="4" w:space="0" w:color="auto"/>
              <w:right w:val="single" w:sz="4" w:space="0" w:color="auto"/>
            </w:tcBorders>
            <w:shd w:val="clear" w:color="000000" w:fill="FFFFFF"/>
            <w:noWrap/>
            <w:vAlign w:val="center"/>
          </w:tcPr>
          <w:p w:rsidR="005E541F" w:rsidRPr="008C1A12" w:rsidRDefault="005E541F" w:rsidP="00191861">
            <w:pPr>
              <w:jc w:val="center"/>
              <w:rPr>
                <w:sz w:val="20"/>
                <w:szCs w:val="20"/>
              </w:rPr>
            </w:pPr>
            <w:r w:rsidRPr="008C1A12">
              <w:rPr>
                <w:sz w:val="20"/>
                <w:szCs w:val="20"/>
              </w:rPr>
              <w:t>-0,1</w:t>
            </w:r>
          </w:p>
        </w:tc>
      </w:tr>
    </w:tbl>
    <w:p w:rsidR="005E541F" w:rsidRPr="00467F9C" w:rsidRDefault="005E541F" w:rsidP="00191861">
      <w:pPr>
        <w:autoSpaceDE w:val="0"/>
        <w:autoSpaceDN w:val="0"/>
        <w:adjustRightInd w:val="0"/>
        <w:ind w:firstLine="709"/>
        <w:jc w:val="both"/>
        <w:rPr>
          <w:sz w:val="8"/>
          <w:szCs w:val="8"/>
        </w:rPr>
      </w:pPr>
    </w:p>
    <w:p w:rsidR="005E541F" w:rsidRPr="00467F9C" w:rsidRDefault="005E541F" w:rsidP="00191861">
      <w:pPr>
        <w:autoSpaceDE w:val="0"/>
        <w:autoSpaceDN w:val="0"/>
        <w:adjustRightInd w:val="0"/>
        <w:ind w:firstLine="709"/>
        <w:jc w:val="both"/>
        <w:rPr>
          <w:sz w:val="28"/>
          <w:szCs w:val="28"/>
        </w:rPr>
      </w:pPr>
      <w:r w:rsidRPr="00467F9C">
        <w:rPr>
          <w:sz w:val="28"/>
          <w:szCs w:val="28"/>
        </w:rPr>
        <w:t>В отчетном периоде сумма дебиторской задолженности по расходам в полном объеме сложилась при р</w:t>
      </w:r>
      <w:r w:rsidRPr="00467F9C">
        <w:rPr>
          <w:bCs/>
          <w:sz w:val="28"/>
          <w:szCs w:val="28"/>
        </w:rPr>
        <w:t>асчетах по выданным авансам</w:t>
      </w:r>
      <w:r w:rsidRPr="00467F9C">
        <w:rPr>
          <w:sz w:val="28"/>
          <w:szCs w:val="28"/>
        </w:rPr>
        <w:t xml:space="preserve"> (206 00) и является текущей задолженностью, в том числе:</w:t>
      </w:r>
    </w:p>
    <w:p w:rsidR="005E541F" w:rsidRPr="00467F9C" w:rsidRDefault="005E541F" w:rsidP="00191861">
      <w:pPr>
        <w:tabs>
          <w:tab w:val="left" w:pos="709"/>
        </w:tabs>
        <w:ind w:firstLine="709"/>
        <w:jc w:val="both"/>
        <w:rPr>
          <w:sz w:val="28"/>
          <w:szCs w:val="28"/>
        </w:rPr>
      </w:pPr>
      <w:r w:rsidRPr="00467F9C">
        <w:rPr>
          <w:sz w:val="28"/>
          <w:szCs w:val="28"/>
        </w:rPr>
        <w:t>- 101,5 тыс. рублей по услугам связи, образована в связи с авансированием услуг в соответствии с условиями договоров;</w:t>
      </w:r>
    </w:p>
    <w:p w:rsidR="005E541F" w:rsidRPr="00467F9C" w:rsidRDefault="005E541F" w:rsidP="00191861">
      <w:pPr>
        <w:tabs>
          <w:tab w:val="left" w:pos="709"/>
        </w:tabs>
        <w:ind w:firstLine="709"/>
        <w:jc w:val="both"/>
        <w:rPr>
          <w:sz w:val="28"/>
          <w:szCs w:val="28"/>
        </w:rPr>
      </w:pPr>
      <w:r w:rsidRPr="00467F9C">
        <w:rPr>
          <w:sz w:val="28"/>
          <w:szCs w:val="28"/>
        </w:rPr>
        <w:t xml:space="preserve">- 43,7 тыс. рублей по прочим работам, услугам, произведена предоплата за услуги ООО «Издательство «Офтальмология», ФГУП «Почта России» по подписке и доставке журналов и газет, за продление регистрации домена Региональный Сетевой Информационный Центр;  </w:t>
      </w:r>
    </w:p>
    <w:p w:rsidR="005E541F" w:rsidRPr="00467F9C" w:rsidRDefault="005E541F" w:rsidP="00191861">
      <w:pPr>
        <w:tabs>
          <w:tab w:val="left" w:pos="709"/>
        </w:tabs>
        <w:ind w:firstLine="709"/>
        <w:jc w:val="both"/>
        <w:rPr>
          <w:sz w:val="28"/>
          <w:szCs w:val="28"/>
        </w:rPr>
      </w:pPr>
      <w:r w:rsidRPr="00467F9C">
        <w:rPr>
          <w:sz w:val="28"/>
          <w:szCs w:val="28"/>
        </w:rPr>
        <w:t>- 6,6 тыс. рублей по авансам по приобретению материальных запасов, произведена предоплата АО «</w:t>
      </w:r>
      <w:proofErr w:type="spellStart"/>
      <w:r w:rsidRPr="00467F9C">
        <w:rPr>
          <w:sz w:val="28"/>
          <w:szCs w:val="28"/>
        </w:rPr>
        <w:t>Чукотснаб</w:t>
      </w:r>
      <w:proofErr w:type="spellEnd"/>
      <w:r w:rsidRPr="00467F9C">
        <w:rPr>
          <w:sz w:val="28"/>
          <w:szCs w:val="28"/>
        </w:rPr>
        <w:t>» за автобензин АИ-92.</w:t>
      </w:r>
    </w:p>
    <w:p w:rsidR="005E541F" w:rsidRPr="00467F9C" w:rsidRDefault="005E541F" w:rsidP="00191861">
      <w:pPr>
        <w:ind w:firstLine="709"/>
        <w:jc w:val="both"/>
        <w:rPr>
          <w:sz w:val="28"/>
          <w:szCs w:val="28"/>
        </w:rPr>
      </w:pPr>
      <w:r w:rsidRPr="00467F9C">
        <w:rPr>
          <w:sz w:val="28"/>
          <w:szCs w:val="28"/>
        </w:rPr>
        <w:t>Кредиторская задолженность по расходам за отчетный период снизилась на 30 875,8 тыс. рублей или в 20 раз и по состоянию на 1 января 2022 года составила 1 555,6 тыс. рублей. Сведения о кредиторской задолженности Фонда за 2021 год приведены в таблице 3.</w:t>
      </w:r>
    </w:p>
    <w:p w:rsidR="005E541F" w:rsidRPr="00467F9C" w:rsidRDefault="005E541F" w:rsidP="00191861">
      <w:pPr>
        <w:jc w:val="right"/>
        <w:rPr>
          <w:sz w:val="28"/>
          <w:szCs w:val="28"/>
        </w:rPr>
      </w:pPr>
      <w:r w:rsidRPr="00467F9C">
        <w:rPr>
          <w:sz w:val="28"/>
          <w:szCs w:val="28"/>
        </w:rPr>
        <w:t>Таблица 3 (тыс. рублей)</w:t>
      </w:r>
    </w:p>
    <w:tbl>
      <w:tblPr>
        <w:tblW w:w="9834" w:type="dxa"/>
        <w:tblInd w:w="113" w:type="dxa"/>
        <w:tblLook w:val="04A0" w:firstRow="1" w:lastRow="0" w:firstColumn="1" w:lastColumn="0" w:noHBand="0" w:noVBand="1"/>
      </w:tblPr>
      <w:tblGrid>
        <w:gridCol w:w="5269"/>
        <w:gridCol w:w="1559"/>
        <w:gridCol w:w="1276"/>
        <w:gridCol w:w="1730"/>
      </w:tblGrid>
      <w:tr w:rsidR="005E541F" w:rsidRPr="00467F9C" w:rsidTr="00750BBE">
        <w:trPr>
          <w:trHeight w:val="656"/>
          <w:tblHeader/>
        </w:trPr>
        <w:tc>
          <w:tcPr>
            <w:tcW w:w="5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Наименование показателя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E541F" w:rsidRPr="00467F9C" w:rsidRDefault="005E541F" w:rsidP="00191861">
            <w:pPr>
              <w:ind w:left="-107" w:right="-103"/>
              <w:jc w:val="center"/>
              <w:rPr>
                <w:sz w:val="18"/>
                <w:szCs w:val="18"/>
              </w:rPr>
            </w:pPr>
            <w:r w:rsidRPr="00467F9C">
              <w:rPr>
                <w:sz w:val="18"/>
                <w:szCs w:val="18"/>
              </w:rPr>
              <w:t xml:space="preserve"> По состоянию на 01.01.2021 г.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E541F" w:rsidRPr="00467F9C" w:rsidRDefault="005E541F" w:rsidP="00191861">
            <w:pPr>
              <w:ind w:left="-113" w:right="-109"/>
              <w:jc w:val="center"/>
              <w:rPr>
                <w:sz w:val="18"/>
                <w:szCs w:val="18"/>
              </w:rPr>
            </w:pPr>
            <w:r w:rsidRPr="00467F9C">
              <w:rPr>
                <w:sz w:val="18"/>
                <w:szCs w:val="18"/>
              </w:rPr>
              <w:t xml:space="preserve"> </w:t>
            </w:r>
            <w:proofErr w:type="gramStart"/>
            <w:r w:rsidRPr="00467F9C">
              <w:rPr>
                <w:sz w:val="18"/>
                <w:szCs w:val="18"/>
              </w:rPr>
              <w:t>По  состоянию</w:t>
            </w:r>
            <w:proofErr w:type="gramEnd"/>
            <w:r w:rsidRPr="00467F9C">
              <w:rPr>
                <w:sz w:val="18"/>
                <w:szCs w:val="18"/>
              </w:rPr>
              <w:t xml:space="preserve"> на 01.01.2022 г.</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5E541F" w:rsidRPr="00467F9C" w:rsidRDefault="005E541F" w:rsidP="00191861">
            <w:pPr>
              <w:ind w:left="-107" w:right="-103"/>
              <w:jc w:val="center"/>
              <w:rPr>
                <w:sz w:val="18"/>
                <w:szCs w:val="18"/>
              </w:rPr>
            </w:pPr>
            <w:r w:rsidRPr="00467F9C">
              <w:rPr>
                <w:sz w:val="18"/>
                <w:szCs w:val="18"/>
              </w:rPr>
              <w:t xml:space="preserve"> </w:t>
            </w:r>
            <w:proofErr w:type="gramStart"/>
            <w:r w:rsidRPr="00467F9C">
              <w:rPr>
                <w:sz w:val="18"/>
                <w:szCs w:val="18"/>
              </w:rPr>
              <w:t xml:space="preserve">Изменения:   </w:t>
            </w:r>
            <w:proofErr w:type="gramEnd"/>
            <w:r w:rsidRPr="00467F9C">
              <w:rPr>
                <w:sz w:val="18"/>
                <w:szCs w:val="18"/>
              </w:rPr>
              <w:t xml:space="preserve">                             (-) снижение, (+) рост            (гр.3-гр.2) </w:t>
            </w:r>
          </w:p>
        </w:tc>
      </w:tr>
      <w:tr w:rsidR="005E541F" w:rsidRPr="00467F9C" w:rsidTr="00750BBE">
        <w:trPr>
          <w:trHeight w:val="113"/>
          <w:tblHeader/>
        </w:trPr>
        <w:tc>
          <w:tcPr>
            <w:tcW w:w="5269" w:type="dxa"/>
            <w:tcBorders>
              <w:top w:val="nil"/>
              <w:left w:val="single" w:sz="4" w:space="0" w:color="auto"/>
              <w:bottom w:val="single" w:sz="4" w:space="0" w:color="auto"/>
              <w:right w:val="single" w:sz="4" w:space="0" w:color="auto"/>
            </w:tcBorders>
            <w:shd w:val="clear" w:color="000000" w:fill="FFFFFF"/>
            <w:vAlign w:val="center"/>
            <w:hideMark/>
          </w:tcPr>
          <w:p w:rsidR="005E541F" w:rsidRPr="00467F9C" w:rsidRDefault="005E541F" w:rsidP="00191861">
            <w:pPr>
              <w:jc w:val="center"/>
              <w:rPr>
                <w:sz w:val="18"/>
                <w:szCs w:val="18"/>
              </w:rPr>
            </w:pPr>
            <w:r w:rsidRPr="00467F9C">
              <w:rPr>
                <w:sz w:val="18"/>
                <w:szCs w:val="18"/>
              </w:rPr>
              <w:t>1</w:t>
            </w:r>
          </w:p>
        </w:tc>
        <w:tc>
          <w:tcPr>
            <w:tcW w:w="1559" w:type="dxa"/>
            <w:tcBorders>
              <w:top w:val="nil"/>
              <w:left w:val="nil"/>
              <w:bottom w:val="single" w:sz="4" w:space="0" w:color="auto"/>
              <w:right w:val="single" w:sz="4" w:space="0" w:color="auto"/>
            </w:tcBorders>
            <w:shd w:val="clear" w:color="000000" w:fill="FFFFFF"/>
            <w:noWrap/>
            <w:vAlign w:val="center"/>
            <w:hideMark/>
          </w:tcPr>
          <w:p w:rsidR="005E541F" w:rsidRPr="00467F9C" w:rsidRDefault="005E541F" w:rsidP="00191861">
            <w:pPr>
              <w:jc w:val="center"/>
              <w:rPr>
                <w:sz w:val="18"/>
                <w:szCs w:val="18"/>
              </w:rPr>
            </w:pPr>
            <w:r w:rsidRPr="00467F9C">
              <w:rPr>
                <w:sz w:val="18"/>
                <w:szCs w:val="18"/>
              </w:rPr>
              <w:t>2</w:t>
            </w:r>
          </w:p>
        </w:tc>
        <w:tc>
          <w:tcPr>
            <w:tcW w:w="1276" w:type="dxa"/>
            <w:tcBorders>
              <w:top w:val="nil"/>
              <w:left w:val="nil"/>
              <w:bottom w:val="single" w:sz="4" w:space="0" w:color="auto"/>
              <w:right w:val="single" w:sz="4" w:space="0" w:color="auto"/>
            </w:tcBorders>
            <w:shd w:val="clear" w:color="000000" w:fill="FFFFFF"/>
            <w:noWrap/>
            <w:vAlign w:val="center"/>
            <w:hideMark/>
          </w:tcPr>
          <w:p w:rsidR="005E541F" w:rsidRPr="00467F9C" w:rsidRDefault="005E541F" w:rsidP="00191861">
            <w:pPr>
              <w:jc w:val="center"/>
              <w:rPr>
                <w:sz w:val="18"/>
                <w:szCs w:val="18"/>
              </w:rPr>
            </w:pPr>
            <w:r w:rsidRPr="00467F9C">
              <w:rPr>
                <w:sz w:val="18"/>
                <w:szCs w:val="18"/>
              </w:rPr>
              <w:t>3</w:t>
            </w:r>
          </w:p>
        </w:tc>
        <w:tc>
          <w:tcPr>
            <w:tcW w:w="1730" w:type="dxa"/>
            <w:tcBorders>
              <w:top w:val="nil"/>
              <w:left w:val="nil"/>
              <w:bottom w:val="single" w:sz="4" w:space="0" w:color="auto"/>
              <w:right w:val="single" w:sz="4" w:space="0" w:color="auto"/>
            </w:tcBorders>
            <w:shd w:val="clear" w:color="000000" w:fill="FFFFFF"/>
            <w:noWrap/>
            <w:vAlign w:val="center"/>
            <w:hideMark/>
          </w:tcPr>
          <w:p w:rsidR="005E541F" w:rsidRPr="00467F9C" w:rsidRDefault="005E541F" w:rsidP="00191861">
            <w:pPr>
              <w:jc w:val="center"/>
              <w:rPr>
                <w:sz w:val="18"/>
                <w:szCs w:val="18"/>
              </w:rPr>
            </w:pPr>
            <w:r w:rsidRPr="00467F9C">
              <w:rPr>
                <w:sz w:val="18"/>
                <w:szCs w:val="18"/>
              </w:rPr>
              <w:t>4</w:t>
            </w:r>
          </w:p>
        </w:tc>
      </w:tr>
      <w:tr w:rsidR="005E541F" w:rsidRPr="00467F9C" w:rsidTr="00750BBE">
        <w:trPr>
          <w:trHeight w:val="227"/>
        </w:trPr>
        <w:tc>
          <w:tcPr>
            <w:tcW w:w="5269" w:type="dxa"/>
            <w:tcBorders>
              <w:top w:val="nil"/>
              <w:left w:val="single" w:sz="4" w:space="0" w:color="auto"/>
              <w:bottom w:val="single" w:sz="4" w:space="0" w:color="auto"/>
              <w:right w:val="single" w:sz="4" w:space="0" w:color="auto"/>
            </w:tcBorders>
            <w:shd w:val="clear" w:color="000000" w:fill="FFFFFF"/>
            <w:vAlign w:val="center"/>
            <w:hideMark/>
          </w:tcPr>
          <w:p w:rsidR="005E541F" w:rsidRPr="008C1A12" w:rsidRDefault="005E541F" w:rsidP="00191861">
            <w:pPr>
              <w:rPr>
                <w:b/>
                <w:bCs/>
                <w:i/>
                <w:iCs/>
                <w:sz w:val="20"/>
                <w:szCs w:val="20"/>
              </w:rPr>
            </w:pPr>
            <w:r w:rsidRPr="008C1A12">
              <w:rPr>
                <w:b/>
                <w:bCs/>
                <w:i/>
                <w:iCs/>
                <w:sz w:val="20"/>
                <w:szCs w:val="20"/>
              </w:rPr>
              <w:t>Кредиторская задолженность по расходам, всего</w:t>
            </w:r>
          </w:p>
        </w:tc>
        <w:tc>
          <w:tcPr>
            <w:tcW w:w="1559" w:type="dxa"/>
            <w:tcBorders>
              <w:top w:val="nil"/>
              <w:left w:val="nil"/>
              <w:bottom w:val="single" w:sz="4" w:space="0" w:color="auto"/>
              <w:right w:val="single" w:sz="4" w:space="0" w:color="auto"/>
            </w:tcBorders>
            <w:shd w:val="clear" w:color="000000" w:fill="FFFFFF"/>
            <w:noWrap/>
            <w:vAlign w:val="center"/>
          </w:tcPr>
          <w:p w:rsidR="005E541F" w:rsidRPr="008C1A12" w:rsidRDefault="005E541F" w:rsidP="00191861">
            <w:pPr>
              <w:jc w:val="center"/>
              <w:rPr>
                <w:b/>
                <w:bCs/>
                <w:i/>
                <w:iCs/>
                <w:sz w:val="20"/>
                <w:szCs w:val="20"/>
              </w:rPr>
            </w:pPr>
            <w:r w:rsidRPr="008C1A12">
              <w:rPr>
                <w:b/>
                <w:bCs/>
                <w:i/>
                <w:iCs/>
                <w:sz w:val="20"/>
                <w:szCs w:val="20"/>
              </w:rPr>
              <w:t>32 431,4</w:t>
            </w:r>
          </w:p>
        </w:tc>
        <w:tc>
          <w:tcPr>
            <w:tcW w:w="1276" w:type="dxa"/>
            <w:tcBorders>
              <w:top w:val="nil"/>
              <w:left w:val="nil"/>
              <w:bottom w:val="single" w:sz="4" w:space="0" w:color="auto"/>
              <w:right w:val="single" w:sz="4" w:space="0" w:color="auto"/>
            </w:tcBorders>
            <w:shd w:val="clear" w:color="000000" w:fill="FFFFFF"/>
            <w:noWrap/>
            <w:vAlign w:val="center"/>
          </w:tcPr>
          <w:p w:rsidR="005E541F" w:rsidRPr="008C1A12" w:rsidRDefault="005E541F" w:rsidP="00191861">
            <w:pPr>
              <w:jc w:val="center"/>
              <w:rPr>
                <w:b/>
                <w:bCs/>
                <w:i/>
                <w:iCs/>
                <w:sz w:val="20"/>
                <w:szCs w:val="20"/>
              </w:rPr>
            </w:pPr>
            <w:r w:rsidRPr="008C1A12">
              <w:rPr>
                <w:b/>
                <w:bCs/>
                <w:i/>
                <w:iCs/>
                <w:sz w:val="20"/>
                <w:szCs w:val="20"/>
              </w:rPr>
              <w:t>1 555,6</w:t>
            </w:r>
          </w:p>
        </w:tc>
        <w:tc>
          <w:tcPr>
            <w:tcW w:w="1730" w:type="dxa"/>
            <w:tcBorders>
              <w:top w:val="nil"/>
              <w:left w:val="nil"/>
              <w:bottom w:val="single" w:sz="4" w:space="0" w:color="auto"/>
              <w:right w:val="single" w:sz="4" w:space="0" w:color="auto"/>
            </w:tcBorders>
            <w:shd w:val="clear" w:color="000000" w:fill="FFFFFF"/>
            <w:noWrap/>
            <w:vAlign w:val="center"/>
          </w:tcPr>
          <w:p w:rsidR="005E541F" w:rsidRPr="008C1A12" w:rsidRDefault="005E541F" w:rsidP="00191861">
            <w:pPr>
              <w:jc w:val="center"/>
              <w:rPr>
                <w:b/>
                <w:bCs/>
                <w:i/>
                <w:iCs/>
                <w:sz w:val="20"/>
                <w:szCs w:val="20"/>
              </w:rPr>
            </w:pPr>
            <w:r w:rsidRPr="008C1A12">
              <w:rPr>
                <w:b/>
                <w:bCs/>
                <w:i/>
                <w:iCs/>
                <w:sz w:val="20"/>
                <w:szCs w:val="20"/>
              </w:rPr>
              <w:t>-30 875,8</w:t>
            </w:r>
          </w:p>
        </w:tc>
      </w:tr>
      <w:tr w:rsidR="005E541F" w:rsidRPr="00467F9C" w:rsidTr="00750BBE">
        <w:trPr>
          <w:trHeight w:val="227"/>
        </w:trPr>
        <w:tc>
          <w:tcPr>
            <w:tcW w:w="5269" w:type="dxa"/>
            <w:tcBorders>
              <w:top w:val="nil"/>
              <w:left w:val="single" w:sz="4" w:space="0" w:color="auto"/>
              <w:bottom w:val="single" w:sz="4" w:space="0" w:color="auto"/>
              <w:right w:val="single" w:sz="4" w:space="0" w:color="auto"/>
            </w:tcBorders>
            <w:shd w:val="clear" w:color="000000" w:fill="FFFFFF"/>
            <w:vAlign w:val="center"/>
            <w:hideMark/>
          </w:tcPr>
          <w:p w:rsidR="005E541F" w:rsidRPr="008C1A12" w:rsidRDefault="005E541F" w:rsidP="00191861">
            <w:pPr>
              <w:rPr>
                <w:b/>
                <w:bCs/>
                <w:sz w:val="20"/>
                <w:szCs w:val="20"/>
              </w:rPr>
            </w:pPr>
            <w:r w:rsidRPr="008C1A12">
              <w:rPr>
                <w:b/>
                <w:bCs/>
                <w:sz w:val="20"/>
                <w:szCs w:val="20"/>
              </w:rPr>
              <w:t xml:space="preserve"> Расчеты по принятым обязательствам (302 00) </w:t>
            </w:r>
          </w:p>
        </w:tc>
        <w:tc>
          <w:tcPr>
            <w:tcW w:w="1559" w:type="dxa"/>
            <w:tcBorders>
              <w:top w:val="nil"/>
              <w:left w:val="nil"/>
              <w:bottom w:val="single" w:sz="4" w:space="0" w:color="auto"/>
              <w:right w:val="single" w:sz="4" w:space="0" w:color="auto"/>
            </w:tcBorders>
            <w:shd w:val="clear" w:color="000000" w:fill="FFFFFF"/>
            <w:noWrap/>
            <w:vAlign w:val="center"/>
          </w:tcPr>
          <w:p w:rsidR="005E541F" w:rsidRPr="008C1A12" w:rsidRDefault="005E541F" w:rsidP="00191861">
            <w:pPr>
              <w:jc w:val="center"/>
              <w:rPr>
                <w:b/>
                <w:bCs/>
                <w:sz w:val="20"/>
                <w:szCs w:val="20"/>
              </w:rPr>
            </w:pPr>
            <w:r w:rsidRPr="008C1A12">
              <w:rPr>
                <w:b/>
                <w:bCs/>
                <w:sz w:val="20"/>
                <w:szCs w:val="20"/>
              </w:rPr>
              <w:t>7 315,3</w:t>
            </w:r>
          </w:p>
        </w:tc>
        <w:tc>
          <w:tcPr>
            <w:tcW w:w="1276" w:type="dxa"/>
            <w:tcBorders>
              <w:top w:val="nil"/>
              <w:left w:val="nil"/>
              <w:bottom w:val="single" w:sz="4" w:space="0" w:color="auto"/>
              <w:right w:val="single" w:sz="4" w:space="0" w:color="auto"/>
            </w:tcBorders>
            <w:shd w:val="clear" w:color="000000" w:fill="FFFFFF"/>
            <w:noWrap/>
            <w:vAlign w:val="center"/>
          </w:tcPr>
          <w:p w:rsidR="005E541F" w:rsidRPr="008C1A12" w:rsidRDefault="005E541F" w:rsidP="00191861">
            <w:pPr>
              <w:jc w:val="center"/>
              <w:rPr>
                <w:b/>
                <w:bCs/>
                <w:sz w:val="20"/>
                <w:szCs w:val="20"/>
              </w:rPr>
            </w:pPr>
            <w:r w:rsidRPr="008C1A12">
              <w:rPr>
                <w:b/>
                <w:bCs/>
                <w:sz w:val="20"/>
                <w:szCs w:val="20"/>
              </w:rPr>
              <w:t>1 551,4</w:t>
            </w:r>
          </w:p>
        </w:tc>
        <w:tc>
          <w:tcPr>
            <w:tcW w:w="1730" w:type="dxa"/>
            <w:tcBorders>
              <w:top w:val="nil"/>
              <w:left w:val="nil"/>
              <w:bottom w:val="single" w:sz="4" w:space="0" w:color="auto"/>
              <w:right w:val="single" w:sz="4" w:space="0" w:color="auto"/>
            </w:tcBorders>
            <w:shd w:val="clear" w:color="000000" w:fill="FFFFFF"/>
            <w:noWrap/>
            <w:vAlign w:val="center"/>
          </w:tcPr>
          <w:p w:rsidR="005E541F" w:rsidRPr="008C1A12" w:rsidRDefault="005E541F" w:rsidP="00191861">
            <w:pPr>
              <w:jc w:val="center"/>
              <w:rPr>
                <w:b/>
                <w:bCs/>
                <w:sz w:val="20"/>
                <w:szCs w:val="20"/>
              </w:rPr>
            </w:pPr>
            <w:r w:rsidRPr="008C1A12">
              <w:rPr>
                <w:b/>
                <w:bCs/>
                <w:sz w:val="20"/>
                <w:szCs w:val="20"/>
              </w:rPr>
              <w:t>-5 763,9</w:t>
            </w:r>
          </w:p>
        </w:tc>
      </w:tr>
      <w:tr w:rsidR="005E541F" w:rsidRPr="00467F9C" w:rsidTr="00750BBE">
        <w:trPr>
          <w:trHeight w:val="227"/>
        </w:trPr>
        <w:tc>
          <w:tcPr>
            <w:tcW w:w="5269" w:type="dxa"/>
            <w:tcBorders>
              <w:top w:val="nil"/>
              <w:left w:val="single" w:sz="4" w:space="0" w:color="auto"/>
              <w:bottom w:val="single" w:sz="4" w:space="0" w:color="auto"/>
              <w:right w:val="single" w:sz="4" w:space="0" w:color="auto"/>
            </w:tcBorders>
            <w:shd w:val="clear" w:color="000000" w:fill="FFFFFF"/>
            <w:vAlign w:val="center"/>
            <w:hideMark/>
          </w:tcPr>
          <w:p w:rsidR="005E541F" w:rsidRPr="008C1A12" w:rsidRDefault="005E541F" w:rsidP="00191861">
            <w:pPr>
              <w:rPr>
                <w:sz w:val="20"/>
                <w:szCs w:val="20"/>
              </w:rPr>
            </w:pPr>
            <w:r w:rsidRPr="008C1A12">
              <w:rPr>
                <w:sz w:val="20"/>
                <w:szCs w:val="20"/>
              </w:rPr>
              <w:t>Расчеты по услугам связи (302 21)</w:t>
            </w:r>
          </w:p>
        </w:tc>
        <w:tc>
          <w:tcPr>
            <w:tcW w:w="1559" w:type="dxa"/>
            <w:tcBorders>
              <w:top w:val="nil"/>
              <w:left w:val="nil"/>
              <w:bottom w:val="single" w:sz="4" w:space="0" w:color="auto"/>
              <w:right w:val="single" w:sz="4" w:space="0" w:color="auto"/>
            </w:tcBorders>
            <w:shd w:val="clear" w:color="000000" w:fill="FFFFFF"/>
            <w:noWrap/>
            <w:vAlign w:val="center"/>
          </w:tcPr>
          <w:p w:rsidR="005E541F" w:rsidRPr="008C1A12" w:rsidRDefault="005E541F" w:rsidP="00191861">
            <w:pPr>
              <w:jc w:val="center"/>
              <w:rPr>
                <w:sz w:val="20"/>
                <w:szCs w:val="20"/>
              </w:rPr>
            </w:pPr>
            <w:r w:rsidRPr="008C1A12">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sz w:val="20"/>
                <w:szCs w:val="20"/>
              </w:rPr>
            </w:pPr>
            <w:r w:rsidRPr="008C1A12">
              <w:rPr>
                <w:sz w:val="20"/>
                <w:szCs w:val="20"/>
              </w:rPr>
              <w:t>11,7</w:t>
            </w:r>
          </w:p>
        </w:tc>
        <w:tc>
          <w:tcPr>
            <w:tcW w:w="1730"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sz w:val="20"/>
                <w:szCs w:val="20"/>
              </w:rPr>
            </w:pPr>
            <w:r w:rsidRPr="008C1A12">
              <w:rPr>
                <w:sz w:val="20"/>
                <w:szCs w:val="20"/>
              </w:rPr>
              <w:t>11,7</w:t>
            </w:r>
          </w:p>
        </w:tc>
      </w:tr>
      <w:tr w:rsidR="005E541F" w:rsidRPr="00467F9C" w:rsidTr="00750BBE">
        <w:trPr>
          <w:trHeight w:val="227"/>
        </w:trPr>
        <w:tc>
          <w:tcPr>
            <w:tcW w:w="5269" w:type="dxa"/>
            <w:tcBorders>
              <w:top w:val="nil"/>
              <w:left w:val="single" w:sz="4" w:space="0" w:color="auto"/>
              <w:bottom w:val="single" w:sz="4" w:space="0" w:color="auto"/>
              <w:right w:val="single" w:sz="4" w:space="0" w:color="auto"/>
            </w:tcBorders>
            <w:shd w:val="clear" w:color="000000" w:fill="FFFFFF"/>
            <w:vAlign w:val="center"/>
            <w:hideMark/>
          </w:tcPr>
          <w:p w:rsidR="005E541F" w:rsidRPr="008C1A12" w:rsidRDefault="005E541F" w:rsidP="00191861">
            <w:pPr>
              <w:rPr>
                <w:sz w:val="20"/>
                <w:szCs w:val="20"/>
              </w:rPr>
            </w:pPr>
            <w:r w:rsidRPr="008C1A12">
              <w:rPr>
                <w:sz w:val="20"/>
                <w:szCs w:val="20"/>
              </w:rPr>
              <w:t>Расчеты по транспортным услугам (302 22)</w:t>
            </w:r>
          </w:p>
        </w:tc>
        <w:tc>
          <w:tcPr>
            <w:tcW w:w="1559" w:type="dxa"/>
            <w:tcBorders>
              <w:top w:val="nil"/>
              <w:left w:val="nil"/>
              <w:bottom w:val="single" w:sz="4" w:space="0" w:color="auto"/>
              <w:right w:val="single" w:sz="4" w:space="0" w:color="auto"/>
            </w:tcBorders>
            <w:shd w:val="clear" w:color="000000" w:fill="FFFFFF"/>
            <w:noWrap/>
            <w:vAlign w:val="center"/>
          </w:tcPr>
          <w:p w:rsidR="005E541F" w:rsidRPr="008C1A12" w:rsidRDefault="005E541F" w:rsidP="00191861">
            <w:pPr>
              <w:jc w:val="center"/>
              <w:rPr>
                <w:sz w:val="20"/>
                <w:szCs w:val="20"/>
              </w:rPr>
            </w:pPr>
            <w:r w:rsidRPr="008C1A12">
              <w:rPr>
                <w:sz w:val="20"/>
                <w:szCs w:val="20"/>
              </w:rPr>
              <w:t>0,6</w:t>
            </w:r>
          </w:p>
        </w:tc>
        <w:tc>
          <w:tcPr>
            <w:tcW w:w="1276"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sz w:val="20"/>
                <w:szCs w:val="20"/>
              </w:rPr>
            </w:pPr>
            <w:r w:rsidRPr="008C1A12">
              <w:rPr>
                <w:sz w:val="20"/>
                <w:szCs w:val="20"/>
              </w:rPr>
              <w:t>0,0</w:t>
            </w:r>
          </w:p>
        </w:tc>
        <w:tc>
          <w:tcPr>
            <w:tcW w:w="1730"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sz w:val="20"/>
                <w:szCs w:val="20"/>
              </w:rPr>
            </w:pPr>
            <w:r w:rsidRPr="008C1A12">
              <w:rPr>
                <w:sz w:val="20"/>
                <w:szCs w:val="20"/>
              </w:rPr>
              <w:t>-0,6</w:t>
            </w:r>
          </w:p>
        </w:tc>
      </w:tr>
      <w:tr w:rsidR="005E541F" w:rsidRPr="00467F9C" w:rsidTr="00750BBE">
        <w:trPr>
          <w:trHeight w:val="227"/>
        </w:trPr>
        <w:tc>
          <w:tcPr>
            <w:tcW w:w="5269" w:type="dxa"/>
            <w:tcBorders>
              <w:top w:val="nil"/>
              <w:left w:val="single" w:sz="4" w:space="0" w:color="auto"/>
              <w:bottom w:val="single" w:sz="4" w:space="0" w:color="auto"/>
              <w:right w:val="single" w:sz="4" w:space="0" w:color="auto"/>
            </w:tcBorders>
            <w:shd w:val="clear" w:color="000000" w:fill="FFFFFF"/>
            <w:vAlign w:val="center"/>
            <w:hideMark/>
          </w:tcPr>
          <w:p w:rsidR="005E541F" w:rsidRPr="008C1A12" w:rsidRDefault="005E541F" w:rsidP="00191861">
            <w:pPr>
              <w:rPr>
                <w:sz w:val="20"/>
                <w:szCs w:val="20"/>
              </w:rPr>
            </w:pPr>
            <w:r w:rsidRPr="008C1A12">
              <w:rPr>
                <w:sz w:val="20"/>
                <w:szCs w:val="20"/>
              </w:rPr>
              <w:t xml:space="preserve">Расчеты по коммунальным услугам (302 23) </w:t>
            </w:r>
          </w:p>
        </w:tc>
        <w:tc>
          <w:tcPr>
            <w:tcW w:w="1559" w:type="dxa"/>
            <w:tcBorders>
              <w:top w:val="nil"/>
              <w:left w:val="nil"/>
              <w:bottom w:val="single" w:sz="4" w:space="0" w:color="auto"/>
              <w:right w:val="single" w:sz="4" w:space="0" w:color="auto"/>
            </w:tcBorders>
            <w:shd w:val="clear" w:color="000000" w:fill="FFFFFF"/>
            <w:noWrap/>
            <w:vAlign w:val="center"/>
          </w:tcPr>
          <w:p w:rsidR="005E541F" w:rsidRPr="008C1A12" w:rsidRDefault="005E541F" w:rsidP="00191861">
            <w:pPr>
              <w:jc w:val="center"/>
              <w:rPr>
                <w:sz w:val="20"/>
                <w:szCs w:val="20"/>
              </w:rPr>
            </w:pPr>
            <w:r w:rsidRPr="008C1A12">
              <w:rPr>
                <w:sz w:val="20"/>
                <w:szCs w:val="20"/>
              </w:rPr>
              <w:t>63,8</w:t>
            </w:r>
          </w:p>
        </w:tc>
        <w:tc>
          <w:tcPr>
            <w:tcW w:w="1276"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sz w:val="20"/>
                <w:szCs w:val="20"/>
              </w:rPr>
            </w:pPr>
            <w:r w:rsidRPr="008C1A12">
              <w:rPr>
                <w:sz w:val="20"/>
                <w:szCs w:val="20"/>
              </w:rPr>
              <w:t>11,3</w:t>
            </w:r>
          </w:p>
        </w:tc>
        <w:tc>
          <w:tcPr>
            <w:tcW w:w="1730"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sz w:val="20"/>
                <w:szCs w:val="20"/>
              </w:rPr>
            </w:pPr>
            <w:r w:rsidRPr="008C1A12">
              <w:rPr>
                <w:sz w:val="20"/>
                <w:szCs w:val="20"/>
              </w:rPr>
              <w:t>-52,5</w:t>
            </w:r>
          </w:p>
        </w:tc>
      </w:tr>
      <w:tr w:rsidR="005E541F" w:rsidRPr="00467F9C" w:rsidTr="00750BBE">
        <w:trPr>
          <w:trHeight w:val="227"/>
        </w:trPr>
        <w:tc>
          <w:tcPr>
            <w:tcW w:w="5269" w:type="dxa"/>
            <w:tcBorders>
              <w:top w:val="nil"/>
              <w:left w:val="single" w:sz="4" w:space="0" w:color="auto"/>
              <w:bottom w:val="single" w:sz="4" w:space="0" w:color="auto"/>
              <w:right w:val="single" w:sz="4" w:space="0" w:color="auto"/>
            </w:tcBorders>
            <w:shd w:val="clear" w:color="000000" w:fill="FFFFFF"/>
            <w:vAlign w:val="center"/>
          </w:tcPr>
          <w:p w:rsidR="005E541F" w:rsidRPr="008C1A12" w:rsidRDefault="005E541F" w:rsidP="00191861">
            <w:pPr>
              <w:rPr>
                <w:sz w:val="20"/>
                <w:szCs w:val="20"/>
              </w:rPr>
            </w:pPr>
            <w:r w:rsidRPr="008C1A12">
              <w:rPr>
                <w:sz w:val="20"/>
                <w:szCs w:val="20"/>
              </w:rPr>
              <w:t>Расчеты по прочим работам, услугам (302 26)</w:t>
            </w:r>
          </w:p>
        </w:tc>
        <w:tc>
          <w:tcPr>
            <w:tcW w:w="1559" w:type="dxa"/>
            <w:tcBorders>
              <w:top w:val="nil"/>
              <w:left w:val="nil"/>
              <w:bottom w:val="single" w:sz="4" w:space="0" w:color="auto"/>
              <w:right w:val="single" w:sz="4" w:space="0" w:color="auto"/>
            </w:tcBorders>
            <w:shd w:val="clear" w:color="000000" w:fill="FFFFFF"/>
            <w:noWrap/>
            <w:vAlign w:val="center"/>
          </w:tcPr>
          <w:p w:rsidR="005E541F" w:rsidRPr="008C1A12" w:rsidRDefault="005E541F" w:rsidP="00191861">
            <w:pPr>
              <w:jc w:val="center"/>
              <w:rPr>
                <w:sz w:val="20"/>
                <w:szCs w:val="20"/>
              </w:rPr>
            </w:pPr>
            <w:r w:rsidRPr="008C1A12">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sz w:val="20"/>
                <w:szCs w:val="20"/>
              </w:rPr>
            </w:pPr>
            <w:r w:rsidRPr="008C1A12">
              <w:rPr>
                <w:sz w:val="20"/>
                <w:szCs w:val="20"/>
              </w:rPr>
              <w:t>12,7</w:t>
            </w:r>
          </w:p>
        </w:tc>
        <w:tc>
          <w:tcPr>
            <w:tcW w:w="1730"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sz w:val="20"/>
                <w:szCs w:val="20"/>
              </w:rPr>
            </w:pPr>
            <w:r w:rsidRPr="008C1A12">
              <w:rPr>
                <w:sz w:val="20"/>
                <w:szCs w:val="20"/>
              </w:rPr>
              <w:t>12,7</w:t>
            </w:r>
          </w:p>
        </w:tc>
      </w:tr>
      <w:tr w:rsidR="005E541F" w:rsidRPr="00467F9C" w:rsidTr="00750BBE">
        <w:trPr>
          <w:trHeight w:val="397"/>
        </w:trPr>
        <w:tc>
          <w:tcPr>
            <w:tcW w:w="5269" w:type="dxa"/>
            <w:tcBorders>
              <w:top w:val="nil"/>
              <w:left w:val="single" w:sz="4" w:space="0" w:color="auto"/>
              <w:bottom w:val="single" w:sz="4" w:space="0" w:color="auto"/>
              <w:right w:val="single" w:sz="4" w:space="0" w:color="auto"/>
            </w:tcBorders>
            <w:shd w:val="clear" w:color="000000" w:fill="FFFFFF"/>
            <w:vAlign w:val="bottom"/>
            <w:hideMark/>
          </w:tcPr>
          <w:p w:rsidR="005E541F" w:rsidRPr="008C1A12" w:rsidRDefault="005E541F" w:rsidP="00191861">
            <w:pPr>
              <w:rPr>
                <w:sz w:val="20"/>
                <w:szCs w:val="20"/>
              </w:rPr>
            </w:pPr>
            <w:r w:rsidRPr="008C1A12">
              <w:rPr>
                <w:sz w:val="20"/>
                <w:szCs w:val="20"/>
              </w:rPr>
              <w:t xml:space="preserve">Расчеты по перечислениям другим бюджетам бюджетной системы Российской </w:t>
            </w:r>
            <w:proofErr w:type="gramStart"/>
            <w:r w:rsidRPr="008C1A12">
              <w:rPr>
                <w:sz w:val="20"/>
                <w:szCs w:val="20"/>
              </w:rPr>
              <w:t>Федерации(</w:t>
            </w:r>
            <w:proofErr w:type="gramEnd"/>
            <w:r w:rsidRPr="008C1A12">
              <w:rPr>
                <w:sz w:val="20"/>
                <w:szCs w:val="20"/>
              </w:rPr>
              <w:t>302 51)</w:t>
            </w:r>
          </w:p>
        </w:tc>
        <w:tc>
          <w:tcPr>
            <w:tcW w:w="1559" w:type="dxa"/>
            <w:tcBorders>
              <w:top w:val="nil"/>
              <w:left w:val="nil"/>
              <w:bottom w:val="single" w:sz="4" w:space="0" w:color="auto"/>
              <w:right w:val="single" w:sz="4" w:space="0" w:color="auto"/>
            </w:tcBorders>
            <w:shd w:val="clear" w:color="000000" w:fill="FFFFFF"/>
            <w:noWrap/>
            <w:vAlign w:val="center"/>
          </w:tcPr>
          <w:p w:rsidR="005E541F" w:rsidRPr="008C1A12" w:rsidRDefault="005E541F" w:rsidP="00191861">
            <w:pPr>
              <w:jc w:val="center"/>
              <w:rPr>
                <w:sz w:val="20"/>
                <w:szCs w:val="20"/>
              </w:rPr>
            </w:pPr>
            <w:r w:rsidRPr="008C1A12">
              <w:rPr>
                <w:sz w:val="20"/>
                <w:szCs w:val="20"/>
              </w:rPr>
              <w:t>7 250,9</w:t>
            </w:r>
          </w:p>
        </w:tc>
        <w:tc>
          <w:tcPr>
            <w:tcW w:w="1276"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sz w:val="20"/>
                <w:szCs w:val="20"/>
              </w:rPr>
            </w:pPr>
            <w:r w:rsidRPr="008C1A12">
              <w:rPr>
                <w:sz w:val="20"/>
                <w:szCs w:val="20"/>
              </w:rPr>
              <w:t>1 515,7</w:t>
            </w:r>
          </w:p>
        </w:tc>
        <w:tc>
          <w:tcPr>
            <w:tcW w:w="1730"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sz w:val="20"/>
                <w:szCs w:val="20"/>
              </w:rPr>
            </w:pPr>
            <w:r w:rsidRPr="008C1A12">
              <w:rPr>
                <w:sz w:val="20"/>
                <w:szCs w:val="20"/>
              </w:rPr>
              <w:t>-5735,2</w:t>
            </w:r>
          </w:p>
        </w:tc>
      </w:tr>
      <w:tr w:rsidR="005E541F" w:rsidRPr="00467F9C" w:rsidTr="00750BBE">
        <w:trPr>
          <w:trHeight w:val="227"/>
        </w:trPr>
        <w:tc>
          <w:tcPr>
            <w:tcW w:w="5269" w:type="dxa"/>
            <w:tcBorders>
              <w:top w:val="nil"/>
              <w:left w:val="single" w:sz="4" w:space="0" w:color="auto"/>
              <w:bottom w:val="single" w:sz="4" w:space="0" w:color="auto"/>
              <w:right w:val="single" w:sz="4" w:space="0" w:color="auto"/>
            </w:tcBorders>
            <w:shd w:val="clear" w:color="000000" w:fill="FFFFFF"/>
            <w:vAlign w:val="center"/>
            <w:hideMark/>
          </w:tcPr>
          <w:p w:rsidR="005E541F" w:rsidRPr="008C1A12" w:rsidRDefault="005E541F" w:rsidP="00191861">
            <w:pPr>
              <w:rPr>
                <w:b/>
                <w:bCs/>
                <w:sz w:val="20"/>
                <w:szCs w:val="20"/>
              </w:rPr>
            </w:pPr>
            <w:r w:rsidRPr="008C1A12">
              <w:rPr>
                <w:b/>
                <w:bCs/>
                <w:sz w:val="20"/>
                <w:szCs w:val="20"/>
              </w:rPr>
              <w:t xml:space="preserve"> Расчеты по платежам в бюджеты (303 00) </w:t>
            </w:r>
          </w:p>
        </w:tc>
        <w:tc>
          <w:tcPr>
            <w:tcW w:w="1559" w:type="dxa"/>
            <w:tcBorders>
              <w:top w:val="nil"/>
              <w:left w:val="nil"/>
              <w:bottom w:val="single" w:sz="4" w:space="0" w:color="auto"/>
              <w:right w:val="single" w:sz="4" w:space="0" w:color="auto"/>
            </w:tcBorders>
            <w:shd w:val="clear" w:color="000000" w:fill="FFFFFF"/>
            <w:noWrap/>
            <w:vAlign w:val="center"/>
          </w:tcPr>
          <w:p w:rsidR="005E541F" w:rsidRPr="008C1A12" w:rsidRDefault="005E541F" w:rsidP="00191861">
            <w:pPr>
              <w:jc w:val="center"/>
              <w:rPr>
                <w:b/>
                <w:bCs/>
                <w:sz w:val="20"/>
                <w:szCs w:val="20"/>
              </w:rPr>
            </w:pPr>
            <w:r w:rsidRPr="008C1A12">
              <w:rPr>
                <w:b/>
                <w:bCs/>
                <w:sz w:val="20"/>
                <w:szCs w:val="20"/>
              </w:rPr>
              <w:t>25 116,1</w:t>
            </w:r>
          </w:p>
        </w:tc>
        <w:tc>
          <w:tcPr>
            <w:tcW w:w="1276" w:type="dxa"/>
            <w:tcBorders>
              <w:top w:val="nil"/>
              <w:left w:val="nil"/>
              <w:bottom w:val="single" w:sz="4" w:space="0" w:color="auto"/>
              <w:right w:val="single" w:sz="4" w:space="0" w:color="auto"/>
            </w:tcBorders>
            <w:shd w:val="clear" w:color="000000" w:fill="FFFFFF"/>
            <w:noWrap/>
            <w:vAlign w:val="center"/>
          </w:tcPr>
          <w:p w:rsidR="005E541F" w:rsidRPr="008C1A12" w:rsidRDefault="005E541F" w:rsidP="00191861">
            <w:pPr>
              <w:jc w:val="center"/>
              <w:rPr>
                <w:b/>
                <w:bCs/>
                <w:sz w:val="20"/>
                <w:szCs w:val="20"/>
              </w:rPr>
            </w:pPr>
            <w:r w:rsidRPr="008C1A12">
              <w:rPr>
                <w:b/>
                <w:bCs/>
                <w:sz w:val="20"/>
                <w:szCs w:val="20"/>
              </w:rPr>
              <w:t>4,2</w:t>
            </w:r>
          </w:p>
        </w:tc>
        <w:tc>
          <w:tcPr>
            <w:tcW w:w="1730" w:type="dxa"/>
            <w:tcBorders>
              <w:top w:val="nil"/>
              <w:left w:val="nil"/>
              <w:bottom w:val="single" w:sz="4" w:space="0" w:color="auto"/>
              <w:right w:val="single" w:sz="4" w:space="0" w:color="auto"/>
            </w:tcBorders>
            <w:shd w:val="clear" w:color="000000" w:fill="FFFFFF"/>
            <w:noWrap/>
            <w:vAlign w:val="center"/>
          </w:tcPr>
          <w:p w:rsidR="005E541F" w:rsidRPr="008C1A12" w:rsidRDefault="005E541F" w:rsidP="00191861">
            <w:pPr>
              <w:jc w:val="center"/>
              <w:rPr>
                <w:b/>
                <w:bCs/>
                <w:sz w:val="20"/>
                <w:szCs w:val="20"/>
              </w:rPr>
            </w:pPr>
            <w:r w:rsidRPr="008C1A12">
              <w:rPr>
                <w:b/>
                <w:bCs/>
                <w:sz w:val="20"/>
                <w:szCs w:val="20"/>
              </w:rPr>
              <w:t>-25 111,9</w:t>
            </w:r>
          </w:p>
        </w:tc>
      </w:tr>
      <w:tr w:rsidR="005E541F" w:rsidRPr="00467F9C" w:rsidTr="00750BBE">
        <w:trPr>
          <w:trHeight w:val="227"/>
        </w:trPr>
        <w:tc>
          <w:tcPr>
            <w:tcW w:w="5269" w:type="dxa"/>
            <w:tcBorders>
              <w:top w:val="nil"/>
              <w:left w:val="single" w:sz="4" w:space="0" w:color="auto"/>
              <w:bottom w:val="single" w:sz="4" w:space="0" w:color="auto"/>
              <w:right w:val="single" w:sz="4" w:space="0" w:color="auto"/>
            </w:tcBorders>
            <w:shd w:val="clear" w:color="000000" w:fill="FFFFFF"/>
            <w:vAlign w:val="center"/>
            <w:hideMark/>
          </w:tcPr>
          <w:p w:rsidR="005E541F" w:rsidRPr="008C1A12" w:rsidRDefault="005E541F" w:rsidP="00191861">
            <w:pPr>
              <w:rPr>
                <w:sz w:val="20"/>
                <w:szCs w:val="20"/>
              </w:rPr>
            </w:pPr>
            <w:r w:rsidRPr="008C1A12">
              <w:rPr>
                <w:sz w:val="20"/>
                <w:szCs w:val="20"/>
              </w:rPr>
              <w:t xml:space="preserve"> Расчеты по прочим платежам в бюджет (303 05) </w:t>
            </w:r>
          </w:p>
        </w:tc>
        <w:tc>
          <w:tcPr>
            <w:tcW w:w="1559" w:type="dxa"/>
            <w:tcBorders>
              <w:top w:val="nil"/>
              <w:left w:val="nil"/>
              <w:bottom w:val="single" w:sz="4" w:space="0" w:color="auto"/>
              <w:right w:val="single" w:sz="4" w:space="0" w:color="auto"/>
            </w:tcBorders>
            <w:shd w:val="clear" w:color="000000" w:fill="FFFFFF"/>
            <w:noWrap/>
            <w:vAlign w:val="center"/>
          </w:tcPr>
          <w:p w:rsidR="005E541F" w:rsidRPr="008C1A12" w:rsidRDefault="005E541F" w:rsidP="00191861">
            <w:pPr>
              <w:jc w:val="center"/>
              <w:rPr>
                <w:sz w:val="20"/>
                <w:szCs w:val="20"/>
              </w:rPr>
            </w:pPr>
            <w:r w:rsidRPr="008C1A12">
              <w:rPr>
                <w:sz w:val="20"/>
                <w:szCs w:val="20"/>
              </w:rPr>
              <w:t>25 116,1</w:t>
            </w:r>
          </w:p>
        </w:tc>
        <w:tc>
          <w:tcPr>
            <w:tcW w:w="1276"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sz w:val="20"/>
                <w:szCs w:val="20"/>
              </w:rPr>
            </w:pPr>
            <w:r w:rsidRPr="008C1A12">
              <w:rPr>
                <w:sz w:val="20"/>
                <w:szCs w:val="20"/>
              </w:rPr>
              <w:t>4,2</w:t>
            </w:r>
          </w:p>
        </w:tc>
        <w:tc>
          <w:tcPr>
            <w:tcW w:w="1730" w:type="dxa"/>
            <w:tcBorders>
              <w:top w:val="nil"/>
              <w:left w:val="nil"/>
              <w:bottom w:val="single" w:sz="4" w:space="0" w:color="auto"/>
              <w:right w:val="single" w:sz="4" w:space="0" w:color="auto"/>
            </w:tcBorders>
            <w:shd w:val="clear" w:color="auto" w:fill="auto"/>
            <w:noWrap/>
            <w:vAlign w:val="center"/>
          </w:tcPr>
          <w:p w:rsidR="005E541F" w:rsidRPr="008C1A12" w:rsidRDefault="005E541F" w:rsidP="00191861">
            <w:pPr>
              <w:jc w:val="center"/>
              <w:rPr>
                <w:sz w:val="20"/>
                <w:szCs w:val="20"/>
              </w:rPr>
            </w:pPr>
            <w:r w:rsidRPr="008C1A12">
              <w:rPr>
                <w:sz w:val="20"/>
                <w:szCs w:val="20"/>
              </w:rPr>
              <w:t>-25 111,9</w:t>
            </w:r>
          </w:p>
        </w:tc>
      </w:tr>
    </w:tbl>
    <w:p w:rsidR="005E541F" w:rsidRPr="00467F9C" w:rsidRDefault="005E541F" w:rsidP="00191861">
      <w:pPr>
        <w:jc w:val="right"/>
        <w:rPr>
          <w:sz w:val="16"/>
          <w:szCs w:val="16"/>
        </w:rPr>
      </w:pPr>
    </w:p>
    <w:p w:rsidR="005E541F" w:rsidRPr="00467F9C" w:rsidRDefault="005E541F" w:rsidP="00191861">
      <w:pPr>
        <w:ind w:firstLine="709"/>
        <w:jc w:val="both"/>
        <w:rPr>
          <w:bCs/>
          <w:sz w:val="28"/>
          <w:szCs w:val="28"/>
        </w:rPr>
      </w:pPr>
      <w:r w:rsidRPr="00467F9C">
        <w:rPr>
          <w:sz w:val="28"/>
          <w:szCs w:val="28"/>
        </w:rPr>
        <w:t>В структуре кредиторской задолженности 99,7% или 1 551,4 тыс. рублей составляет задолженность по счету 302 00 «</w:t>
      </w:r>
      <w:r w:rsidRPr="00467F9C">
        <w:rPr>
          <w:bCs/>
          <w:sz w:val="28"/>
          <w:szCs w:val="28"/>
        </w:rPr>
        <w:t xml:space="preserve">Расчеты по принятым обязательствам», в том числе: </w:t>
      </w:r>
    </w:p>
    <w:p w:rsidR="005E541F" w:rsidRPr="00467F9C" w:rsidRDefault="005E541F" w:rsidP="00191861">
      <w:pPr>
        <w:ind w:firstLine="709"/>
        <w:jc w:val="both"/>
        <w:rPr>
          <w:sz w:val="28"/>
          <w:szCs w:val="28"/>
        </w:rPr>
      </w:pPr>
      <w:r w:rsidRPr="00467F9C">
        <w:rPr>
          <w:sz w:val="28"/>
          <w:szCs w:val="28"/>
        </w:rPr>
        <w:lastRenderedPageBreak/>
        <w:t>- 11,7 тыс. рублей – текущая задолженность по услугам связи за декабрь 2021 года;</w:t>
      </w:r>
    </w:p>
    <w:p w:rsidR="005E541F" w:rsidRPr="00467F9C" w:rsidRDefault="005E541F" w:rsidP="00191861">
      <w:pPr>
        <w:ind w:firstLine="709"/>
        <w:jc w:val="both"/>
        <w:rPr>
          <w:sz w:val="28"/>
          <w:szCs w:val="28"/>
        </w:rPr>
      </w:pPr>
      <w:r w:rsidRPr="00467F9C">
        <w:rPr>
          <w:bCs/>
          <w:sz w:val="28"/>
          <w:szCs w:val="28"/>
        </w:rPr>
        <w:t>-</w:t>
      </w:r>
      <w:r w:rsidRPr="00467F9C">
        <w:rPr>
          <w:sz w:val="28"/>
          <w:szCs w:val="28"/>
        </w:rPr>
        <w:t> 11,3 тыс. рублей – за коммунальные услуги за декабрь 2021 года;</w:t>
      </w:r>
    </w:p>
    <w:p w:rsidR="005E541F" w:rsidRPr="00467F9C" w:rsidRDefault="005E541F" w:rsidP="00191861">
      <w:pPr>
        <w:ind w:firstLine="709"/>
        <w:jc w:val="both"/>
        <w:rPr>
          <w:sz w:val="28"/>
          <w:szCs w:val="28"/>
        </w:rPr>
      </w:pPr>
      <w:r w:rsidRPr="00467F9C">
        <w:rPr>
          <w:sz w:val="28"/>
          <w:szCs w:val="28"/>
        </w:rPr>
        <w:t>- 12,7 тыс. рублей – за выполненные полиграфические работы и медосмотры водителя в декабре 2021 года;</w:t>
      </w:r>
    </w:p>
    <w:p w:rsidR="005E541F" w:rsidRPr="00467F9C" w:rsidRDefault="005E541F" w:rsidP="00191861">
      <w:pPr>
        <w:ind w:firstLine="709"/>
        <w:jc w:val="both"/>
        <w:rPr>
          <w:sz w:val="28"/>
          <w:szCs w:val="28"/>
        </w:rPr>
      </w:pPr>
      <w:r w:rsidRPr="00467F9C">
        <w:rPr>
          <w:sz w:val="28"/>
          <w:szCs w:val="28"/>
        </w:rPr>
        <w:t>- 1 515,7 тыс. рублей – по межтерриториальным расчетам с ТФОМС за медицинские услуги, оказанные гражданам, застрахованным на территории Чукотского автономного округа.</w:t>
      </w:r>
    </w:p>
    <w:p w:rsidR="005E541F" w:rsidRPr="00467F9C" w:rsidRDefault="005E541F" w:rsidP="00191861">
      <w:pPr>
        <w:ind w:firstLine="709"/>
        <w:jc w:val="both"/>
        <w:rPr>
          <w:sz w:val="28"/>
          <w:szCs w:val="28"/>
        </w:rPr>
      </w:pPr>
      <w:r w:rsidRPr="00467F9C">
        <w:rPr>
          <w:sz w:val="28"/>
          <w:szCs w:val="28"/>
        </w:rPr>
        <w:t>Также имеется текущая кредиторская задолженность в сумме 4,2 тыс. рублей по начисленному транспортному налогу, подлежащему к уплате в бюджет до 1 марта 2021 года.</w:t>
      </w:r>
    </w:p>
    <w:p w:rsidR="005E541F" w:rsidRPr="00467F9C" w:rsidRDefault="005E541F" w:rsidP="00191861">
      <w:pPr>
        <w:ind w:firstLine="709"/>
        <w:jc w:val="both"/>
        <w:rPr>
          <w:sz w:val="28"/>
          <w:szCs w:val="28"/>
        </w:rPr>
      </w:pPr>
      <w:r w:rsidRPr="00467F9C">
        <w:rPr>
          <w:sz w:val="28"/>
          <w:szCs w:val="28"/>
        </w:rPr>
        <w:t>Долгосрочной и просроченной дебиторской и кредиторской задолженности на балансе Фонда в отчетном периоде не числилось.</w:t>
      </w:r>
    </w:p>
    <w:p w:rsidR="005E541F" w:rsidRPr="00467F9C" w:rsidRDefault="005E541F" w:rsidP="00191861">
      <w:pPr>
        <w:ind w:firstLine="709"/>
        <w:jc w:val="both"/>
        <w:rPr>
          <w:sz w:val="28"/>
          <w:szCs w:val="28"/>
        </w:rPr>
      </w:pPr>
      <w:r w:rsidRPr="00467F9C">
        <w:rPr>
          <w:sz w:val="28"/>
          <w:szCs w:val="28"/>
        </w:rPr>
        <w:t>В 2021 году на основании приказа Фонда от 12 ноября 2021 года                      №95-ОД в целях обеспечения сохранности государственного имущества проведена инвентаризация активов, обязательств и прав пользования активами. Годовая инвентаризация имущества, переданного Фонду ФФ ОМС на основании договоров о передаче в безвозмездное пользование оборудования и неисключительных прав пользования программными продуктами, входящих в состав аппаратно-программного комплекса регионального узлового сегмента  ГИС ОМС, проведена в период с 1 по 19 ноября 2021 года (приказ Фонда от 19.10.2021г. №88-ОД). Недостач и хищений в ходе инвентаризации не выявлено.</w:t>
      </w:r>
    </w:p>
    <w:p w:rsidR="005E541F" w:rsidRPr="00467F9C" w:rsidRDefault="005E541F" w:rsidP="00191861">
      <w:pPr>
        <w:autoSpaceDE w:val="0"/>
        <w:autoSpaceDN w:val="0"/>
        <w:adjustRightInd w:val="0"/>
        <w:ind w:firstLine="708"/>
        <w:jc w:val="both"/>
        <w:rPr>
          <w:sz w:val="28"/>
          <w:szCs w:val="28"/>
        </w:rPr>
      </w:pPr>
      <w:r w:rsidRPr="00467F9C">
        <w:rPr>
          <w:sz w:val="28"/>
          <w:szCs w:val="28"/>
        </w:rPr>
        <w:t>В отчетном периоде Фондом осуществлялись закупки в соответствии с Федеральным законом №44-ФЗ</w:t>
      </w:r>
      <w:r w:rsidRPr="00467F9C">
        <w:rPr>
          <w:rStyle w:val="ab"/>
          <w:sz w:val="28"/>
          <w:szCs w:val="28"/>
        </w:rPr>
        <w:footnoteReference w:id="14"/>
      </w:r>
      <w:r w:rsidRPr="00467F9C">
        <w:rPr>
          <w:sz w:val="28"/>
          <w:szCs w:val="28"/>
        </w:rPr>
        <w:t>.  Согласно   данным   формы   0503175 «Сведения о принятых и неисполненных обязательствах получателя бюджетных средств», экономия при заключении в 2021 году государственных контрактов с применением конкурентных способов определения поставщиков составила 9,9 тыс. рублей.</w:t>
      </w:r>
    </w:p>
    <w:p w:rsidR="005E541F" w:rsidRPr="00467F9C" w:rsidRDefault="005E541F" w:rsidP="00191861">
      <w:pPr>
        <w:autoSpaceDE w:val="0"/>
        <w:autoSpaceDN w:val="0"/>
        <w:adjustRightInd w:val="0"/>
        <w:ind w:firstLine="708"/>
        <w:jc w:val="both"/>
        <w:rPr>
          <w:sz w:val="28"/>
          <w:szCs w:val="28"/>
        </w:rPr>
      </w:pPr>
      <w:r w:rsidRPr="00467F9C">
        <w:rPr>
          <w:sz w:val="28"/>
          <w:szCs w:val="28"/>
        </w:rPr>
        <w:t>В составе бюджетной отчетности Фонда представлены Сведения об исполнении текстовых статей закона о бюджете (таблица 3).</w:t>
      </w:r>
    </w:p>
    <w:p w:rsidR="005E541F" w:rsidRPr="00467F9C" w:rsidRDefault="005E541F" w:rsidP="00191861">
      <w:pPr>
        <w:ind w:firstLine="709"/>
        <w:jc w:val="both"/>
        <w:rPr>
          <w:b/>
          <w:sz w:val="8"/>
          <w:szCs w:val="8"/>
        </w:rPr>
      </w:pPr>
      <w:r w:rsidRPr="00467F9C">
        <w:rPr>
          <w:sz w:val="28"/>
          <w:szCs w:val="28"/>
        </w:rPr>
        <w:t xml:space="preserve"> Законом о бюджете Фонда, для обеспечения финансовой устойчивости системы ОМС на территории округа, установлен нормированный страховой запас</w:t>
      </w:r>
      <w:r w:rsidRPr="00467F9C">
        <w:rPr>
          <w:rStyle w:val="ab"/>
          <w:sz w:val="28"/>
          <w:szCs w:val="28"/>
        </w:rPr>
        <w:footnoteReference w:id="15"/>
      </w:r>
      <w:r w:rsidRPr="00467F9C">
        <w:rPr>
          <w:sz w:val="28"/>
          <w:szCs w:val="28"/>
        </w:rPr>
        <w:t xml:space="preserve"> Фонда на 2021 год в размере 263 211,6 тыс. рублей. Согласно данных таблицы 3 НСЗ сформирован в сумме 176 451,5 тыс. рублей, то есть без учета межбюджетных трансфертов из ФФ ОМС в объеме 50 944,6 тыс. рублей на финансовое обеспечение формирования НСЗ территориального фонда ОМС на </w:t>
      </w:r>
      <w:proofErr w:type="spellStart"/>
      <w:r w:rsidRPr="00467F9C">
        <w:rPr>
          <w:sz w:val="28"/>
          <w:szCs w:val="28"/>
        </w:rPr>
        <w:t>софинансирование</w:t>
      </w:r>
      <w:proofErr w:type="spellEnd"/>
      <w:r w:rsidRPr="00467F9C">
        <w:rPr>
          <w:sz w:val="28"/>
          <w:szCs w:val="28"/>
        </w:rPr>
        <w:t xml:space="preserve"> расходов медицинских организаций на оплату труда врачей и среднего медицинского персонала.  Фактически в 2021 году НСЗ Фонда сформирован в размере 227 396,1 тыс. рублей, израсходован в сумме                     166 747, 6 тыс. рублей, в том числе: 150 879,8 тыс. рублей – в рамках межтерриториальных расчетов за медицинскую помощь; 15 621,9 тыс. рублей – на приобретение  медицинского оборудования, а также на обучение медицинских работников по программам повышения квалификации; 245,9 тыс. рублей – на </w:t>
      </w:r>
      <w:proofErr w:type="spellStart"/>
      <w:r w:rsidRPr="00467F9C">
        <w:rPr>
          <w:sz w:val="28"/>
          <w:szCs w:val="28"/>
        </w:rPr>
        <w:t>софинансирование</w:t>
      </w:r>
      <w:proofErr w:type="spellEnd"/>
      <w:r w:rsidRPr="00467F9C">
        <w:rPr>
          <w:sz w:val="28"/>
          <w:szCs w:val="28"/>
        </w:rPr>
        <w:t xml:space="preserve">  расходов медицинских организаций на оплату труда врачей и </w:t>
      </w:r>
      <w:r w:rsidRPr="00467F9C">
        <w:rPr>
          <w:sz w:val="28"/>
          <w:szCs w:val="28"/>
        </w:rPr>
        <w:lastRenderedPageBreak/>
        <w:t xml:space="preserve">среднего медицинского персонала. </w:t>
      </w:r>
      <w:r w:rsidRPr="00467F9C">
        <w:rPr>
          <w:bCs/>
          <w:sz w:val="28"/>
          <w:szCs w:val="28"/>
        </w:rPr>
        <w:t>Расходование средств НСЗ в отчетном периоде осуществлялось на цели, предусмотренные пунктом Законом о бюджете Фонда.</w:t>
      </w:r>
    </w:p>
    <w:p w:rsidR="005E541F" w:rsidRPr="00467F9C" w:rsidRDefault="005E541F" w:rsidP="00191861">
      <w:pPr>
        <w:autoSpaceDE w:val="0"/>
        <w:autoSpaceDN w:val="0"/>
        <w:adjustRightInd w:val="0"/>
        <w:ind w:firstLine="709"/>
        <w:jc w:val="both"/>
        <w:rPr>
          <w:b/>
          <w:sz w:val="10"/>
          <w:szCs w:val="10"/>
        </w:rPr>
      </w:pPr>
    </w:p>
    <w:p w:rsidR="005E541F" w:rsidRPr="00467F9C" w:rsidRDefault="005E541F" w:rsidP="00191861">
      <w:pPr>
        <w:autoSpaceDE w:val="0"/>
        <w:autoSpaceDN w:val="0"/>
        <w:adjustRightInd w:val="0"/>
        <w:ind w:firstLine="709"/>
        <w:jc w:val="both"/>
        <w:rPr>
          <w:b/>
          <w:sz w:val="28"/>
          <w:szCs w:val="28"/>
        </w:rPr>
      </w:pPr>
      <w:r w:rsidRPr="00467F9C">
        <w:rPr>
          <w:b/>
          <w:sz w:val="28"/>
          <w:szCs w:val="28"/>
        </w:rPr>
        <w:t>3. Анализ и</w:t>
      </w:r>
      <w:r w:rsidRPr="00467F9C">
        <w:rPr>
          <w:b/>
          <w:bCs/>
          <w:sz w:val="28"/>
          <w:szCs w:val="28"/>
        </w:rPr>
        <w:t>сполнения бюджетных назначений</w:t>
      </w:r>
      <w:r w:rsidRPr="00467F9C">
        <w:rPr>
          <w:b/>
          <w:sz w:val="28"/>
          <w:szCs w:val="28"/>
        </w:rPr>
        <w:t xml:space="preserve"> </w:t>
      </w:r>
    </w:p>
    <w:p w:rsidR="005E541F" w:rsidRPr="00467F9C" w:rsidRDefault="005E541F" w:rsidP="00191861">
      <w:pPr>
        <w:autoSpaceDE w:val="0"/>
        <w:autoSpaceDN w:val="0"/>
        <w:adjustRightInd w:val="0"/>
        <w:ind w:firstLine="709"/>
        <w:jc w:val="both"/>
        <w:rPr>
          <w:b/>
          <w:sz w:val="8"/>
          <w:szCs w:val="8"/>
        </w:rPr>
      </w:pPr>
    </w:p>
    <w:p w:rsidR="005E541F" w:rsidRPr="00467F9C" w:rsidRDefault="005E541F" w:rsidP="00191861">
      <w:pPr>
        <w:autoSpaceDE w:val="0"/>
        <w:autoSpaceDN w:val="0"/>
        <w:adjustRightInd w:val="0"/>
        <w:ind w:firstLine="709"/>
        <w:jc w:val="both"/>
        <w:rPr>
          <w:sz w:val="28"/>
          <w:szCs w:val="28"/>
        </w:rPr>
      </w:pPr>
      <w:r w:rsidRPr="00467F9C">
        <w:rPr>
          <w:sz w:val="28"/>
          <w:szCs w:val="28"/>
        </w:rPr>
        <w:t>Анализ исполнения доходной и расходной частей бюджета Фонда за отчетный период проведен путем сопоставления показателей бюджетной отчетности с показателями, утвержденными Законом о бюджете Фонда (по доходам) и показателями сводной бюджетной росписи</w:t>
      </w:r>
      <w:r w:rsidRPr="00467F9C">
        <w:rPr>
          <w:rStyle w:val="ab"/>
          <w:sz w:val="28"/>
          <w:szCs w:val="28"/>
        </w:rPr>
        <w:footnoteReference w:id="16"/>
      </w:r>
      <w:r w:rsidRPr="00467F9C">
        <w:rPr>
          <w:sz w:val="28"/>
          <w:szCs w:val="28"/>
        </w:rPr>
        <w:t xml:space="preserve"> по состоянию на 15 декабря 2021 года (по расходам).</w:t>
      </w:r>
    </w:p>
    <w:p w:rsidR="005E541F" w:rsidRPr="00467F9C" w:rsidRDefault="005E541F" w:rsidP="00191861">
      <w:pPr>
        <w:autoSpaceDE w:val="0"/>
        <w:autoSpaceDN w:val="0"/>
        <w:adjustRightInd w:val="0"/>
        <w:ind w:firstLine="708"/>
        <w:jc w:val="both"/>
        <w:rPr>
          <w:sz w:val="28"/>
          <w:szCs w:val="28"/>
        </w:rPr>
      </w:pPr>
      <w:r w:rsidRPr="00467F9C">
        <w:rPr>
          <w:sz w:val="28"/>
          <w:szCs w:val="28"/>
        </w:rPr>
        <w:t xml:space="preserve">По данным формы 0503127 «Отчет об исполнении бюджета» </w:t>
      </w:r>
      <w:r w:rsidRPr="00467F9C">
        <w:rPr>
          <w:b/>
          <w:sz w:val="28"/>
          <w:szCs w:val="28"/>
        </w:rPr>
        <w:t>доходы,</w:t>
      </w:r>
      <w:r w:rsidRPr="00467F9C">
        <w:rPr>
          <w:sz w:val="28"/>
          <w:szCs w:val="28"/>
        </w:rPr>
        <w:t xml:space="preserve"> администрируемые Фондом, поступили</w:t>
      </w:r>
      <w:r w:rsidRPr="00467F9C">
        <w:rPr>
          <w:b/>
          <w:sz w:val="28"/>
          <w:szCs w:val="28"/>
        </w:rPr>
        <w:t xml:space="preserve"> </w:t>
      </w:r>
      <w:r w:rsidRPr="00467F9C">
        <w:rPr>
          <w:sz w:val="28"/>
          <w:szCs w:val="28"/>
        </w:rPr>
        <w:t>в</w:t>
      </w:r>
      <w:r w:rsidRPr="00467F9C">
        <w:rPr>
          <w:b/>
          <w:sz w:val="28"/>
          <w:szCs w:val="28"/>
        </w:rPr>
        <w:t xml:space="preserve"> </w:t>
      </w:r>
      <w:r w:rsidRPr="00467F9C">
        <w:rPr>
          <w:sz w:val="28"/>
          <w:szCs w:val="28"/>
        </w:rPr>
        <w:t>бюджет Фонда в объеме 3 602 921,3 тыс. рублей или 99,2% от утвержденных бюджетных назначений (3 631 092,9 тыс. рублей). Информация об исполнении бюджетных назначений по доходам бюджета Фонда в разрезе источников доходов приведена в таблице №4.</w:t>
      </w:r>
    </w:p>
    <w:p w:rsidR="005E541F" w:rsidRPr="00467F9C" w:rsidRDefault="005E541F" w:rsidP="00191861">
      <w:pPr>
        <w:autoSpaceDE w:val="0"/>
        <w:autoSpaceDN w:val="0"/>
        <w:adjustRightInd w:val="0"/>
        <w:ind w:firstLine="708"/>
        <w:jc w:val="right"/>
        <w:rPr>
          <w:sz w:val="28"/>
          <w:szCs w:val="28"/>
        </w:rPr>
      </w:pPr>
      <w:r w:rsidRPr="00467F9C">
        <w:rPr>
          <w:sz w:val="28"/>
          <w:szCs w:val="28"/>
        </w:rPr>
        <w:t>Таблица 4 (тыс. рублей)</w:t>
      </w:r>
    </w:p>
    <w:tbl>
      <w:tblPr>
        <w:tblW w:w="9846" w:type="dxa"/>
        <w:tblInd w:w="113" w:type="dxa"/>
        <w:tblLook w:val="04A0" w:firstRow="1" w:lastRow="0" w:firstColumn="1" w:lastColumn="0" w:noHBand="0" w:noVBand="1"/>
      </w:tblPr>
      <w:tblGrid>
        <w:gridCol w:w="4560"/>
        <w:gridCol w:w="1257"/>
        <w:gridCol w:w="1159"/>
        <w:gridCol w:w="1452"/>
        <w:gridCol w:w="1418"/>
      </w:tblGrid>
      <w:tr w:rsidR="005E541F" w:rsidRPr="00467F9C" w:rsidTr="00750BBE">
        <w:trPr>
          <w:trHeight w:val="517"/>
          <w:tblHeader/>
        </w:trPr>
        <w:tc>
          <w:tcPr>
            <w:tcW w:w="4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jc w:val="center"/>
              <w:rPr>
                <w:sz w:val="20"/>
                <w:szCs w:val="20"/>
              </w:rPr>
            </w:pPr>
            <w:r w:rsidRPr="00467F9C">
              <w:rPr>
                <w:sz w:val="20"/>
                <w:szCs w:val="20"/>
              </w:rPr>
              <w:t xml:space="preserve">Наименование показателя </w:t>
            </w:r>
          </w:p>
        </w:tc>
        <w:tc>
          <w:tcPr>
            <w:tcW w:w="12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541F" w:rsidRPr="00467F9C" w:rsidRDefault="005E541F" w:rsidP="00750BBE">
            <w:pPr>
              <w:ind w:left="-111" w:right="-165"/>
              <w:jc w:val="center"/>
              <w:rPr>
                <w:sz w:val="20"/>
                <w:szCs w:val="20"/>
              </w:rPr>
            </w:pPr>
            <w:r w:rsidRPr="00467F9C">
              <w:rPr>
                <w:sz w:val="20"/>
                <w:szCs w:val="20"/>
              </w:rPr>
              <w:t>Утверждены бюджетные ассигнования</w:t>
            </w:r>
          </w:p>
        </w:tc>
        <w:tc>
          <w:tcPr>
            <w:tcW w:w="1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jc w:val="center"/>
              <w:rPr>
                <w:sz w:val="20"/>
                <w:szCs w:val="20"/>
              </w:rPr>
            </w:pPr>
            <w:r w:rsidRPr="00467F9C">
              <w:rPr>
                <w:sz w:val="20"/>
                <w:szCs w:val="20"/>
              </w:rPr>
              <w:t>Исполнено</w:t>
            </w:r>
          </w:p>
        </w:tc>
        <w:tc>
          <w:tcPr>
            <w:tcW w:w="1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541F" w:rsidRPr="00467F9C" w:rsidRDefault="005E541F" w:rsidP="00750BBE">
            <w:pPr>
              <w:ind w:left="-133" w:right="-61"/>
              <w:jc w:val="center"/>
              <w:rPr>
                <w:sz w:val="20"/>
                <w:szCs w:val="20"/>
              </w:rPr>
            </w:pPr>
            <w:r w:rsidRPr="00467F9C">
              <w:rPr>
                <w:sz w:val="20"/>
                <w:szCs w:val="20"/>
              </w:rPr>
              <w:t xml:space="preserve">Неисполненные назначения (гр.3-гр.2) </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541F" w:rsidRPr="00467F9C" w:rsidRDefault="005E541F" w:rsidP="008C1A12">
            <w:pPr>
              <w:ind w:left="-102" w:right="-114"/>
              <w:jc w:val="center"/>
              <w:rPr>
                <w:sz w:val="20"/>
                <w:szCs w:val="20"/>
              </w:rPr>
            </w:pPr>
            <w:r w:rsidRPr="00467F9C">
              <w:rPr>
                <w:sz w:val="20"/>
                <w:szCs w:val="20"/>
              </w:rPr>
              <w:t>Исполнение, % (гр.3/гр.2)</w:t>
            </w:r>
          </w:p>
        </w:tc>
      </w:tr>
      <w:tr w:rsidR="005E541F" w:rsidRPr="00467F9C" w:rsidTr="00750BBE">
        <w:trPr>
          <w:trHeight w:val="517"/>
          <w:tblHeader/>
        </w:trPr>
        <w:tc>
          <w:tcPr>
            <w:tcW w:w="4560" w:type="dxa"/>
            <w:vMerge/>
            <w:tcBorders>
              <w:top w:val="single" w:sz="4" w:space="0" w:color="auto"/>
              <w:left w:val="single" w:sz="4" w:space="0" w:color="auto"/>
              <w:bottom w:val="single" w:sz="4" w:space="0" w:color="auto"/>
              <w:right w:val="single" w:sz="4" w:space="0" w:color="auto"/>
            </w:tcBorders>
            <w:vAlign w:val="center"/>
            <w:hideMark/>
          </w:tcPr>
          <w:p w:rsidR="005E541F" w:rsidRPr="00467F9C" w:rsidRDefault="005E541F" w:rsidP="00191861">
            <w:pPr>
              <w:rPr>
                <w:sz w:val="20"/>
                <w:szCs w:val="20"/>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rsidR="005E541F" w:rsidRPr="00467F9C" w:rsidRDefault="005E541F" w:rsidP="00750BBE">
            <w:pPr>
              <w:ind w:left="-111" w:right="-165"/>
              <w:rPr>
                <w:sz w:val="20"/>
                <w:szCs w:val="20"/>
              </w:rPr>
            </w:pPr>
          </w:p>
        </w:tc>
        <w:tc>
          <w:tcPr>
            <w:tcW w:w="1159" w:type="dxa"/>
            <w:vMerge/>
            <w:tcBorders>
              <w:top w:val="single" w:sz="4" w:space="0" w:color="auto"/>
              <w:left w:val="single" w:sz="4" w:space="0" w:color="auto"/>
              <w:bottom w:val="single" w:sz="4" w:space="0" w:color="auto"/>
              <w:right w:val="single" w:sz="4" w:space="0" w:color="auto"/>
            </w:tcBorders>
            <w:vAlign w:val="center"/>
            <w:hideMark/>
          </w:tcPr>
          <w:p w:rsidR="005E541F" w:rsidRPr="00467F9C" w:rsidRDefault="005E541F" w:rsidP="00191861">
            <w:pPr>
              <w:rPr>
                <w:sz w:val="20"/>
                <w:szCs w:val="20"/>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5E541F" w:rsidRPr="00467F9C" w:rsidRDefault="005E541F" w:rsidP="00750BBE">
            <w:pPr>
              <w:ind w:left="-133" w:right="-61"/>
              <w:rPr>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5E541F" w:rsidRPr="00467F9C" w:rsidRDefault="005E541F" w:rsidP="008C1A12">
            <w:pPr>
              <w:ind w:left="-102" w:right="-114"/>
              <w:rPr>
                <w:sz w:val="20"/>
                <w:szCs w:val="20"/>
              </w:rPr>
            </w:pPr>
          </w:p>
        </w:tc>
      </w:tr>
      <w:tr w:rsidR="005E541F" w:rsidRPr="00467F9C" w:rsidTr="00750BBE">
        <w:trPr>
          <w:trHeight w:val="300"/>
          <w:tblHeader/>
        </w:trPr>
        <w:tc>
          <w:tcPr>
            <w:tcW w:w="4560" w:type="dxa"/>
            <w:tcBorders>
              <w:top w:val="nil"/>
              <w:left w:val="single" w:sz="4" w:space="0" w:color="auto"/>
              <w:bottom w:val="single" w:sz="4" w:space="0" w:color="auto"/>
              <w:right w:val="single" w:sz="4" w:space="0" w:color="auto"/>
            </w:tcBorders>
            <w:shd w:val="clear" w:color="auto" w:fill="auto"/>
            <w:noWrap/>
            <w:vAlign w:val="center"/>
            <w:hideMark/>
          </w:tcPr>
          <w:p w:rsidR="005E541F" w:rsidRPr="00467F9C" w:rsidRDefault="005E541F" w:rsidP="00191861">
            <w:pPr>
              <w:jc w:val="center"/>
              <w:rPr>
                <w:sz w:val="20"/>
                <w:szCs w:val="20"/>
              </w:rPr>
            </w:pPr>
            <w:r w:rsidRPr="00467F9C">
              <w:rPr>
                <w:sz w:val="20"/>
                <w:szCs w:val="20"/>
              </w:rPr>
              <w:t>1</w:t>
            </w:r>
          </w:p>
        </w:tc>
        <w:tc>
          <w:tcPr>
            <w:tcW w:w="1257" w:type="dxa"/>
            <w:tcBorders>
              <w:top w:val="nil"/>
              <w:left w:val="nil"/>
              <w:bottom w:val="single" w:sz="4" w:space="0" w:color="auto"/>
              <w:right w:val="single" w:sz="4" w:space="0" w:color="auto"/>
            </w:tcBorders>
            <w:shd w:val="clear" w:color="000000" w:fill="FFFFFF"/>
            <w:vAlign w:val="center"/>
            <w:hideMark/>
          </w:tcPr>
          <w:p w:rsidR="005E541F" w:rsidRPr="00467F9C" w:rsidRDefault="005E541F" w:rsidP="00750BBE">
            <w:pPr>
              <w:ind w:left="-111" w:right="-165"/>
              <w:jc w:val="center"/>
              <w:rPr>
                <w:sz w:val="20"/>
                <w:szCs w:val="20"/>
              </w:rPr>
            </w:pPr>
            <w:r w:rsidRPr="00467F9C">
              <w:rPr>
                <w:sz w:val="20"/>
                <w:szCs w:val="20"/>
              </w:rPr>
              <w:t>2</w:t>
            </w:r>
          </w:p>
        </w:tc>
        <w:tc>
          <w:tcPr>
            <w:tcW w:w="1159" w:type="dxa"/>
            <w:tcBorders>
              <w:top w:val="nil"/>
              <w:left w:val="nil"/>
              <w:bottom w:val="single" w:sz="4" w:space="0" w:color="auto"/>
              <w:right w:val="single" w:sz="4" w:space="0" w:color="auto"/>
            </w:tcBorders>
            <w:shd w:val="clear" w:color="000000" w:fill="FFFFFF"/>
            <w:vAlign w:val="center"/>
            <w:hideMark/>
          </w:tcPr>
          <w:p w:rsidR="005E541F" w:rsidRPr="00467F9C" w:rsidRDefault="005E541F" w:rsidP="00191861">
            <w:pPr>
              <w:jc w:val="center"/>
              <w:rPr>
                <w:sz w:val="20"/>
                <w:szCs w:val="20"/>
              </w:rPr>
            </w:pPr>
            <w:r w:rsidRPr="00467F9C">
              <w:rPr>
                <w:sz w:val="20"/>
                <w:szCs w:val="20"/>
              </w:rPr>
              <w:t>3</w:t>
            </w:r>
          </w:p>
        </w:tc>
        <w:tc>
          <w:tcPr>
            <w:tcW w:w="1452" w:type="dxa"/>
            <w:tcBorders>
              <w:top w:val="nil"/>
              <w:left w:val="nil"/>
              <w:bottom w:val="single" w:sz="4" w:space="0" w:color="auto"/>
              <w:right w:val="single" w:sz="4" w:space="0" w:color="auto"/>
            </w:tcBorders>
            <w:shd w:val="clear" w:color="000000" w:fill="FFFFFF"/>
            <w:vAlign w:val="center"/>
            <w:hideMark/>
          </w:tcPr>
          <w:p w:rsidR="005E541F" w:rsidRPr="00467F9C" w:rsidRDefault="005E541F" w:rsidP="00750BBE">
            <w:pPr>
              <w:ind w:left="-133" w:right="-61"/>
              <w:jc w:val="center"/>
              <w:rPr>
                <w:sz w:val="20"/>
                <w:szCs w:val="20"/>
              </w:rPr>
            </w:pPr>
            <w:r w:rsidRPr="00467F9C">
              <w:rPr>
                <w:sz w:val="20"/>
                <w:szCs w:val="20"/>
              </w:rPr>
              <w:t>4</w:t>
            </w:r>
          </w:p>
        </w:tc>
        <w:tc>
          <w:tcPr>
            <w:tcW w:w="1418" w:type="dxa"/>
            <w:tcBorders>
              <w:top w:val="nil"/>
              <w:left w:val="nil"/>
              <w:bottom w:val="single" w:sz="4" w:space="0" w:color="auto"/>
              <w:right w:val="single" w:sz="4" w:space="0" w:color="auto"/>
            </w:tcBorders>
            <w:shd w:val="clear" w:color="auto" w:fill="auto"/>
            <w:noWrap/>
            <w:vAlign w:val="center"/>
            <w:hideMark/>
          </w:tcPr>
          <w:p w:rsidR="005E541F" w:rsidRPr="00467F9C" w:rsidRDefault="005E541F" w:rsidP="008C1A12">
            <w:pPr>
              <w:ind w:left="-102" w:right="-114"/>
              <w:jc w:val="center"/>
              <w:rPr>
                <w:sz w:val="20"/>
                <w:szCs w:val="20"/>
              </w:rPr>
            </w:pPr>
            <w:r w:rsidRPr="00467F9C">
              <w:rPr>
                <w:sz w:val="20"/>
                <w:szCs w:val="20"/>
              </w:rPr>
              <w:t>5</w:t>
            </w:r>
          </w:p>
        </w:tc>
      </w:tr>
      <w:tr w:rsidR="005E541F" w:rsidRPr="00467F9C" w:rsidTr="00750BBE">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rPr>
                <w:b/>
                <w:bCs/>
                <w:sz w:val="20"/>
                <w:szCs w:val="20"/>
              </w:rPr>
            </w:pPr>
            <w:r w:rsidRPr="00467F9C">
              <w:rPr>
                <w:b/>
                <w:bCs/>
                <w:sz w:val="20"/>
                <w:szCs w:val="20"/>
              </w:rPr>
              <w:t>ДОХОДЫ</w:t>
            </w:r>
          </w:p>
        </w:tc>
        <w:tc>
          <w:tcPr>
            <w:tcW w:w="1257"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750BBE">
            <w:pPr>
              <w:ind w:left="-111" w:right="-165"/>
              <w:jc w:val="center"/>
              <w:rPr>
                <w:b/>
                <w:bCs/>
                <w:sz w:val="20"/>
                <w:szCs w:val="20"/>
              </w:rPr>
            </w:pPr>
            <w:r w:rsidRPr="00467F9C">
              <w:rPr>
                <w:b/>
                <w:bCs/>
                <w:sz w:val="20"/>
                <w:szCs w:val="20"/>
              </w:rPr>
              <w:t>3 631 092,9</w:t>
            </w:r>
          </w:p>
        </w:tc>
        <w:tc>
          <w:tcPr>
            <w:tcW w:w="1159"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0D6598">
            <w:pPr>
              <w:ind w:right="-133" w:hanging="196"/>
              <w:jc w:val="center"/>
              <w:rPr>
                <w:b/>
                <w:bCs/>
                <w:sz w:val="20"/>
                <w:szCs w:val="20"/>
              </w:rPr>
            </w:pPr>
            <w:r w:rsidRPr="00467F9C">
              <w:rPr>
                <w:b/>
                <w:bCs/>
                <w:sz w:val="20"/>
                <w:szCs w:val="20"/>
              </w:rPr>
              <w:t>3 602 921,3</w:t>
            </w:r>
          </w:p>
        </w:tc>
        <w:tc>
          <w:tcPr>
            <w:tcW w:w="1452"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750BBE">
            <w:pPr>
              <w:ind w:left="-133" w:right="-61"/>
              <w:jc w:val="center"/>
              <w:rPr>
                <w:b/>
                <w:bCs/>
                <w:sz w:val="20"/>
                <w:szCs w:val="20"/>
              </w:rPr>
            </w:pPr>
            <w:r w:rsidRPr="00467F9C">
              <w:rPr>
                <w:b/>
                <w:bCs/>
                <w:sz w:val="20"/>
                <w:szCs w:val="20"/>
              </w:rPr>
              <w:t>-28 171,6</w:t>
            </w:r>
          </w:p>
        </w:tc>
        <w:tc>
          <w:tcPr>
            <w:tcW w:w="1418" w:type="dxa"/>
            <w:tcBorders>
              <w:top w:val="nil"/>
              <w:left w:val="nil"/>
              <w:bottom w:val="single" w:sz="4" w:space="0" w:color="auto"/>
              <w:right w:val="single" w:sz="4" w:space="0" w:color="auto"/>
            </w:tcBorders>
            <w:shd w:val="clear" w:color="auto" w:fill="auto"/>
            <w:noWrap/>
            <w:vAlign w:val="center"/>
            <w:hideMark/>
          </w:tcPr>
          <w:p w:rsidR="005E541F" w:rsidRPr="00467F9C" w:rsidRDefault="005E541F" w:rsidP="008C1A12">
            <w:pPr>
              <w:ind w:left="-102" w:right="-114"/>
              <w:jc w:val="center"/>
              <w:rPr>
                <w:b/>
                <w:bCs/>
                <w:sz w:val="20"/>
                <w:szCs w:val="20"/>
              </w:rPr>
            </w:pPr>
            <w:r w:rsidRPr="00467F9C">
              <w:rPr>
                <w:b/>
                <w:bCs/>
                <w:sz w:val="20"/>
                <w:szCs w:val="20"/>
              </w:rPr>
              <w:t>99,2</w:t>
            </w:r>
          </w:p>
        </w:tc>
      </w:tr>
      <w:tr w:rsidR="005E541F" w:rsidRPr="00467F9C" w:rsidTr="00750BBE">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0D6598">
            <w:pPr>
              <w:rPr>
                <w:b/>
                <w:bCs/>
                <w:sz w:val="20"/>
                <w:szCs w:val="20"/>
              </w:rPr>
            </w:pPr>
            <w:r w:rsidRPr="00467F9C">
              <w:rPr>
                <w:b/>
                <w:bCs/>
                <w:sz w:val="20"/>
                <w:szCs w:val="20"/>
              </w:rPr>
              <w:t>Налоговые и неналоговые доходы</w:t>
            </w:r>
          </w:p>
        </w:tc>
        <w:tc>
          <w:tcPr>
            <w:tcW w:w="1257"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750BBE">
            <w:pPr>
              <w:ind w:left="-111" w:right="-165"/>
              <w:jc w:val="center"/>
              <w:rPr>
                <w:b/>
                <w:bCs/>
                <w:sz w:val="20"/>
                <w:szCs w:val="20"/>
              </w:rPr>
            </w:pPr>
            <w:r w:rsidRPr="00467F9C">
              <w:rPr>
                <w:b/>
                <w:bCs/>
                <w:sz w:val="20"/>
                <w:szCs w:val="20"/>
              </w:rPr>
              <w:t>20 604,4</w:t>
            </w:r>
          </w:p>
        </w:tc>
        <w:tc>
          <w:tcPr>
            <w:tcW w:w="1159"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
                <w:bCs/>
                <w:sz w:val="20"/>
                <w:szCs w:val="20"/>
              </w:rPr>
            </w:pPr>
            <w:r w:rsidRPr="00467F9C">
              <w:rPr>
                <w:b/>
                <w:bCs/>
                <w:sz w:val="20"/>
                <w:szCs w:val="20"/>
              </w:rPr>
              <w:t>26 101,6</w:t>
            </w:r>
          </w:p>
        </w:tc>
        <w:tc>
          <w:tcPr>
            <w:tcW w:w="1452"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750BBE">
            <w:pPr>
              <w:ind w:left="-133" w:right="-61"/>
              <w:jc w:val="center"/>
              <w:rPr>
                <w:b/>
                <w:bCs/>
                <w:sz w:val="20"/>
                <w:szCs w:val="20"/>
              </w:rPr>
            </w:pPr>
            <w:r w:rsidRPr="00467F9C">
              <w:rPr>
                <w:b/>
                <w:bCs/>
                <w:sz w:val="20"/>
                <w:szCs w:val="20"/>
              </w:rPr>
              <w:t>5 497,2</w:t>
            </w:r>
          </w:p>
        </w:tc>
        <w:tc>
          <w:tcPr>
            <w:tcW w:w="1418" w:type="dxa"/>
            <w:tcBorders>
              <w:top w:val="nil"/>
              <w:left w:val="nil"/>
              <w:bottom w:val="single" w:sz="4" w:space="0" w:color="auto"/>
              <w:right w:val="single" w:sz="4" w:space="0" w:color="auto"/>
            </w:tcBorders>
            <w:shd w:val="clear" w:color="auto" w:fill="auto"/>
            <w:noWrap/>
            <w:vAlign w:val="center"/>
            <w:hideMark/>
          </w:tcPr>
          <w:p w:rsidR="005E541F" w:rsidRPr="00467F9C" w:rsidRDefault="005E541F" w:rsidP="008C1A12">
            <w:pPr>
              <w:ind w:left="-102" w:right="-114"/>
              <w:jc w:val="center"/>
              <w:rPr>
                <w:b/>
                <w:bCs/>
                <w:sz w:val="20"/>
                <w:szCs w:val="20"/>
              </w:rPr>
            </w:pPr>
            <w:r w:rsidRPr="00467F9C">
              <w:rPr>
                <w:b/>
                <w:bCs/>
                <w:sz w:val="20"/>
                <w:szCs w:val="20"/>
              </w:rPr>
              <w:t>126,7</w:t>
            </w:r>
          </w:p>
        </w:tc>
      </w:tr>
      <w:tr w:rsidR="005E541F" w:rsidRPr="00467F9C" w:rsidTr="00750BBE">
        <w:trPr>
          <w:trHeight w:val="48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0D6598">
            <w:pPr>
              <w:rPr>
                <w:sz w:val="20"/>
                <w:szCs w:val="20"/>
              </w:rPr>
            </w:pPr>
            <w:r w:rsidRPr="00467F9C">
              <w:rPr>
                <w:sz w:val="20"/>
                <w:szCs w:val="20"/>
              </w:rPr>
              <w:t xml:space="preserve">Доходы от оказания платных услуг и компенсации затрат государства  </w:t>
            </w:r>
          </w:p>
        </w:tc>
        <w:tc>
          <w:tcPr>
            <w:tcW w:w="1257"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750BBE">
            <w:pPr>
              <w:ind w:left="-111" w:right="-165"/>
              <w:jc w:val="center"/>
              <w:rPr>
                <w:sz w:val="20"/>
                <w:szCs w:val="20"/>
              </w:rPr>
            </w:pPr>
            <w:r w:rsidRPr="00467F9C">
              <w:rPr>
                <w:sz w:val="20"/>
                <w:szCs w:val="20"/>
              </w:rPr>
              <w:t>16 436,0</w:t>
            </w:r>
          </w:p>
        </w:tc>
        <w:tc>
          <w:tcPr>
            <w:tcW w:w="1159"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20"/>
                <w:szCs w:val="20"/>
              </w:rPr>
            </w:pPr>
            <w:r w:rsidRPr="00467F9C">
              <w:rPr>
                <w:sz w:val="20"/>
                <w:szCs w:val="20"/>
              </w:rPr>
              <w:t>21 274,0</w:t>
            </w:r>
          </w:p>
        </w:tc>
        <w:tc>
          <w:tcPr>
            <w:tcW w:w="1452"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750BBE">
            <w:pPr>
              <w:ind w:left="-133" w:right="-61"/>
              <w:jc w:val="center"/>
              <w:rPr>
                <w:b/>
                <w:bCs/>
                <w:sz w:val="20"/>
                <w:szCs w:val="20"/>
              </w:rPr>
            </w:pPr>
            <w:r w:rsidRPr="00467F9C">
              <w:rPr>
                <w:b/>
                <w:bCs/>
                <w:sz w:val="20"/>
                <w:szCs w:val="20"/>
              </w:rPr>
              <w:t>4 838,0</w:t>
            </w:r>
          </w:p>
        </w:tc>
        <w:tc>
          <w:tcPr>
            <w:tcW w:w="1418" w:type="dxa"/>
            <w:tcBorders>
              <w:top w:val="nil"/>
              <w:left w:val="nil"/>
              <w:bottom w:val="single" w:sz="4" w:space="0" w:color="auto"/>
              <w:right w:val="single" w:sz="4" w:space="0" w:color="auto"/>
            </w:tcBorders>
            <w:shd w:val="clear" w:color="auto" w:fill="auto"/>
            <w:noWrap/>
            <w:vAlign w:val="center"/>
            <w:hideMark/>
          </w:tcPr>
          <w:p w:rsidR="005E541F" w:rsidRPr="00467F9C" w:rsidRDefault="005E541F" w:rsidP="008C1A12">
            <w:pPr>
              <w:ind w:left="-102" w:right="-114"/>
              <w:jc w:val="center"/>
              <w:rPr>
                <w:sz w:val="20"/>
                <w:szCs w:val="20"/>
              </w:rPr>
            </w:pPr>
            <w:r w:rsidRPr="00467F9C">
              <w:rPr>
                <w:sz w:val="20"/>
                <w:szCs w:val="20"/>
              </w:rPr>
              <w:t>129,4</w:t>
            </w:r>
          </w:p>
        </w:tc>
      </w:tr>
      <w:tr w:rsidR="005E541F" w:rsidRPr="00467F9C" w:rsidTr="00750BBE">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0D6598">
            <w:pPr>
              <w:rPr>
                <w:sz w:val="20"/>
                <w:szCs w:val="20"/>
              </w:rPr>
            </w:pPr>
            <w:r w:rsidRPr="00467F9C">
              <w:rPr>
                <w:sz w:val="20"/>
                <w:szCs w:val="20"/>
              </w:rPr>
              <w:t xml:space="preserve">Штрафы, санкции, возмещение ущерба  </w:t>
            </w:r>
          </w:p>
        </w:tc>
        <w:tc>
          <w:tcPr>
            <w:tcW w:w="1257"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750BBE">
            <w:pPr>
              <w:ind w:left="-111" w:right="-165"/>
              <w:jc w:val="center"/>
              <w:rPr>
                <w:sz w:val="20"/>
                <w:szCs w:val="20"/>
              </w:rPr>
            </w:pPr>
            <w:r w:rsidRPr="00467F9C">
              <w:rPr>
                <w:sz w:val="20"/>
                <w:szCs w:val="20"/>
              </w:rPr>
              <w:t>4 168,4</w:t>
            </w:r>
          </w:p>
        </w:tc>
        <w:tc>
          <w:tcPr>
            <w:tcW w:w="1159"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20"/>
                <w:szCs w:val="20"/>
              </w:rPr>
            </w:pPr>
            <w:r w:rsidRPr="00467F9C">
              <w:rPr>
                <w:sz w:val="20"/>
                <w:szCs w:val="20"/>
              </w:rPr>
              <w:t>4 827,5</w:t>
            </w:r>
          </w:p>
        </w:tc>
        <w:tc>
          <w:tcPr>
            <w:tcW w:w="1452"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750BBE">
            <w:pPr>
              <w:ind w:left="-133" w:right="-61"/>
              <w:jc w:val="center"/>
              <w:rPr>
                <w:sz w:val="20"/>
                <w:szCs w:val="20"/>
              </w:rPr>
            </w:pPr>
            <w:r w:rsidRPr="00467F9C">
              <w:rPr>
                <w:sz w:val="20"/>
                <w:szCs w:val="20"/>
              </w:rPr>
              <w:t>659,1</w:t>
            </w:r>
          </w:p>
        </w:tc>
        <w:tc>
          <w:tcPr>
            <w:tcW w:w="1418" w:type="dxa"/>
            <w:tcBorders>
              <w:top w:val="nil"/>
              <w:left w:val="nil"/>
              <w:bottom w:val="single" w:sz="4" w:space="0" w:color="auto"/>
              <w:right w:val="single" w:sz="4" w:space="0" w:color="auto"/>
            </w:tcBorders>
            <w:shd w:val="clear" w:color="auto" w:fill="auto"/>
            <w:noWrap/>
            <w:vAlign w:val="center"/>
            <w:hideMark/>
          </w:tcPr>
          <w:p w:rsidR="005E541F" w:rsidRPr="00467F9C" w:rsidRDefault="005E541F" w:rsidP="008C1A12">
            <w:pPr>
              <w:ind w:left="-102" w:right="-114"/>
              <w:jc w:val="center"/>
              <w:rPr>
                <w:sz w:val="20"/>
                <w:szCs w:val="20"/>
              </w:rPr>
            </w:pPr>
            <w:r w:rsidRPr="00467F9C">
              <w:rPr>
                <w:sz w:val="20"/>
                <w:szCs w:val="20"/>
              </w:rPr>
              <w:t>115,8</w:t>
            </w:r>
          </w:p>
        </w:tc>
      </w:tr>
      <w:tr w:rsidR="005E541F" w:rsidRPr="00467F9C" w:rsidTr="00750BBE">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0D6598">
            <w:pPr>
              <w:rPr>
                <w:b/>
                <w:bCs/>
                <w:sz w:val="20"/>
                <w:szCs w:val="20"/>
              </w:rPr>
            </w:pPr>
            <w:r w:rsidRPr="00467F9C">
              <w:rPr>
                <w:b/>
                <w:bCs/>
                <w:sz w:val="20"/>
                <w:szCs w:val="20"/>
              </w:rPr>
              <w:t xml:space="preserve">Безвозмездные поступления </w:t>
            </w:r>
          </w:p>
        </w:tc>
        <w:tc>
          <w:tcPr>
            <w:tcW w:w="1257"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750BBE">
            <w:pPr>
              <w:ind w:left="-111" w:right="-165"/>
              <w:jc w:val="center"/>
              <w:rPr>
                <w:b/>
                <w:bCs/>
                <w:sz w:val="20"/>
                <w:szCs w:val="20"/>
              </w:rPr>
            </w:pPr>
            <w:r w:rsidRPr="00467F9C">
              <w:rPr>
                <w:b/>
                <w:bCs/>
                <w:sz w:val="20"/>
                <w:szCs w:val="20"/>
              </w:rPr>
              <w:t>3 610 488,5</w:t>
            </w:r>
          </w:p>
        </w:tc>
        <w:tc>
          <w:tcPr>
            <w:tcW w:w="1159"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083F7C">
            <w:pPr>
              <w:ind w:hanging="54"/>
              <w:jc w:val="center"/>
              <w:rPr>
                <w:b/>
                <w:bCs/>
                <w:sz w:val="20"/>
                <w:szCs w:val="20"/>
              </w:rPr>
            </w:pPr>
            <w:r w:rsidRPr="00467F9C">
              <w:rPr>
                <w:b/>
                <w:bCs/>
                <w:sz w:val="20"/>
                <w:szCs w:val="20"/>
              </w:rPr>
              <w:t>3 576 819,7</w:t>
            </w:r>
          </w:p>
        </w:tc>
        <w:tc>
          <w:tcPr>
            <w:tcW w:w="1452"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750BBE">
            <w:pPr>
              <w:ind w:left="-133" w:right="-61"/>
              <w:jc w:val="center"/>
              <w:rPr>
                <w:sz w:val="20"/>
                <w:szCs w:val="20"/>
              </w:rPr>
            </w:pPr>
            <w:r w:rsidRPr="00467F9C">
              <w:rPr>
                <w:sz w:val="20"/>
                <w:szCs w:val="20"/>
              </w:rPr>
              <w:t>-33 668,8</w:t>
            </w:r>
          </w:p>
        </w:tc>
        <w:tc>
          <w:tcPr>
            <w:tcW w:w="1418" w:type="dxa"/>
            <w:tcBorders>
              <w:top w:val="nil"/>
              <w:left w:val="nil"/>
              <w:bottom w:val="single" w:sz="4" w:space="0" w:color="auto"/>
              <w:right w:val="single" w:sz="4" w:space="0" w:color="auto"/>
            </w:tcBorders>
            <w:shd w:val="clear" w:color="auto" w:fill="auto"/>
            <w:noWrap/>
            <w:vAlign w:val="center"/>
            <w:hideMark/>
          </w:tcPr>
          <w:p w:rsidR="005E541F" w:rsidRPr="00467F9C" w:rsidRDefault="005E541F" w:rsidP="008C1A12">
            <w:pPr>
              <w:ind w:left="-102" w:right="-114"/>
              <w:jc w:val="center"/>
              <w:rPr>
                <w:b/>
                <w:bCs/>
                <w:sz w:val="20"/>
                <w:szCs w:val="20"/>
              </w:rPr>
            </w:pPr>
            <w:r w:rsidRPr="00467F9C">
              <w:rPr>
                <w:b/>
                <w:bCs/>
                <w:sz w:val="20"/>
                <w:szCs w:val="20"/>
              </w:rPr>
              <w:t>99,1</w:t>
            </w:r>
          </w:p>
        </w:tc>
      </w:tr>
      <w:tr w:rsidR="005E541F" w:rsidRPr="00467F9C" w:rsidTr="00750BBE">
        <w:trPr>
          <w:trHeight w:val="48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0D6598">
            <w:pPr>
              <w:rPr>
                <w:sz w:val="20"/>
                <w:szCs w:val="20"/>
              </w:rPr>
            </w:pPr>
            <w:r w:rsidRPr="00467F9C">
              <w:rPr>
                <w:sz w:val="20"/>
                <w:szCs w:val="20"/>
              </w:rPr>
              <w:t xml:space="preserve">Безвозмездные поступления от других бюджетов бюджетной системы РФ  </w:t>
            </w:r>
          </w:p>
        </w:tc>
        <w:tc>
          <w:tcPr>
            <w:tcW w:w="1257"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750BBE">
            <w:pPr>
              <w:ind w:left="-111" w:right="-165"/>
              <w:jc w:val="center"/>
              <w:rPr>
                <w:sz w:val="20"/>
                <w:szCs w:val="20"/>
              </w:rPr>
            </w:pPr>
            <w:r w:rsidRPr="00467F9C">
              <w:rPr>
                <w:sz w:val="20"/>
                <w:szCs w:val="20"/>
              </w:rPr>
              <w:t>3 630 728,4</w:t>
            </w:r>
          </w:p>
        </w:tc>
        <w:tc>
          <w:tcPr>
            <w:tcW w:w="1159"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20"/>
                <w:szCs w:val="20"/>
              </w:rPr>
            </w:pPr>
            <w:r w:rsidRPr="00467F9C">
              <w:rPr>
                <w:sz w:val="20"/>
                <w:szCs w:val="20"/>
              </w:rPr>
              <w:t>3 596 384,5</w:t>
            </w:r>
          </w:p>
        </w:tc>
        <w:tc>
          <w:tcPr>
            <w:tcW w:w="1452"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750BBE">
            <w:pPr>
              <w:ind w:left="-133" w:right="-61"/>
              <w:jc w:val="center"/>
              <w:rPr>
                <w:sz w:val="20"/>
                <w:szCs w:val="20"/>
              </w:rPr>
            </w:pPr>
            <w:r w:rsidRPr="00467F9C">
              <w:rPr>
                <w:sz w:val="20"/>
                <w:szCs w:val="20"/>
              </w:rPr>
              <w:t>-34 343,9</w:t>
            </w:r>
          </w:p>
        </w:tc>
        <w:tc>
          <w:tcPr>
            <w:tcW w:w="1418" w:type="dxa"/>
            <w:tcBorders>
              <w:top w:val="nil"/>
              <w:left w:val="nil"/>
              <w:bottom w:val="single" w:sz="4" w:space="0" w:color="auto"/>
              <w:right w:val="single" w:sz="4" w:space="0" w:color="auto"/>
            </w:tcBorders>
            <w:shd w:val="clear" w:color="auto" w:fill="auto"/>
            <w:noWrap/>
            <w:vAlign w:val="center"/>
            <w:hideMark/>
          </w:tcPr>
          <w:p w:rsidR="005E541F" w:rsidRPr="00467F9C" w:rsidRDefault="005E541F" w:rsidP="008C1A12">
            <w:pPr>
              <w:ind w:left="-102" w:right="-114"/>
              <w:jc w:val="center"/>
              <w:rPr>
                <w:sz w:val="20"/>
                <w:szCs w:val="20"/>
              </w:rPr>
            </w:pPr>
            <w:r w:rsidRPr="00467F9C">
              <w:rPr>
                <w:sz w:val="20"/>
                <w:szCs w:val="20"/>
              </w:rPr>
              <w:t>99,1</w:t>
            </w:r>
          </w:p>
        </w:tc>
      </w:tr>
      <w:tr w:rsidR="005E541F" w:rsidRPr="00467F9C" w:rsidTr="00750BBE">
        <w:trPr>
          <w:trHeight w:val="257"/>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0D6598">
            <w:pPr>
              <w:rPr>
                <w:sz w:val="20"/>
                <w:szCs w:val="20"/>
              </w:rPr>
            </w:pPr>
            <w:r w:rsidRPr="00467F9C">
              <w:rPr>
                <w:sz w:val="20"/>
                <w:szCs w:val="20"/>
              </w:rPr>
              <w:t xml:space="preserve">Доходы бюджетов субъектов РФ от </w:t>
            </w:r>
            <w:proofErr w:type="gramStart"/>
            <w:r w:rsidRPr="00467F9C">
              <w:rPr>
                <w:sz w:val="20"/>
                <w:szCs w:val="20"/>
              </w:rPr>
              <w:t>возврата  бюджетами</w:t>
            </w:r>
            <w:proofErr w:type="gramEnd"/>
            <w:r w:rsidRPr="00467F9C">
              <w:rPr>
                <w:sz w:val="20"/>
                <w:szCs w:val="20"/>
              </w:rPr>
              <w:t xml:space="preserve"> бюджетной системы РФ остатков субсидий, субвенций и иных межбюджетных трансфертов, имеющих целевое назначение, прошлых лет  </w:t>
            </w:r>
          </w:p>
        </w:tc>
        <w:tc>
          <w:tcPr>
            <w:tcW w:w="1257"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750BBE">
            <w:pPr>
              <w:ind w:left="-111" w:right="-165"/>
              <w:jc w:val="center"/>
              <w:rPr>
                <w:sz w:val="20"/>
                <w:szCs w:val="20"/>
              </w:rPr>
            </w:pPr>
            <w:r w:rsidRPr="00467F9C">
              <w:rPr>
                <w:sz w:val="20"/>
                <w:szCs w:val="20"/>
              </w:rPr>
              <w:t>- 147,4</w:t>
            </w:r>
          </w:p>
        </w:tc>
        <w:tc>
          <w:tcPr>
            <w:tcW w:w="1159"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20"/>
                <w:szCs w:val="20"/>
              </w:rPr>
            </w:pPr>
            <w:r w:rsidRPr="00467F9C">
              <w:rPr>
                <w:sz w:val="20"/>
                <w:szCs w:val="20"/>
              </w:rPr>
              <w:t>- 147,4</w:t>
            </w:r>
          </w:p>
        </w:tc>
        <w:tc>
          <w:tcPr>
            <w:tcW w:w="1452"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750BBE">
            <w:pPr>
              <w:ind w:left="-133" w:right="-61"/>
              <w:jc w:val="center"/>
              <w:rPr>
                <w:sz w:val="20"/>
                <w:szCs w:val="20"/>
              </w:rPr>
            </w:pPr>
            <w:r w:rsidRPr="00467F9C">
              <w:rPr>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5E541F" w:rsidRPr="00467F9C" w:rsidRDefault="005E541F" w:rsidP="008C1A12">
            <w:pPr>
              <w:ind w:left="-102" w:right="-114"/>
              <w:jc w:val="center"/>
              <w:rPr>
                <w:sz w:val="20"/>
                <w:szCs w:val="20"/>
              </w:rPr>
            </w:pPr>
            <w:r w:rsidRPr="00467F9C">
              <w:rPr>
                <w:sz w:val="20"/>
                <w:szCs w:val="20"/>
              </w:rPr>
              <w:t>0,0</w:t>
            </w:r>
          </w:p>
        </w:tc>
      </w:tr>
      <w:tr w:rsidR="005E541F" w:rsidRPr="00467F9C" w:rsidTr="00750BBE">
        <w:trPr>
          <w:trHeight w:val="72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0D6598">
            <w:pPr>
              <w:rPr>
                <w:sz w:val="20"/>
                <w:szCs w:val="20"/>
              </w:rPr>
            </w:pPr>
            <w:r w:rsidRPr="00467F9C">
              <w:rPr>
                <w:sz w:val="20"/>
                <w:szCs w:val="20"/>
              </w:rPr>
              <w:t xml:space="preserve">Возврат остатков субсидий, субвенций и иных межбюджетных трансфертов, имеющих целевое назначение, прошлых лет  </w:t>
            </w:r>
          </w:p>
        </w:tc>
        <w:tc>
          <w:tcPr>
            <w:tcW w:w="1257"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750BBE">
            <w:pPr>
              <w:ind w:left="-111" w:right="-165"/>
              <w:jc w:val="center"/>
              <w:rPr>
                <w:sz w:val="20"/>
                <w:szCs w:val="20"/>
              </w:rPr>
            </w:pPr>
            <w:r w:rsidRPr="00467F9C">
              <w:rPr>
                <w:sz w:val="20"/>
                <w:szCs w:val="20"/>
              </w:rPr>
              <w:t>- 20 387,3</w:t>
            </w:r>
          </w:p>
        </w:tc>
        <w:tc>
          <w:tcPr>
            <w:tcW w:w="1159"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20"/>
                <w:szCs w:val="20"/>
              </w:rPr>
            </w:pPr>
            <w:r w:rsidRPr="00467F9C">
              <w:rPr>
                <w:sz w:val="20"/>
                <w:szCs w:val="20"/>
              </w:rPr>
              <w:t>-19 712,3</w:t>
            </w:r>
          </w:p>
        </w:tc>
        <w:tc>
          <w:tcPr>
            <w:tcW w:w="1452"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750BBE">
            <w:pPr>
              <w:ind w:left="-133" w:right="-61"/>
              <w:jc w:val="center"/>
              <w:rPr>
                <w:sz w:val="20"/>
                <w:szCs w:val="20"/>
              </w:rPr>
            </w:pPr>
            <w:r w:rsidRPr="00467F9C">
              <w:rPr>
                <w:sz w:val="20"/>
                <w:szCs w:val="20"/>
              </w:rPr>
              <w:t>675,0</w:t>
            </w:r>
          </w:p>
        </w:tc>
        <w:tc>
          <w:tcPr>
            <w:tcW w:w="1418" w:type="dxa"/>
            <w:tcBorders>
              <w:top w:val="nil"/>
              <w:left w:val="nil"/>
              <w:bottom w:val="single" w:sz="4" w:space="0" w:color="auto"/>
              <w:right w:val="single" w:sz="4" w:space="0" w:color="auto"/>
            </w:tcBorders>
            <w:shd w:val="clear" w:color="auto" w:fill="auto"/>
            <w:noWrap/>
            <w:vAlign w:val="center"/>
            <w:hideMark/>
          </w:tcPr>
          <w:p w:rsidR="005E541F" w:rsidRPr="00467F9C" w:rsidRDefault="005E541F" w:rsidP="008C1A12">
            <w:pPr>
              <w:ind w:left="-102" w:right="-114"/>
              <w:jc w:val="center"/>
              <w:rPr>
                <w:sz w:val="20"/>
                <w:szCs w:val="20"/>
              </w:rPr>
            </w:pPr>
            <w:r w:rsidRPr="00467F9C">
              <w:rPr>
                <w:sz w:val="20"/>
                <w:szCs w:val="20"/>
              </w:rPr>
              <w:t>96,7</w:t>
            </w:r>
          </w:p>
        </w:tc>
      </w:tr>
    </w:tbl>
    <w:p w:rsidR="005E541F" w:rsidRPr="00467F9C" w:rsidRDefault="005E541F" w:rsidP="00191861">
      <w:pPr>
        <w:ind w:firstLine="709"/>
        <w:jc w:val="both"/>
        <w:rPr>
          <w:sz w:val="8"/>
          <w:szCs w:val="8"/>
        </w:rPr>
      </w:pPr>
    </w:p>
    <w:p w:rsidR="005E541F" w:rsidRPr="00467F9C" w:rsidRDefault="005E541F" w:rsidP="00191861">
      <w:pPr>
        <w:ind w:firstLine="709"/>
        <w:jc w:val="both"/>
        <w:rPr>
          <w:sz w:val="28"/>
          <w:szCs w:val="28"/>
        </w:rPr>
      </w:pPr>
      <w:r w:rsidRPr="00467F9C">
        <w:rPr>
          <w:sz w:val="28"/>
          <w:szCs w:val="28"/>
        </w:rPr>
        <w:t>В структуре администрируемых Фондом доходов наибольшую долю (99,3%) составляют безвозмездные поступления. Бюджетные назначения по данному виду источников доходов исполнены в объеме 3 576 819,7 тыс. рублей или 99,1% от утвержденных бюджетных назначений.</w:t>
      </w:r>
    </w:p>
    <w:p w:rsidR="005E541F" w:rsidRPr="00467F9C" w:rsidRDefault="005E541F" w:rsidP="00191861">
      <w:pPr>
        <w:ind w:firstLine="709"/>
        <w:jc w:val="both"/>
        <w:rPr>
          <w:sz w:val="28"/>
          <w:szCs w:val="28"/>
        </w:rPr>
      </w:pPr>
      <w:r w:rsidRPr="00467F9C">
        <w:rPr>
          <w:sz w:val="28"/>
          <w:szCs w:val="28"/>
        </w:rPr>
        <w:t>Налоговые и неналоговые доходы в структуре доходов бюджета Фонда составляют 0,7% и в отчетном периоде исполнены в объеме 26 101,6</w:t>
      </w:r>
      <w:r w:rsidRPr="00467F9C">
        <w:rPr>
          <w:bCs/>
          <w:sz w:val="28"/>
          <w:szCs w:val="28"/>
        </w:rPr>
        <w:t xml:space="preserve"> тыс. рублей (126,7%)</w:t>
      </w:r>
      <w:r w:rsidRPr="00467F9C">
        <w:rPr>
          <w:sz w:val="28"/>
          <w:szCs w:val="28"/>
        </w:rPr>
        <w:t>, в том числе: доходы от оказания платных услуг и компенсации затрат государства поступили в бюджет Фонда в объеме 21 274,0</w:t>
      </w:r>
      <w:r w:rsidRPr="00467F9C">
        <w:rPr>
          <w:sz w:val="18"/>
          <w:szCs w:val="18"/>
        </w:rPr>
        <w:t xml:space="preserve"> </w:t>
      </w:r>
      <w:r w:rsidRPr="00467F9C">
        <w:rPr>
          <w:sz w:val="28"/>
          <w:szCs w:val="28"/>
        </w:rPr>
        <w:t xml:space="preserve">тыс. рублей и превысили плановые бюджетные назначения по данному виду источников доходов на 1 679,2 тыс. рублей или на 29,4%; доходы от штрафов, санкций, возмещения ущерба </w:t>
      </w:r>
      <w:r w:rsidRPr="00467F9C">
        <w:rPr>
          <w:sz w:val="28"/>
          <w:szCs w:val="28"/>
        </w:rPr>
        <w:lastRenderedPageBreak/>
        <w:t>поступили в бюджет Фонда в объеме 4 827,5 тыс. рублей и превысили плановые назначения  на 659,1 тыс. рублей или на 15,8%.</w:t>
      </w:r>
    </w:p>
    <w:p w:rsidR="005E541F" w:rsidRPr="00467F9C" w:rsidRDefault="005E541F" w:rsidP="00191861">
      <w:pPr>
        <w:autoSpaceDE w:val="0"/>
        <w:autoSpaceDN w:val="0"/>
        <w:adjustRightInd w:val="0"/>
        <w:ind w:firstLine="708"/>
        <w:jc w:val="both"/>
        <w:rPr>
          <w:sz w:val="28"/>
          <w:szCs w:val="28"/>
        </w:rPr>
      </w:pPr>
      <w:r w:rsidRPr="00467F9C">
        <w:rPr>
          <w:sz w:val="28"/>
          <w:szCs w:val="28"/>
        </w:rPr>
        <w:t>В 2021 году Фондом в соответствии со статьей 242 Бюджетного кодекса возвращены в доход соответствующих бюджетов остатки субсидий, субвенций и иных межбюджетных трансфертов, имеющих целевое назначение, прошлых лет, в общей сумме 19 712,3 тыс. рублей.</w:t>
      </w:r>
    </w:p>
    <w:p w:rsidR="005E541F" w:rsidRPr="00467F9C" w:rsidRDefault="005E541F" w:rsidP="00191861">
      <w:pPr>
        <w:autoSpaceDE w:val="0"/>
        <w:autoSpaceDN w:val="0"/>
        <w:adjustRightInd w:val="0"/>
        <w:jc w:val="both"/>
        <w:rPr>
          <w:sz w:val="28"/>
          <w:szCs w:val="28"/>
        </w:rPr>
      </w:pPr>
      <w:r w:rsidRPr="00467F9C">
        <w:rPr>
          <w:sz w:val="28"/>
          <w:szCs w:val="28"/>
        </w:rPr>
        <w:tab/>
        <w:t>Первоначально Законом о бюджете Фонда на 2021 год расходы были утверждены в объеме 3 428 723,5 тыс. рублей. В результате внесенных изменений бюджетные ассигнования увеличены на 202 369,4 тыс. рублей и на дату последнего уточнения составили 3 661 732,9 тыс. рублей.</w:t>
      </w:r>
    </w:p>
    <w:p w:rsidR="005E541F" w:rsidRPr="00467F9C" w:rsidRDefault="005E541F" w:rsidP="00191861">
      <w:pPr>
        <w:ind w:firstLine="709"/>
        <w:jc w:val="both"/>
        <w:rPr>
          <w:sz w:val="28"/>
          <w:szCs w:val="28"/>
        </w:rPr>
      </w:pPr>
      <w:bookmarkStart w:id="4" w:name="_Hlk70779512"/>
      <w:r w:rsidRPr="00467F9C">
        <w:rPr>
          <w:sz w:val="28"/>
          <w:szCs w:val="28"/>
        </w:rPr>
        <w:t xml:space="preserve">Бюджетные ассигнования в представленной к проверке отчетности соответствуют показателям, отраженным в СБР, и составляют 3 676 493,0 тыс. рублей, при этом на 14 760,1 тыс. рублей превышают ассигнования, утвержденные Законом о бюджете Фонда на 2021 год </w:t>
      </w:r>
      <w:bookmarkStart w:id="5" w:name="_Hlk70665470"/>
      <w:r w:rsidRPr="00467F9C">
        <w:rPr>
          <w:sz w:val="28"/>
          <w:szCs w:val="28"/>
        </w:rPr>
        <w:t xml:space="preserve">(в редакции от 13 декабря 2021 года </w:t>
      </w:r>
      <w:r w:rsidR="008C1A12">
        <w:rPr>
          <w:sz w:val="28"/>
          <w:szCs w:val="28"/>
        </w:rPr>
        <w:t xml:space="preserve">                     </w:t>
      </w:r>
      <w:r w:rsidRPr="00467F9C">
        <w:rPr>
          <w:sz w:val="28"/>
          <w:szCs w:val="28"/>
        </w:rPr>
        <w:t>№81-ОЗ)</w:t>
      </w:r>
      <w:bookmarkEnd w:id="5"/>
      <w:r w:rsidRPr="00467F9C">
        <w:rPr>
          <w:sz w:val="28"/>
          <w:szCs w:val="28"/>
        </w:rPr>
        <w:t xml:space="preserve">. </w:t>
      </w:r>
      <w:bookmarkStart w:id="6" w:name="_Hlk38374740"/>
      <w:r w:rsidRPr="00467F9C">
        <w:rPr>
          <w:sz w:val="28"/>
          <w:szCs w:val="28"/>
        </w:rPr>
        <w:t>Расхождение в плановых назначениях связано с поступлением иных межбюджетных трансфертов из окружного бюджета в сумме 14 760,1 тыс. рублей. В соответствии со ст. 217 Бюджетного кодекса данные изменения внесены в СБР без внесения изменений в Закон о бюджете Фонда.</w:t>
      </w:r>
    </w:p>
    <w:p w:rsidR="005E541F" w:rsidRPr="00467F9C" w:rsidRDefault="005E541F" w:rsidP="00191861">
      <w:pPr>
        <w:pStyle w:val="a3"/>
        <w:tabs>
          <w:tab w:val="left" w:pos="720"/>
          <w:tab w:val="left" w:pos="2700"/>
          <w:tab w:val="left" w:pos="3060"/>
        </w:tabs>
        <w:ind w:firstLine="709"/>
        <w:jc w:val="both"/>
        <w:rPr>
          <w:b w:val="0"/>
        </w:rPr>
      </w:pPr>
      <w:bookmarkStart w:id="7" w:name="_Hlk70779689"/>
      <w:bookmarkEnd w:id="4"/>
      <w:bookmarkEnd w:id="6"/>
      <w:r w:rsidRPr="00467F9C">
        <w:rPr>
          <w:b w:val="0"/>
        </w:rPr>
        <w:t xml:space="preserve">В отчетном периоде основная доля средств Фонда – 96,0% направлена на реализацию </w:t>
      </w:r>
      <w:proofErr w:type="spellStart"/>
      <w:r w:rsidRPr="00467F9C">
        <w:rPr>
          <w:b w:val="0"/>
        </w:rPr>
        <w:t>Терпрограммы</w:t>
      </w:r>
      <w:proofErr w:type="spellEnd"/>
      <w:r w:rsidRPr="00467F9C">
        <w:rPr>
          <w:b w:val="0"/>
        </w:rPr>
        <w:t xml:space="preserve"> ОМС в рамках базовой и сверх базовой программы ОМС; </w:t>
      </w:r>
      <w:r w:rsidRPr="00467F9C">
        <w:rPr>
          <w:b w:val="0"/>
          <w:iCs/>
        </w:rPr>
        <w:t xml:space="preserve">2,7% – на </w:t>
      </w:r>
      <w:r w:rsidRPr="00467F9C">
        <w:rPr>
          <w:b w:val="0"/>
        </w:rPr>
        <w:t>финансовое обеспечение н</w:t>
      </w:r>
      <w:r w:rsidRPr="00467F9C">
        <w:rPr>
          <w:b w:val="0"/>
          <w:iCs/>
        </w:rPr>
        <w:t xml:space="preserve">епрограммных направлений деятельности Фонда; </w:t>
      </w:r>
      <w:r w:rsidRPr="00467F9C">
        <w:rPr>
          <w:b w:val="0"/>
        </w:rPr>
        <w:t xml:space="preserve">1,3% – </w:t>
      </w:r>
      <w:r w:rsidRPr="00467F9C">
        <w:rPr>
          <w:b w:val="0"/>
          <w:iCs/>
        </w:rPr>
        <w:t xml:space="preserve">на </w:t>
      </w:r>
      <w:r w:rsidRPr="00467F9C">
        <w:rPr>
          <w:b w:val="0"/>
        </w:rPr>
        <w:t xml:space="preserve">выполнение функций аппаратом Фонда.  </w:t>
      </w:r>
    </w:p>
    <w:p w:rsidR="005E541F" w:rsidRPr="00467F9C" w:rsidRDefault="005E541F" w:rsidP="00191861">
      <w:pPr>
        <w:ind w:firstLine="708"/>
        <w:jc w:val="both"/>
        <w:rPr>
          <w:sz w:val="28"/>
          <w:szCs w:val="28"/>
        </w:rPr>
      </w:pPr>
      <w:r w:rsidRPr="00467F9C">
        <w:rPr>
          <w:sz w:val="28"/>
          <w:szCs w:val="28"/>
        </w:rPr>
        <w:t xml:space="preserve">Информация об исполнении бюджетных назначений по </w:t>
      </w:r>
      <w:r w:rsidRPr="00467F9C">
        <w:rPr>
          <w:b/>
          <w:sz w:val="28"/>
          <w:szCs w:val="28"/>
        </w:rPr>
        <w:t xml:space="preserve">расходам </w:t>
      </w:r>
      <w:r w:rsidRPr="00467F9C">
        <w:rPr>
          <w:sz w:val="28"/>
          <w:szCs w:val="28"/>
        </w:rPr>
        <w:t>бюджета Фонда в 2021 году на основании показателей, отраженных в форме 0503127 «Отчет об исполнении бюджета», приведена в таблице №5.</w:t>
      </w:r>
    </w:p>
    <w:p w:rsidR="005E541F" w:rsidRPr="00467F9C" w:rsidRDefault="005E541F" w:rsidP="00191861">
      <w:pPr>
        <w:ind w:firstLine="708"/>
        <w:jc w:val="right"/>
        <w:rPr>
          <w:sz w:val="28"/>
          <w:szCs w:val="28"/>
        </w:rPr>
      </w:pPr>
      <w:r w:rsidRPr="00467F9C">
        <w:rPr>
          <w:sz w:val="28"/>
          <w:szCs w:val="28"/>
        </w:rPr>
        <w:t>Таблица 5 (тыс. рублей)</w:t>
      </w:r>
    </w:p>
    <w:tbl>
      <w:tblPr>
        <w:tblW w:w="9892" w:type="dxa"/>
        <w:tblInd w:w="-5" w:type="dxa"/>
        <w:tblLook w:val="04A0" w:firstRow="1" w:lastRow="0" w:firstColumn="1" w:lastColumn="0" w:noHBand="0" w:noVBand="1"/>
      </w:tblPr>
      <w:tblGrid>
        <w:gridCol w:w="4962"/>
        <w:gridCol w:w="1134"/>
        <w:gridCol w:w="1221"/>
        <w:gridCol w:w="1356"/>
        <w:gridCol w:w="1219"/>
      </w:tblGrid>
      <w:tr w:rsidR="005E541F" w:rsidRPr="00467F9C" w:rsidTr="00750BBE">
        <w:trPr>
          <w:trHeight w:val="517"/>
          <w:tblHeader/>
        </w:trPr>
        <w:tc>
          <w:tcPr>
            <w:tcW w:w="49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541F" w:rsidRPr="00467F9C" w:rsidRDefault="005E541F" w:rsidP="00750BBE">
            <w:pPr>
              <w:ind w:left="-116"/>
              <w:jc w:val="center"/>
              <w:rPr>
                <w:sz w:val="18"/>
                <w:szCs w:val="18"/>
              </w:rPr>
            </w:pPr>
            <w:r w:rsidRPr="00467F9C">
              <w:rPr>
                <w:sz w:val="18"/>
                <w:szCs w:val="18"/>
              </w:rPr>
              <w:t xml:space="preserve">Утверждены </w:t>
            </w:r>
            <w:r w:rsidR="00750BBE">
              <w:rPr>
                <w:sz w:val="18"/>
                <w:szCs w:val="18"/>
              </w:rPr>
              <w:t xml:space="preserve">  </w:t>
            </w:r>
            <w:r w:rsidRPr="00467F9C">
              <w:rPr>
                <w:sz w:val="18"/>
                <w:szCs w:val="18"/>
              </w:rPr>
              <w:t>бюджетные назначения (СБР)</w:t>
            </w:r>
          </w:p>
        </w:tc>
        <w:tc>
          <w:tcPr>
            <w:tcW w:w="12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 xml:space="preserve">Исполнено </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541F" w:rsidRPr="00467F9C" w:rsidRDefault="005E541F" w:rsidP="00750BBE">
            <w:pPr>
              <w:ind w:left="-92" w:right="-101"/>
              <w:jc w:val="center"/>
              <w:rPr>
                <w:sz w:val="18"/>
                <w:szCs w:val="18"/>
              </w:rPr>
            </w:pPr>
            <w:r w:rsidRPr="00467F9C">
              <w:rPr>
                <w:sz w:val="18"/>
                <w:szCs w:val="18"/>
              </w:rPr>
              <w:t xml:space="preserve">Неисполненные назначения  </w:t>
            </w:r>
            <w:proofErr w:type="gramStart"/>
            <w:r w:rsidRPr="00467F9C">
              <w:rPr>
                <w:sz w:val="18"/>
                <w:szCs w:val="18"/>
              </w:rPr>
              <w:t xml:space="preserve">   (</w:t>
            </w:r>
            <w:proofErr w:type="gramEnd"/>
            <w:r w:rsidRPr="00467F9C">
              <w:rPr>
                <w:sz w:val="18"/>
                <w:szCs w:val="18"/>
              </w:rPr>
              <w:t xml:space="preserve">гр.3-гр.2) </w:t>
            </w:r>
          </w:p>
        </w:tc>
        <w:tc>
          <w:tcPr>
            <w:tcW w:w="12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0BBE" w:rsidRDefault="005E541F" w:rsidP="00750BBE">
            <w:pPr>
              <w:ind w:left="-18" w:right="-30" w:hanging="142"/>
              <w:jc w:val="center"/>
              <w:rPr>
                <w:sz w:val="18"/>
                <w:szCs w:val="18"/>
              </w:rPr>
            </w:pPr>
            <w:r w:rsidRPr="00467F9C">
              <w:rPr>
                <w:sz w:val="18"/>
                <w:szCs w:val="18"/>
              </w:rPr>
              <w:t>Исполнение,</w:t>
            </w:r>
          </w:p>
          <w:p w:rsidR="005E541F" w:rsidRPr="00467F9C" w:rsidRDefault="005E541F" w:rsidP="00750BBE">
            <w:pPr>
              <w:ind w:left="-18" w:right="-30" w:hanging="142"/>
              <w:jc w:val="center"/>
              <w:rPr>
                <w:sz w:val="18"/>
                <w:szCs w:val="18"/>
              </w:rPr>
            </w:pPr>
            <w:r w:rsidRPr="00467F9C">
              <w:rPr>
                <w:sz w:val="18"/>
                <w:szCs w:val="18"/>
              </w:rPr>
              <w:t xml:space="preserve"> % (гр.3/гр.2)</w:t>
            </w:r>
          </w:p>
        </w:tc>
      </w:tr>
      <w:tr w:rsidR="005E541F" w:rsidRPr="00467F9C" w:rsidTr="00750BBE">
        <w:trPr>
          <w:trHeight w:val="517"/>
          <w:tblHeader/>
        </w:trPr>
        <w:tc>
          <w:tcPr>
            <w:tcW w:w="4962" w:type="dxa"/>
            <w:vMerge/>
            <w:tcBorders>
              <w:top w:val="single" w:sz="4" w:space="0" w:color="auto"/>
              <w:left w:val="single" w:sz="4" w:space="0" w:color="auto"/>
              <w:bottom w:val="single" w:sz="4" w:space="0" w:color="000000"/>
              <w:right w:val="single" w:sz="4" w:space="0" w:color="auto"/>
            </w:tcBorders>
            <w:vAlign w:val="center"/>
            <w:hideMark/>
          </w:tcPr>
          <w:p w:rsidR="005E541F" w:rsidRPr="00467F9C" w:rsidRDefault="005E541F" w:rsidP="00191861">
            <w:pP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E541F" w:rsidRPr="00467F9C" w:rsidRDefault="005E541F" w:rsidP="00750BBE">
            <w:pPr>
              <w:ind w:left="-116" w:right="-216"/>
              <w:rPr>
                <w:sz w:val="18"/>
                <w:szCs w:val="18"/>
              </w:rPr>
            </w:pPr>
          </w:p>
        </w:tc>
        <w:tc>
          <w:tcPr>
            <w:tcW w:w="1221" w:type="dxa"/>
            <w:vMerge/>
            <w:tcBorders>
              <w:top w:val="single" w:sz="4" w:space="0" w:color="auto"/>
              <w:left w:val="single" w:sz="4" w:space="0" w:color="auto"/>
              <w:bottom w:val="single" w:sz="4" w:space="0" w:color="000000"/>
              <w:right w:val="single" w:sz="4" w:space="0" w:color="auto"/>
            </w:tcBorders>
            <w:vAlign w:val="center"/>
            <w:hideMark/>
          </w:tcPr>
          <w:p w:rsidR="005E541F" w:rsidRPr="00467F9C" w:rsidRDefault="005E541F" w:rsidP="00191861">
            <w:pPr>
              <w:rPr>
                <w:sz w:val="18"/>
                <w:szCs w:val="18"/>
              </w:rPr>
            </w:pPr>
          </w:p>
        </w:tc>
        <w:tc>
          <w:tcPr>
            <w:tcW w:w="1356" w:type="dxa"/>
            <w:vMerge/>
            <w:tcBorders>
              <w:top w:val="single" w:sz="4" w:space="0" w:color="auto"/>
              <w:left w:val="single" w:sz="4" w:space="0" w:color="auto"/>
              <w:bottom w:val="single" w:sz="4" w:space="0" w:color="auto"/>
              <w:right w:val="single" w:sz="4" w:space="0" w:color="auto"/>
            </w:tcBorders>
            <w:vAlign w:val="center"/>
            <w:hideMark/>
          </w:tcPr>
          <w:p w:rsidR="005E541F" w:rsidRPr="00467F9C" w:rsidRDefault="005E541F" w:rsidP="00750BBE">
            <w:pPr>
              <w:ind w:left="-92" w:right="-101"/>
              <w:rPr>
                <w:sz w:val="18"/>
                <w:szCs w:val="18"/>
              </w:rPr>
            </w:pPr>
          </w:p>
        </w:tc>
        <w:tc>
          <w:tcPr>
            <w:tcW w:w="1219" w:type="dxa"/>
            <w:vMerge/>
            <w:tcBorders>
              <w:top w:val="single" w:sz="4" w:space="0" w:color="auto"/>
              <w:left w:val="single" w:sz="4" w:space="0" w:color="auto"/>
              <w:bottom w:val="single" w:sz="4" w:space="0" w:color="000000"/>
              <w:right w:val="single" w:sz="4" w:space="0" w:color="auto"/>
            </w:tcBorders>
            <w:vAlign w:val="center"/>
            <w:hideMark/>
          </w:tcPr>
          <w:p w:rsidR="005E541F" w:rsidRPr="00467F9C" w:rsidRDefault="005E541F" w:rsidP="00750BBE">
            <w:pPr>
              <w:ind w:left="-18" w:right="-30" w:hanging="142"/>
              <w:rPr>
                <w:sz w:val="18"/>
                <w:szCs w:val="18"/>
              </w:rPr>
            </w:pPr>
          </w:p>
        </w:tc>
      </w:tr>
      <w:tr w:rsidR="005E541F" w:rsidRPr="00467F9C" w:rsidTr="00750BBE">
        <w:trPr>
          <w:trHeight w:val="109"/>
          <w:tblHeader/>
        </w:trPr>
        <w:tc>
          <w:tcPr>
            <w:tcW w:w="4962" w:type="dxa"/>
            <w:tcBorders>
              <w:top w:val="nil"/>
              <w:left w:val="single" w:sz="4" w:space="0" w:color="auto"/>
              <w:bottom w:val="single" w:sz="4" w:space="0" w:color="auto"/>
              <w:right w:val="single" w:sz="4" w:space="0" w:color="auto"/>
            </w:tcBorders>
            <w:shd w:val="clear" w:color="auto" w:fill="auto"/>
            <w:hideMark/>
          </w:tcPr>
          <w:p w:rsidR="005E541F" w:rsidRPr="00467F9C" w:rsidRDefault="005E541F" w:rsidP="00191861">
            <w:pPr>
              <w:jc w:val="center"/>
              <w:rPr>
                <w:sz w:val="18"/>
                <w:szCs w:val="18"/>
              </w:rPr>
            </w:pPr>
            <w:r w:rsidRPr="00467F9C">
              <w:rPr>
                <w:sz w:val="18"/>
                <w:szCs w:val="18"/>
              </w:rPr>
              <w:t>1</w:t>
            </w:r>
          </w:p>
        </w:tc>
        <w:tc>
          <w:tcPr>
            <w:tcW w:w="1134" w:type="dxa"/>
            <w:tcBorders>
              <w:top w:val="nil"/>
              <w:left w:val="nil"/>
              <w:bottom w:val="single" w:sz="4" w:space="0" w:color="auto"/>
              <w:right w:val="single" w:sz="4" w:space="0" w:color="auto"/>
            </w:tcBorders>
            <w:shd w:val="clear" w:color="auto" w:fill="auto"/>
            <w:hideMark/>
          </w:tcPr>
          <w:p w:rsidR="005E541F" w:rsidRPr="00467F9C" w:rsidRDefault="005E541F" w:rsidP="00750BBE">
            <w:pPr>
              <w:ind w:left="-116" w:right="-216"/>
              <w:jc w:val="center"/>
              <w:rPr>
                <w:sz w:val="18"/>
                <w:szCs w:val="18"/>
              </w:rPr>
            </w:pPr>
            <w:r w:rsidRPr="00467F9C">
              <w:rPr>
                <w:sz w:val="18"/>
                <w:szCs w:val="18"/>
              </w:rPr>
              <w:t>2</w:t>
            </w:r>
          </w:p>
        </w:tc>
        <w:tc>
          <w:tcPr>
            <w:tcW w:w="1221" w:type="dxa"/>
            <w:tcBorders>
              <w:top w:val="nil"/>
              <w:left w:val="nil"/>
              <w:bottom w:val="single" w:sz="4" w:space="0" w:color="auto"/>
              <w:right w:val="single" w:sz="4" w:space="0" w:color="auto"/>
            </w:tcBorders>
            <w:shd w:val="clear" w:color="auto" w:fill="auto"/>
            <w:hideMark/>
          </w:tcPr>
          <w:p w:rsidR="005E541F" w:rsidRPr="00467F9C" w:rsidRDefault="005E541F" w:rsidP="00191861">
            <w:pPr>
              <w:jc w:val="center"/>
              <w:rPr>
                <w:sz w:val="18"/>
                <w:szCs w:val="18"/>
              </w:rPr>
            </w:pPr>
            <w:r w:rsidRPr="00467F9C">
              <w:rPr>
                <w:sz w:val="18"/>
                <w:szCs w:val="18"/>
              </w:rPr>
              <w:t>3</w:t>
            </w:r>
          </w:p>
        </w:tc>
        <w:tc>
          <w:tcPr>
            <w:tcW w:w="1356" w:type="dxa"/>
            <w:tcBorders>
              <w:top w:val="nil"/>
              <w:left w:val="nil"/>
              <w:bottom w:val="single" w:sz="4" w:space="0" w:color="auto"/>
              <w:right w:val="single" w:sz="4" w:space="0" w:color="auto"/>
            </w:tcBorders>
            <w:shd w:val="clear" w:color="auto" w:fill="auto"/>
            <w:hideMark/>
          </w:tcPr>
          <w:p w:rsidR="005E541F" w:rsidRPr="00467F9C" w:rsidRDefault="005E541F" w:rsidP="00750BBE">
            <w:pPr>
              <w:ind w:left="-92" w:right="-101"/>
              <w:jc w:val="center"/>
              <w:rPr>
                <w:sz w:val="18"/>
                <w:szCs w:val="18"/>
              </w:rPr>
            </w:pPr>
            <w:r w:rsidRPr="00467F9C">
              <w:rPr>
                <w:sz w:val="18"/>
                <w:szCs w:val="18"/>
              </w:rPr>
              <w:t>4</w:t>
            </w:r>
          </w:p>
        </w:tc>
        <w:tc>
          <w:tcPr>
            <w:tcW w:w="1219" w:type="dxa"/>
            <w:tcBorders>
              <w:top w:val="nil"/>
              <w:left w:val="nil"/>
              <w:bottom w:val="single" w:sz="4" w:space="0" w:color="auto"/>
              <w:right w:val="single" w:sz="4" w:space="0" w:color="auto"/>
            </w:tcBorders>
            <w:shd w:val="clear" w:color="auto" w:fill="auto"/>
            <w:hideMark/>
          </w:tcPr>
          <w:p w:rsidR="005E541F" w:rsidRPr="00467F9C" w:rsidRDefault="005E541F" w:rsidP="00750BBE">
            <w:pPr>
              <w:ind w:left="-18" w:right="-30" w:hanging="142"/>
              <w:jc w:val="center"/>
              <w:rPr>
                <w:sz w:val="18"/>
                <w:szCs w:val="18"/>
              </w:rPr>
            </w:pPr>
            <w:r w:rsidRPr="00467F9C">
              <w:rPr>
                <w:sz w:val="18"/>
                <w:szCs w:val="18"/>
              </w:rPr>
              <w:t>5</w:t>
            </w:r>
          </w:p>
        </w:tc>
      </w:tr>
      <w:tr w:rsidR="005E541F" w:rsidRPr="00467F9C" w:rsidTr="00750BBE">
        <w:trPr>
          <w:trHeight w:val="358"/>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5E541F" w:rsidRPr="00635214" w:rsidRDefault="005E541F" w:rsidP="00191861">
            <w:pPr>
              <w:rPr>
                <w:b/>
                <w:bCs/>
                <w:sz w:val="20"/>
                <w:szCs w:val="20"/>
              </w:rPr>
            </w:pPr>
            <w:r w:rsidRPr="00635214">
              <w:rPr>
                <w:b/>
                <w:bCs/>
                <w:sz w:val="20"/>
                <w:szCs w:val="20"/>
              </w:rPr>
              <w:t>РАСХОДЫ</w:t>
            </w:r>
          </w:p>
        </w:tc>
        <w:tc>
          <w:tcPr>
            <w:tcW w:w="1134"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750BBE">
            <w:pPr>
              <w:ind w:left="-116" w:right="-216"/>
              <w:jc w:val="center"/>
              <w:rPr>
                <w:b/>
                <w:bCs/>
                <w:sz w:val="20"/>
                <w:szCs w:val="20"/>
              </w:rPr>
            </w:pPr>
            <w:r w:rsidRPr="00635214">
              <w:rPr>
                <w:b/>
                <w:bCs/>
                <w:sz w:val="20"/>
                <w:szCs w:val="20"/>
              </w:rPr>
              <w:t>3 676 493,0</w:t>
            </w:r>
          </w:p>
        </w:tc>
        <w:tc>
          <w:tcPr>
            <w:tcW w:w="1221"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191861">
            <w:pPr>
              <w:jc w:val="center"/>
              <w:rPr>
                <w:b/>
                <w:bCs/>
                <w:sz w:val="20"/>
                <w:szCs w:val="20"/>
              </w:rPr>
            </w:pPr>
            <w:r w:rsidRPr="00635214">
              <w:rPr>
                <w:b/>
                <w:bCs/>
                <w:sz w:val="20"/>
                <w:szCs w:val="20"/>
              </w:rPr>
              <w:t>3 488 740,5</w:t>
            </w:r>
          </w:p>
        </w:tc>
        <w:tc>
          <w:tcPr>
            <w:tcW w:w="1356"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750BBE">
            <w:pPr>
              <w:ind w:left="-92" w:right="-101"/>
              <w:jc w:val="center"/>
              <w:rPr>
                <w:b/>
                <w:bCs/>
                <w:sz w:val="20"/>
                <w:szCs w:val="20"/>
              </w:rPr>
            </w:pPr>
            <w:r w:rsidRPr="00635214">
              <w:rPr>
                <w:b/>
                <w:bCs/>
                <w:sz w:val="20"/>
                <w:szCs w:val="20"/>
              </w:rPr>
              <w:t>- 187 752,5</w:t>
            </w:r>
          </w:p>
        </w:tc>
        <w:tc>
          <w:tcPr>
            <w:tcW w:w="1219"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750BBE">
            <w:pPr>
              <w:ind w:left="-18" w:right="-30" w:hanging="142"/>
              <w:jc w:val="center"/>
              <w:rPr>
                <w:b/>
                <w:bCs/>
                <w:sz w:val="20"/>
                <w:szCs w:val="20"/>
              </w:rPr>
            </w:pPr>
            <w:r w:rsidRPr="00635214">
              <w:rPr>
                <w:b/>
                <w:bCs/>
                <w:sz w:val="20"/>
                <w:szCs w:val="20"/>
              </w:rPr>
              <w:t>94,9</w:t>
            </w:r>
          </w:p>
        </w:tc>
      </w:tr>
      <w:tr w:rsidR="005E541F" w:rsidRPr="00467F9C" w:rsidTr="00750BBE">
        <w:trPr>
          <w:trHeight w:val="276"/>
        </w:trPr>
        <w:tc>
          <w:tcPr>
            <w:tcW w:w="4962" w:type="dxa"/>
            <w:tcBorders>
              <w:top w:val="nil"/>
              <w:left w:val="single" w:sz="4" w:space="0" w:color="auto"/>
              <w:bottom w:val="single" w:sz="4" w:space="0" w:color="auto"/>
              <w:right w:val="single" w:sz="4" w:space="0" w:color="auto"/>
            </w:tcBorders>
            <w:shd w:val="clear" w:color="000000" w:fill="E7E6E6"/>
            <w:vAlign w:val="center"/>
            <w:hideMark/>
          </w:tcPr>
          <w:p w:rsidR="005E541F" w:rsidRPr="00635214" w:rsidRDefault="005E541F" w:rsidP="004438D2">
            <w:pPr>
              <w:ind w:right="-109"/>
              <w:rPr>
                <w:b/>
                <w:bCs/>
                <w:sz w:val="20"/>
                <w:szCs w:val="20"/>
              </w:rPr>
            </w:pPr>
            <w:r w:rsidRPr="00635214">
              <w:rPr>
                <w:b/>
                <w:bCs/>
                <w:sz w:val="20"/>
                <w:szCs w:val="20"/>
              </w:rPr>
              <w:t>Общегосударственные вопросы</w:t>
            </w:r>
          </w:p>
        </w:tc>
        <w:tc>
          <w:tcPr>
            <w:tcW w:w="1134" w:type="dxa"/>
            <w:tcBorders>
              <w:top w:val="nil"/>
              <w:left w:val="nil"/>
              <w:bottom w:val="single" w:sz="4" w:space="0" w:color="auto"/>
              <w:right w:val="single" w:sz="4" w:space="0" w:color="auto"/>
            </w:tcBorders>
            <w:shd w:val="clear" w:color="000000" w:fill="E7E6E6"/>
            <w:vAlign w:val="center"/>
            <w:hideMark/>
          </w:tcPr>
          <w:p w:rsidR="005E541F" w:rsidRPr="00635214" w:rsidRDefault="005E541F" w:rsidP="00750BBE">
            <w:pPr>
              <w:ind w:left="-116" w:right="-216"/>
              <w:jc w:val="center"/>
              <w:rPr>
                <w:b/>
                <w:bCs/>
                <w:sz w:val="20"/>
                <w:szCs w:val="20"/>
              </w:rPr>
            </w:pPr>
            <w:r w:rsidRPr="00635214">
              <w:rPr>
                <w:b/>
                <w:bCs/>
                <w:sz w:val="20"/>
                <w:szCs w:val="20"/>
              </w:rPr>
              <w:t>47 454,2</w:t>
            </w:r>
          </w:p>
        </w:tc>
        <w:tc>
          <w:tcPr>
            <w:tcW w:w="1221" w:type="dxa"/>
            <w:tcBorders>
              <w:top w:val="nil"/>
              <w:left w:val="nil"/>
              <w:bottom w:val="single" w:sz="4" w:space="0" w:color="auto"/>
              <w:right w:val="single" w:sz="4" w:space="0" w:color="auto"/>
            </w:tcBorders>
            <w:shd w:val="clear" w:color="auto" w:fill="E7E6E6"/>
            <w:vAlign w:val="center"/>
            <w:hideMark/>
          </w:tcPr>
          <w:p w:rsidR="005E541F" w:rsidRPr="00635214" w:rsidRDefault="005E541F" w:rsidP="00191861">
            <w:pPr>
              <w:jc w:val="center"/>
              <w:rPr>
                <w:b/>
                <w:bCs/>
                <w:sz w:val="20"/>
                <w:szCs w:val="20"/>
              </w:rPr>
            </w:pPr>
            <w:r w:rsidRPr="00635214">
              <w:rPr>
                <w:b/>
                <w:bCs/>
                <w:sz w:val="20"/>
                <w:szCs w:val="20"/>
              </w:rPr>
              <w:t>45 512,5</w:t>
            </w:r>
          </w:p>
        </w:tc>
        <w:tc>
          <w:tcPr>
            <w:tcW w:w="1356" w:type="dxa"/>
            <w:tcBorders>
              <w:top w:val="nil"/>
              <w:left w:val="nil"/>
              <w:bottom w:val="single" w:sz="4" w:space="0" w:color="auto"/>
              <w:right w:val="single" w:sz="4" w:space="0" w:color="auto"/>
            </w:tcBorders>
            <w:shd w:val="clear" w:color="auto" w:fill="E7E6E6"/>
            <w:vAlign w:val="center"/>
            <w:hideMark/>
          </w:tcPr>
          <w:p w:rsidR="005E541F" w:rsidRPr="00635214" w:rsidRDefault="005E541F" w:rsidP="00750BBE">
            <w:pPr>
              <w:ind w:left="-92" w:right="-101"/>
              <w:jc w:val="center"/>
              <w:rPr>
                <w:b/>
                <w:bCs/>
                <w:sz w:val="20"/>
                <w:szCs w:val="20"/>
              </w:rPr>
            </w:pPr>
            <w:r w:rsidRPr="00635214">
              <w:rPr>
                <w:b/>
                <w:bCs/>
                <w:sz w:val="20"/>
                <w:szCs w:val="20"/>
              </w:rPr>
              <w:t>- 1 941,7</w:t>
            </w:r>
          </w:p>
        </w:tc>
        <w:tc>
          <w:tcPr>
            <w:tcW w:w="1219" w:type="dxa"/>
            <w:tcBorders>
              <w:top w:val="nil"/>
              <w:left w:val="nil"/>
              <w:bottom w:val="single" w:sz="4" w:space="0" w:color="auto"/>
              <w:right w:val="single" w:sz="4" w:space="0" w:color="auto"/>
            </w:tcBorders>
            <w:shd w:val="clear" w:color="000000" w:fill="E7E6E6"/>
            <w:vAlign w:val="center"/>
            <w:hideMark/>
          </w:tcPr>
          <w:p w:rsidR="005E541F" w:rsidRPr="00635214" w:rsidRDefault="005E541F" w:rsidP="00750BBE">
            <w:pPr>
              <w:ind w:left="-18" w:right="-30" w:hanging="142"/>
              <w:jc w:val="center"/>
              <w:rPr>
                <w:b/>
                <w:bCs/>
                <w:sz w:val="20"/>
                <w:szCs w:val="20"/>
              </w:rPr>
            </w:pPr>
            <w:r w:rsidRPr="00635214">
              <w:rPr>
                <w:b/>
                <w:bCs/>
                <w:sz w:val="20"/>
                <w:szCs w:val="20"/>
              </w:rPr>
              <w:t>95,9</w:t>
            </w:r>
          </w:p>
        </w:tc>
      </w:tr>
      <w:tr w:rsidR="005E541F" w:rsidRPr="00467F9C" w:rsidTr="00750BBE">
        <w:trPr>
          <w:trHeight w:val="1119"/>
        </w:trPr>
        <w:tc>
          <w:tcPr>
            <w:tcW w:w="4962" w:type="dxa"/>
            <w:tcBorders>
              <w:top w:val="nil"/>
              <w:left w:val="single" w:sz="4" w:space="0" w:color="auto"/>
              <w:bottom w:val="single" w:sz="4" w:space="0" w:color="auto"/>
              <w:right w:val="single" w:sz="4" w:space="0" w:color="auto"/>
            </w:tcBorders>
            <w:shd w:val="clear" w:color="000000" w:fill="FFFFFF"/>
            <w:vAlign w:val="center"/>
            <w:hideMark/>
          </w:tcPr>
          <w:p w:rsidR="005E541F" w:rsidRPr="00BB5C29" w:rsidRDefault="005E541F" w:rsidP="004438D2">
            <w:pPr>
              <w:ind w:right="-109"/>
              <w:rPr>
                <w:sz w:val="19"/>
                <w:szCs w:val="19"/>
              </w:rPr>
            </w:pPr>
            <w:r w:rsidRPr="00BB5C29">
              <w:rPr>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750BBE">
            <w:pPr>
              <w:ind w:left="-116" w:right="-216"/>
              <w:jc w:val="center"/>
              <w:rPr>
                <w:sz w:val="20"/>
                <w:szCs w:val="20"/>
              </w:rPr>
            </w:pPr>
            <w:r w:rsidRPr="00635214">
              <w:rPr>
                <w:sz w:val="20"/>
                <w:szCs w:val="20"/>
              </w:rPr>
              <w:t>37 455,2</w:t>
            </w:r>
          </w:p>
        </w:tc>
        <w:tc>
          <w:tcPr>
            <w:tcW w:w="1221"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191861">
            <w:pPr>
              <w:jc w:val="center"/>
              <w:rPr>
                <w:sz w:val="20"/>
                <w:szCs w:val="20"/>
              </w:rPr>
            </w:pPr>
            <w:r w:rsidRPr="00635214">
              <w:rPr>
                <w:sz w:val="20"/>
                <w:szCs w:val="20"/>
              </w:rPr>
              <w:t>36 351,9</w:t>
            </w:r>
          </w:p>
        </w:tc>
        <w:tc>
          <w:tcPr>
            <w:tcW w:w="1356"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750BBE">
            <w:pPr>
              <w:ind w:left="-92" w:right="-101"/>
              <w:jc w:val="center"/>
              <w:rPr>
                <w:sz w:val="20"/>
                <w:szCs w:val="20"/>
              </w:rPr>
            </w:pPr>
            <w:r w:rsidRPr="00635214">
              <w:rPr>
                <w:sz w:val="20"/>
                <w:szCs w:val="20"/>
              </w:rPr>
              <w:t>-1 103,3</w:t>
            </w:r>
          </w:p>
        </w:tc>
        <w:tc>
          <w:tcPr>
            <w:tcW w:w="1219"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750BBE">
            <w:pPr>
              <w:ind w:left="-18" w:right="-30" w:hanging="142"/>
              <w:jc w:val="center"/>
              <w:rPr>
                <w:sz w:val="20"/>
                <w:szCs w:val="20"/>
              </w:rPr>
            </w:pPr>
            <w:r w:rsidRPr="00635214">
              <w:rPr>
                <w:sz w:val="20"/>
                <w:szCs w:val="20"/>
              </w:rPr>
              <w:t>97,1</w:t>
            </w:r>
          </w:p>
        </w:tc>
      </w:tr>
      <w:tr w:rsidR="005E541F" w:rsidRPr="00467F9C" w:rsidTr="00750BBE">
        <w:trPr>
          <w:trHeight w:val="346"/>
        </w:trPr>
        <w:tc>
          <w:tcPr>
            <w:tcW w:w="4962" w:type="dxa"/>
            <w:tcBorders>
              <w:top w:val="nil"/>
              <w:left w:val="single" w:sz="4" w:space="0" w:color="auto"/>
              <w:bottom w:val="single" w:sz="4" w:space="0" w:color="auto"/>
              <w:right w:val="single" w:sz="4" w:space="0" w:color="auto"/>
            </w:tcBorders>
            <w:shd w:val="clear" w:color="000000" w:fill="FFFFFF"/>
            <w:vAlign w:val="center"/>
            <w:hideMark/>
          </w:tcPr>
          <w:p w:rsidR="005E541F" w:rsidRPr="00BB5C29" w:rsidRDefault="005E541F" w:rsidP="004438D2">
            <w:pPr>
              <w:ind w:right="-109"/>
              <w:rPr>
                <w:sz w:val="19"/>
                <w:szCs w:val="19"/>
              </w:rPr>
            </w:pPr>
            <w:r w:rsidRPr="00BB5C29">
              <w:rPr>
                <w:sz w:val="19"/>
                <w:szCs w:val="19"/>
              </w:rPr>
              <w:t xml:space="preserve">Закупки товаров, работ и услуг для </w:t>
            </w:r>
            <w:proofErr w:type="gramStart"/>
            <w:r w:rsidRPr="00BB5C29">
              <w:rPr>
                <w:sz w:val="19"/>
                <w:szCs w:val="19"/>
              </w:rPr>
              <w:t>государственных  (</w:t>
            </w:r>
            <w:proofErr w:type="gramEnd"/>
            <w:r w:rsidRPr="00BB5C29">
              <w:rPr>
                <w:sz w:val="19"/>
                <w:szCs w:val="19"/>
              </w:rPr>
              <w:t>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750BBE">
            <w:pPr>
              <w:ind w:left="-116" w:right="-216"/>
              <w:jc w:val="center"/>
              <w:rPr>
                <w:sz w:val="20"/>
                <w:szCs w:val="20"/>
              </w:rPr>
            </w:pPr>
            <w:r w:rsidRPr="00635214">
              <w:rPr>
                <w:sz w:val="20"/>
                <w:szCs w:val="20"/>
              </w:rPr>
              <w:t>9 972,9</w:t>
            </w:r>
          </w:p>
        </w:tc>
        <w:tc>
          <w:tcPr>
            <w:tcW w:w="1221"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191861">
            <w:pPr>
              <w:jc w:val="center"/>
              <w:rPr>
                <w:sz w:val="20"/>
                <w:szCs w:val="20"/>
              </w:rPr>
            </w:pPr>
            <w:r w:rsidRPr="00635214">
              <w:rPr>
                <w:sz w:val="20"/>
                <w:szCs w:val="20"/>
              </w:rPr>
              <w:t>9 156,4</w:t>
            </w:r>
          </w:p>
        </w:tc>
        <w:tc>
          <w:tcPr>
            <w:tcW w:w="1356"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750BBE">
            <w:pPr>
              <w:ind w:left="-92" w:right="-101"/>
              <w:jc w:val="center"/>
              <w:rPr>
                <w:sz w:val="20"/>
                <w:szCs w:val="20"/>
              </w:rPr>
            </w:pPr>
            <w:r w:rsidRPr="00635214">
              <w:rPr>
                <w:sz w:val="20"/>
                <w:szCs w:val="20"/>
              </w:rPr>
              <w:t>-816,5</w:t>
            </w:r>
          </w:p>
        </w:tc>
        <w:tc>
          <w:tcPr>
            <w:tcW w:w="1219"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750BBE">
            <w:pPr>
              <w:ind w:left="-18" w:right="-30" w:hanging="142"/>
              <w:jc w:val="center"/>
              <w:rPr>
                <w:sz w:val="20"/>
                <w:szCs w:val="20"/>
              </w:rPr>
            </w:pPr>
            <w:r w:rsidRPr="00635214">
              <w:rPr>
                <w:sz w:val="20"/>
                <w:szCs w:val="20"/>
              </w:rPr>
              <w:t>91,8</w:t>
            </w:r>
          </w:p>
        </w:tc>
      </w:tr>
      <w:tr w:rsidR="005E541F" w:rsidRPr="00467F9C" w:rsidTr="00750BBE">
        <w:trPr>
          <w:trHeight w:val="192"/>
        </w:trPr>
        <w:tc>
          <w:tcPr>
            <w:tcW w:w="4962" w:type="dxa"/>
            <w:tcBorders>
              <w:top w:val="nil"/>
              <w:left w:val="single" w:sz="4" w:space="0" w:color="auto"/>
              <w:bottom w:val="single" w:sz="4" w:space="0" w:color="auto"/>
              <w:right w:val="single" w:sz="4" w:space="0" w:color="auto"/>
            </w:tcBorders>
            <w:shd w:val="clear" w:color="000000" w:fill="FFFFFF"/>
            <w:vAlign w:val="center"/>
            <w:hideMark/>
          </w:tcPr>
          <w:p w:rsidR="005E541F" w:rsidRPr="00BB5C29" w:rsidRDefault="005E541F" w:rsidP="004438D2">
            <w:pPr>
              <w:ind w:right="-109"/>
              <w:rPr>
                <w:sz w:val="19"/>
                <w:szCs w:val="19"/>
              </w:rPr>
            </w:pPr>
            <w:r w:rsidRPr="00BB5C29">
              <w:rPr>
                <w:sz w:val="19"/>
                <w:szCs w:val="19"/>
              </w:rPr>
              <w:t>Иные бюджетные ассигнования</w:t>
            </w:r>
          </w:p>
        </w:tc>
        <w:tc>
          <w:tcPr>
            <w:tcW w:w="1134"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750BBE">
            <w:pPr>
              <w:ind w:left="-116" w:right="-216"/>
              <w:jc w:val="center"/>
              <w:rPr>
                <w:sz w:val="20"/>
                <w:szCs w:val="20"/>
              </w:rPr>
            </w:pPr>
            <w:r w:rsidRPr="00635214">
              <w:rPr>
                <w:sz w:val="20"/>
                <w:szCs w:val="20"/>
              </w:rPr>
              <w:t>26,1</w:t>
            </w:r>
          </w:p>
        </w:tc>
        <w:tc>
          <w:tcPr>
            <w:tcW w:w="1221"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191861">
            <w:pPr>
              <w:jc w:val="center"/>
              <w:rPr>
                <w:sz w:val="20"/>
                <w:szCs w:val="20"/>
              </w:rPr>
            </w:pPr>
            <w:r w:rsidRPr="00635214">
              <w:rPr>
                <w:sz w:val="20"/>
                <w:szCs w:val="20"/>
              </w:rPr>
              <w:t>4,2</w:t>
            </w:r>
          </w:p>
        </w:tc>
        <w:tc>
          <w:tcPr>
            <w:tcW w:w="1356"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750BBE">
            <w:pPr>
              <w:ind w:left="-92" w:right="-101"/>
              <w:jc w:val="center"/>
              <w:rPr>
                <w:sz w:val="20"/>
                <w:szCs w:val="20"/>
              </w:rPr>
            </w:pPr>
            <w:r w:rsidRPr="00635214">
              <w:rPr>
                <w:sz w:val="20"/>
                <w:szCs w:val="20"/>
              </w:rPr>
              <w:t>-21,9</w:t>
            </w:r>
          </w:p>
        </w:tc>
        <w:tc>
          <w:tcPr>
            <w:tcW w:w="1219"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750BBE">
            <w:pPr>
              <w:ind w:left="-18" w:right="-30" w:hanging="142"/>
              <w:jc w:val="center"/>
              <w:rPr>
                <w:sz w:val="20"/>
                <w:szCs w:val="20"/>
              </w:rPr>
            </w:pPr>
            <w:r w:rsidRPr="00635214">
              <w:rPr>
                <w:sz w:val="20"/>
                <w:szCs w:val="20"/>
              </w:rPr>
              <w:t>16,1</w:t>
            </w:r>
          </w:p>
        </w:tc>
      </w:tr>
      <w:tr w:rsidR="005E541F" w:rsidRPr="00467F9C" w:rsidTr="00750BBE">
        <w:trPr>
          <w:trHeight w:val="239"/>
        </w:trPr>
        <w:tc>
          <w:tcPr>
            <w:tcW w:w="4962" w:type="dxa"/>
            <w:tcBorders>
              <w:top w:val="nil"/>
              <w:left w:val="single" w:sz="4" w:space="0" w:color="auto"/>
              <w:bottom w:val="single" w:sz="4" w:space="0" w:color="auto"/>
              <w:right w:val="single" w:sz="4" w:space="0" w:color="auto"/>
            </w:tcBorders>
            <w:shd w:val="clear" w:color="000000" w:fill="E7E6E6"/>
            <w:vAlign w:val="center"/>
            <w:hideMark/>
          </w:tcPr>
          <w:p w:rsidR="005E541F" w:rsidRPr="00BB5C29" w:rsidRDefault="005E541F" w:rsidP="004438D2">
            <w:pPr>
              <w:ind w:right="-109"/>
              <w:rPr>
                <w:b/>
                <w:bCs/>
                <w:sz w:val="19"/>
                <w:szCs w:val="19"/>
              </w:rPr>
            </w:pPr>
            <w:r w:rsidRPr="00BB5C29">
              <w:rPr>
                <w:b/>
                <w:bCs/>
                <w:sz w:val="19"/>
                <w:szCs w:val="19"/>
              </w:rPr>
              <w:t>Здравоохранение</w:t>
            </w:r>
          </w:p>
        </w:tc>
        <w:tc>
          <w:tcPr>
            <w:tcW w:w="1134" w:type="dxa"/>
            <w:tcBorders>
              <w:top w:val="nil"/>
              <w:left w:val="nil"/>
              <w:bottom w:val="single" w:sz="4" w:space="0" w:color="auto"/>
              <w:right w:val="single" w:sz="4" w:space="0" w:color="auto"/>
            </w:tcBorders>
            <w:shd w:val="clear" w:color="000000" w:fill="E7E6E6"/>
            <w:vAlign w:val="center"/>
            <w:hideMark/>
          </w:tcPr>
          <w:p w:rsidR="005E541F" w:rsidRPr="00635214" w:rsidRDefault="005E541F" w:rsidP="00750BBE">
            <w:pPr>
              <w:ind w:left="-116" w:right="-216"/>
              <w:jc w:val="center"/>
              <w:rPr>
                <w:b/>
                <w:bCs/>
                <w:sz w:val="20"/>
                <w:szCs w:val="20"/>
              </w:rPr>
            </w:pPr>
            <w:r w:rsidRPr="00635214">
              <w:rPr>
                <w:b/>
                <w:bCs/>
                <w:sz w:val="20"/>
                <w:szCs w:val="20"/>
              </w:rPr>
              <w:t>3 629 038,8</w:t>
            </w:r>
          </w:p>
        </w:tc>
        <w:tc>
          <w:tcPr>
            <w:tcW w:w="1221" w:type="dxa"/>
            <w:tcBorders>
              <w:top w:val="nil"/>
              <w:left w:val="nil"/>
              <w:bottom w:val="single" w:sz="4" w:space="0" w:color="auto"/>
              <w:right w:val="single" w:sz="4" w:space="0" w:color="auto"/>
            </w:tcBorders>
            <w:shd w:val="clear" w:color="000000" w:fill="E7E6E6"/>
            <w:vAlign w:val="center"/>
            <w:hideMark/>
          </w:tcPr>
          <w:p w:rsidR="005E541F" w:rsidRPr="00635214" w:rsidRDefault="005E541F" w:rsidP="00191861">
            <w:pPr>
              <w:jc w:val="center"/>
              <w:rPr>
                <w:b/>
                <w:bCs/>
                <w:sz w:val="20"/>
                <w:szCs w:val="20"/>
              </w:rPr>
            </w:pPr>
            <w:r w:rsidRPr="00635214">
              <w:rPr>
                <w:b/>
                <w:bCs/>
                <w:sz w:val="20"/>
                <w:szCs w:val="20"/>
              </w:rPr>
              <w:t>3 443 228,0</w:t>
            </w:r>
          </w:p>
        </w:tc>
        <w:tc>
          <w:tcPr>
            <w:tcW w:w="1356" w:type="dxa"/>
            <w:tcBorders>
              <w:top w:val="nil"/>
              <w:left w:val="nil"/>
              <w:bottom w:val="single" w:sz="4" w:space="0" w:color="auto"/>
              <w:right w:val="single" w:sz="4" w:space="0" w:color="auto"/>
            </w:tcBorders>
            <w:shd w:val="clear" w:color="000000" w:fill="E7E6E6"/>
            <w:vAlign w:val="center"/>
            <w:hideMark/>
          </w:tcPr>
          <w:p w:rsidR="005E541F" w:rsidRPr="00635214" w:rsidRDefault="005E541F" w:rsidP="00750BBE">
            <w:pPr>
              <w:ind w:left="-92" w:right="-101"/>
              <w:jc w:val="center"/>
              <w:rPr>
                <w:b/>
                <w:bCs/>
                <w:sz w:val="20"/>
                <w:szCs w:val="20"/>
              </w:rPr>
            </w:pPr>
            <w:r w:rsidRPr="00635214">
              <w:rPr>
                <w:b/>
                <w:bCs/>
                <w:sz w:val="20"/>
                <w:szCs w:val="20"/>
              </w:rPr>
              <w:t>- 185 810,8</w:t>
            </w:r>
          </w:p>
        </w:tc>
        <w:tc>
          <w:tcPr>
            <w:tcW w:w="1219" w:type="dxa"/>
            <w:tcBorders>
              <w:top w:val="nil"/>
              <w:left w:val="nil"/>
              <w:bottom w:val="single" w:sz="4" w:space="0" w:color="auto"/>
              <w:right w:val="single" w:sz="4" w:space="0" w:color="auto"/>
            </w:tcBorders>
            <w:shd w:val="clear" w:color="000000" w:fill="E7E6E6"/>
            <w:vAlign w:val="center"/>
            <w:hideMark/>
          </w:tcPr>
          <w:p w:rsidR="005E541F" w:rsidRPr="00635214" w:rsidRDefault="005E541F" w:rsidP="00750BBE">
            <w:pPr>
              <w:ind w:left="-18" w:right="-30" w:hanging="142"/>
              <w:jc w:val="center"/>
              <w:rPr>
                <w:b/>
                <w:bCs/>
                <w:sz w:val="20"/>
                <w:szCs w:val="20"/>
              </w:rPr>
            </w:pPr>
            <w:r w:rsidRPr="00635214">
              <w:rPr>
                <w:b/>
                <w:bCs/>
                <w:sz w:val="20"/>
                <w:szCs w:val="20"/>
              </w:rPr>
              <w:t>94,9</w:t>
            </w:r>
          </w:p>
        </w:tc>
      </w:tr>
      <w:tr w:rsidR="005E541F" w:rsidRPr="00467F9C" w:rsidTr="00750BBE">
        <w:trPr>
          <w:trHeight w:val="31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41F" w:rsidRPr="00BB5C29" w:rsidRDefault="005E541F" w:rsidP="004438D2">
            <w:pPr>
              <w:ind w:right="-109"/>
              <w:rPr>
                <w:sz w:val="19"/>
                <w:szCs w:val="19"/>
              </w:rPr>
            </w:pPr>
            <w:r w:rsidRPr="00BB5C29">
              <w:rPr>
                <w:sz w:val="19"/>
                <w:szCs w:val="19"/>
              </w:rPr>
              <w:t>Другие вопросы в области здравоохранения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541F" w:rsidRPr="00635214" w:rsidRDefault="005E541F" w:rsidP="00750BBE">
            <w:pPr>
              <w:ind w:left="-116" w:right="-216"/>
              <w:jc w:val="center"/>
              <w:rPr>
                <w:bCs/>
                <w:sz w:val="20"/>
                <w:szCs w:val="20"/>
              </w:rPr>
            </w:pPr>
            <w:r w:rsidRPr="00635214">
              <w:rPr>
                <w:bCs/>
                <w:sz w:val="20"/>
                <w:szCs w:val="20"/>
              </w:rPr>
              <w:t>3 629 038,8</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rsidR="005E541F" w:rsidRPr="00635214" w:rsidRDefault="005E541F" w:rsidP="00191861">
            <w:pPr>
              <w:jc w:val="center"/>
              <w:rPr>
                <w:sz w:val="20"/>
                <w:szCs w:val="20"/>
              </w:rPr>
            </w:pPr>
            <w:r w:rsidRPr="00635214">
              <w:rPr>
                <w:sz w:val="20"/>
                <w:szCs w:val="20"/>
              </w:rPr>
              <w:t>3 443 228,0</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5E541F" w:rsidRPr="00635214" w:rsidRDefault="005E541F" w:rsidP="00750BBE">
            <w:pPr>
              <w:ind w:left="-92" w:right="-101"/>
              <w:jc w:val="center"/>
              <w:rPr>
                <w:bCs/>
                <w:sz w:val="20"/>
                <w:szCs w:val="20"/>
              </w:rPr>
            </w:pPr>
            <w:r w:rsidRPr="00635214">
              <w:rPr>
                <w:bCs/>
                <w:sz w:val="20"/>
                <w:szCs w:val="20"/>
              </w:rPr>
              <w:t>- 185 810,8</w:t>
            </w:r>
          </w:p>
        </w:tc>
        <w:tc>
          <w:tcPr>
            <w:tcW w:w="1219"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750BBE">
            <w:pPr>
              <w:ind w:left="-18" w:right="-30" w:hanging="142"/>
              <w:jc w:val="center"/>
              <w:rPr>
                <w:sz w:val="20"/>
                <w:szCs w:val="20"/>
              </w:rPr>
            </w:pPr>
            <w:r w:rsidRPr="00635214">
              <w:rPr>
                <w:sz w:val="20"/>
                <w:szCs w:val="20"/>
              </w:rPr>
              <w:t>94,9</w:t>
            </w:r>
          </w:p>
        </w:tc>
      </w:tr>
      <w:tr w:rsidR="005E541F" w:rsidRPr="00467F9C" w:rsidTr="00750BBE">
        <w:trPr>
          <w:trHeight w:val="156"/>
        </w:trPr>
        <w:tc>
          <w:tcPr>
            <w:tcW w:w="496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5E541F" w:rsidRPr="00BB5C29" w:rsidRDefault="005E541F" w:rsidP="004438D2">
            <w:pPr>
              <w:ind w:right="-109"/>
              <w:rPr>
                <w:b/>
                <w:bCs/>
                <w:i/>
                <w:iCs/>
                <w:sz w:val="19"/>
                <w:szCs w:val="19"/>
              </w:rPr>
            </w:pPr>
            <w:r w:rsidRPr="00BB5C29">
              <w:rPr>
                <w:b/>
                <w:bCs/>
                <w:i/>
                <w:iCs/>
                <w:sz w:val="19"/>
                <w:szCs w:val="19"/>
              </w:rPr>
              <w:t>Территориальная программа ОМС</w:t>
            </w:r>
          </w:p>
        </w:tc>
        <w:tc>
          <w:tcPr>
            <w:tcW w:w="1134" w:type="dxa"/>
            <w:tcBorders>
              <w:top w:val="single" w:sz="4" w:space="0" w:color="auto"/>
              <w:left w:val="nil"/>
              <w:bottom w:val="single" w:sz="4" w:space="0" w:color="auto"/>
              <w:right w:val="single" w:sz="4" w:space="0" w:color="auto"/>
            </w:tcBorders>
            <w:shd w:val="clear" w:color="000000" w:fill="D6DCE4"/>
            <w:vAlign w:val="center"/>
            <w:hideMark/>
          </w:tcPr>
          <w:p w:rsidR="005E541F" w:rsidRPr="00635214" w:rsidRDefault="005E541F" w:rsidP="00750BBE">
            <w:pPr>
              <w:ind w:left="-116" w:right="-216"/>
              <w:jc w:val="center"/>
              <w:rPr>
                <w:b/>
                <w:bCs/>
                <w:i/>
                <w:iCs/>
                <w:sz w:val="20"/>
                <w:szCs w:val="20"/>
              </w:rPr>
            </w:pPr>
            <w:r w:rsidRPr="00635214">
              <w:rPr>
                <w:b/>
                <w:bCs/>
                <w:i/>
                <w:iCs/>
                <w:sz w:val="20"/>
                <w:szCs w:val="20"/>
              </w:rPr>
              <w:t>3 430 169,3</w:t>
            </w:r>
          </w:p>
        </w:tc>
        <w:tc>
          <w:tcPr>
            <w:tcW w:w="1221" w:type="dxa"/>
            <w:tcBorders>
              <w:top w:val="single" w:sz="4" w:space="0" w:color="auto"/>
              <w:left w:val="nil"/>
              <w:bottom w:val="single" w:sz="4" w:space="0" w:color="auto"/>
              <w:right w:val="single" w:sz="4" w:space="0" w:color="auto"/>
            </w:tcBorders>
            <w:shd w:val="clear" w:color="000000" w:fill="D6DCE4"/>
            <w:vAlign w:val="center"/>
            <w:hideMark/>
          </w:tcPr>
          <w:p w:rsidR="005E541F" w:rsidRPr="00635214" w:rsidRDefault="005E541F" w:rsidP="00191861">
            <w:pPr>
              <w:jc w:val="center"/>
              <w:rPr>
                <w:b/>
                <w:bCs/>
                <w:i/>
                <w:iCs/>
                <w:sz w:val="20"/>
                <w:szCs w:val="20"/>
              </w:rPr>
            </w:pPr>
            <w:r w:rsidRPr="00635214">
              <w:rPr>
                <w:b/>
                <w:bCs/>
                <w:i/>
                <w:iCs/>
                <w:sz w:val="20"/>
                <w:szCs w:val="20"/>
              </w:rPr>
              <w:t>3 347 368,6</w:t>
            </w:r>
          </w:p>
        </w:tc>
        <w:tc>
          <w:tcPr>
            <w:tcW w:w="1356" w:type="dxa"/>
            <w:tcBorders>
              <w:top w:val="single" w:sz="4" w:space="0" w:color="auto"/>
              <w:left w:val="nil"/>
              <w:bottom w:val="single" w:sz="4" w:space="0" w:color="auto"/>
              <w:right w:val="single" w:sz="4" w:space="0" w:color="auto"/>
            </w:tcBorders>
            <w:shd w:val="clear" w:color="000000" w:fill="D6DCE4"/>
            <w:vAlign w:val="center"/>
            <w:hideMark/>
          </w:tcPr>
          <w:p w:rsidR="005E541F" w:rsidRPr="00635214" w:rsidRDefault="005E541F" w:rsidP="00750BBE">
            <w:pPr>
              <w:ind w:left="-92" w:right="-101"/>
              <w:jc w:val="center"/>
              <w:rPr>
                <w:b/>
                <w:bCs/>
                <w:i/>
                <w:iCs/>
                <w:sz w:val="20"/>
                <w:szCs w:val="20"/>
              </w:rPr>
            </w:pPr>
            <w:r w:rsidRPr="00635214">
              <w:rPr>
                <w:b/>
                <w:bCs/>
                <w:i/>
                <w:iCs/>
                <w:sz w:val="20"/>
                <w:szCs w:val="20"/>
              </w:rPr>
              <w:t>- 82 800,7</w:t>
            </w:r>
          </w:p>
        </w:tc>
        <w:tc>
          <w:tcPr>
            <w:tcW w:w="1219" w:type="dxa"/>
            <w:tcBorders>
              <w:top w:val="nil"/>
              <w:left w:val="nil"/>
              <w:bottom w:val="single" w:sz="4" w:space="0" w:color="auto"/>
              <w:right w:val="single" w:sz="4" w:space="0" w:color="auto"/>
            </w:tcBorders>
            <w:shd w:val="clear" w:color="000000" w:fill="D6DCE4"/>
            <w:vAlign w:val="center"/>
            <w:hideMark/>
          </w:tcPr>
          <w:p w:rsidR="005E541F" w:rsidRPr="00635214" w:rsidRDefault="005E541F" w:rsidP="00750BBE">
            <w:pPr>
              <w:ind w:left="-18" w:right="-30" w:hanging="142"/>
              <w:jc w:val="center"/>
              <w:rPr>
                <w:b/>
                <w:bCs/>
                <w:i/>
                <w:iCs/>
                <w:sz w:val="20"/>
                <w:szCs w:val="20"/>
              </w:rPr>
            </w:pPr>
            <w:r w:rsidRPr="00635214">
              <w:rPr>
                <w:b/>
                <w:bCs/>
                <w:i/>
                <w:iCs/>
                <w:sz w:val="20"/>
                <w:szCs w:val="20"/>
              </w:rPr>
              <w:t>97,6</w:t>
            </w:r>
          </w:p>
        </w:tc>
      </w:tr>
      <w:tr w:rsidR="005E541F" w:rsidRPr="00467F9C" w:rsidTr="00750BBE">
        <w:trPr>
          <w:trHeight w:val="688"/>
        </w:trPr>
        <w:tc>
          <w:tcPr>
            <w:tcW w:w="4962" w:type="dxa"/>
            <w:tcBorders>
              <w:top w:val="single" w:sz="4" w:space="0" w:color="auto"/>
              <w:left w:val="single" w:sz="4" w:space="0" w:color="auto"/>
              <w:bottom w:val="single" w:sz="4" w:space="0" w:color="auto"/>
              <w:right w:val="nil"/>
            </w:tcBorders>
            <w:shd w:val="clear" w:color="auto" w:fill="auto"/>
            <w:vAlign w:val="center"/>
            <w:hideMark/>
          </w:tcPr>
          <w:p w:rsidR="005E541F" w:rsidRPr="00BB5C29" w:rsidRDefault="005E541F" w:rsidP="004438D2">
            <w:pPr>
              <w:ind w:right="-109"/>
              <w:rPr>
                <w:sz w:val="19"/>
                <w:szCs w:val="19"/>
              </w:rPr>
            </w:pPr>
            <w:r w:rsidRPr="00BB5C29">
              <w:rPr>
                <w:sz w:val="19"/>
                <w:szCs w:val="19"/>
              </w:rPr>
              <w:t>Финансовое обеспечение организации ОМС на территориях субъектов РФ (Социальное обеспечение и иные выплаты населению)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41F" w:rsidRPr="00635214" w:rsidRDefault="005E541F" w:rsidP="00750BBE">
            <w:pPr>
              <w:ind w:left="-116" w:right="-216"/>
              <w:jc w:val="center"/>
              <w:rPr>
                <w:sz w:val="20"/>
                <w:szCs w:val="20"/>
              </w:rPr>
            </w:pPr>
            <w:r w:rsidRPr="00635214">
              <w:rPr>
                <w:sz w:val="20"/>
                <w:szCs w:val="20"/>
              </w:rPr>
              <w:t>1 977 056,3</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rsidR="005E541F" w:rsidRPr="00635214" w:rsidRDefault="005E541F" w:rsidP="00191861">
            <w:pPr>
              <w:jc w:val="center"/>
              <w:rPr>
                <w:sz w:val="20"/>
                <w:szCs w:val="20"/>
              </w:rPr>
            </w:pPr>
            <w:r w:rsidRPr="00635214">
              <w:rPr>
                <w:sz w:val="20"/>
                <w:szCs w:val="20"/>
              </w:rPr>
              <w:t>1 965 831,6</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5E541F" w:rsidRPr="00635214" w:rsidRDefault="005E541F" w:rsidP="00750BBE">
            <w:pPr>
              <w:ind w:left="-92" w:right="-101"/>
              <w:jc w:val="center"/>
              <w:rPr>
                <w:sz w:val="20"/>
                <w:szCs w:val="20"/>
              </w:rPr>
            </w:pPr>
            <w:r w:rsidRPr="00635214">
              <w:rPr>
                <w:sz w:val="20"/>
                <w:szCs w:val="20"/>
              </w:rPr>
              <w:t>11 224,7</w:t>
            </w:r>
          </w:p>
        </w:tc>
        <w:tc>
          <w:tcPr>
            <w:tcW w:w="1219"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750BBE">
            <w:pPr>
              <w:ind w:left="-18" w:right="-30" w:hanging="142"/>
              <w:jc w:val="center"/>
              <w:rPr>
                <w:sz w:val="20"/>
                <w:szCs w:val="20"/>
              </w:rPr>
            </w:pPr>
            <w:r w:rsidRPr="00635214">
              <w:rPr>
                <w:sz w:val="20"/>
                <w:szCs w:val="20"/>
              </w:rPr>
              <w:t>99,4</w:t>
            </w:r>
          </w:p>
        </w:tc>
      </w:tr>
      <w:tr w:rsidR="005E541F" w:rsidRPr="00467F9C" w:rsidTr="00750BBE">
        <w:trPr>
          <w:trHeight w:val="629"/>
        </w:trPr>
        <w:tc>
          <w:tcPr>
            <w:tcW w:w="4962" w:type="dxa"/>
            <w:tcBorders>
              <w:top w:val="nil"/>
              <w:left w:val="single" w:sz="4" w:space="0" w:color="auto"/>
              <w:bottom w:val="single" w:sz="4" w:space="0" w:color="auto"/>
              <w:right w:val="single" w:sz="4" w:space="0" w:color="auto"/>
            </w:tcBorders>
            <w:shd w:val="clear" w:color="auto" w:fill="auto"/>
            <w:hideMark/>
          </w:tcPr>
          <w:p w:rsidR="005E541F" w:rsidRPr="00BB5C29" w:rsidRDefault="005E541F" w:rsidP="004438D2">
            <w:pPr>
              <w:ind w:right="-109"/>
              <w:rPr>
                <w:iCs/>
                <w:sz w:val="19"/>
                <w:szCs w:val="19"/>
              </w:rPr>
            </w:pPr>
            <w:r w:rsidRPr="00BB5C29">
              <w:rPr>
                <w:iCs/>
                <w:sz w:val="19"/>
                <w:szCs w:val="19"/>
              </w:rPr>
              <w:t xml:space="preserve">Выполнение территориальной программы ОМС сверх базовой программы ОМС (Социальное обеспечение и иные выплаты населению)  </w:t>
            </w:r>
          </w:p>
        </w:tc>
        <w:tc>
          <w:tcPr>
            <w:tcW w:w="1134"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750BBE">
            <w:pPr>
              <w:ind w:left="-116" w:right="-216"/>
              <w:jc w:val="center"/>
              <w:rPr>
                <w:iCs/>
                <w:sz w:val="20"/>
                <w:szCs w:val="20"/>
              </w:rPr>
            </w:pPr>
            <w:r w:rsidRPr="00635214">
              <w:rPr>
                <w:iCs/>
                <w:sz w:val="20"/>
                <w:szCs w:val="20"/>
              </w:rPr>
              <w:t>1 256 333,3</w:t>
            </w:r>
          </w:p>
        </w:tc>
        <w:tc>
          <w:tcPr>
            <w:tcW w:w="1221"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191861">
            <w:pPr>
              <w:jc w:val="center"/>
              <w:rPr>
                <w:iCs/>
                <w:sz w:val="20"/>
                <w:szCs w:val="20"/>
              </w:rPr>
            </w:pPr>
            <w:r w:rsidRPr="00635214">
              <w:rPr>
                <w:iCs/>
                <w:sz w:val="20"/>
                <w:szCs w:val="20"/>
              </w:rPr>
              <w:t>1 251 965,1</w:t>
            </w:r>
          </w:p>
        </w:tc>
        <w:tc>
          <w:tcPr>
            <w:tcW w:w="1356"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750BBE">
            <w:pPr>
              <w:ind w:left="-92" w:right="-101"/>
              <w:jc w:val="center"/>
              <w:rPr>
                <w:iCs/>
                <w:sz w:val="20"/>
                <w:szCs w:val="20"/>
              </w:rPr>
            </w:pPr>
            <w:r w:rsidRPr="00635214">
              <w:rPr>
                <w:iCs/>
                <w:sz w:val="20"/>
                <w:szCs w:val="20"/>
              </w:rPr>
              <w:t>- 4 368,2</w:t>
            </w:r>
          </w:p>
        </w:tc>
        <w:tc>
          <w:tcPr>
            <w:tcW w:w="1219"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750BBE">
            <w:pPr>
              <w:ind w:left="-18" w:right="-30" w:hanging="142"/>
              <w:jc w:val="center"/>
              <w:rPr>
                <w:sz w:val="20"/>
                <w:szCs w:val="20"/>
              </w:rPr>
            </w:pPr>
            <w:r w:rsidRPr="00635214">
              <w:rPr>
                <w:sz w:val="20"/>
                <w:szCs w:val="20"/>
              </w:rPr>
              <w:t>99,7</w:t>
            </w:r>
          </w:p>
        </w:tc>
      </w:tr>
      <w:tr w:rsidR="005E541F" w:rsidRPr="00467F9C" w:rsidTr="00750BBE">
        <w:trPr>
          <w:trHeight w:val="526"/>
        </w:trPr>
        <w:tc>
          <w:tcPr>
            <w:tcW w:w="4962" w:type="dxa"/>
            <w:tcBorders>
              <w:top w:val="nil"/>
              <w:left w:val="single" w:sz="4" w:space="0" w:color="auto"/>
              <w:bottom w:val="single" w:sz="4" w:space="0" w:color="auto"/>
              <w:right w:val="single" w:sz="4" w:space="0" w:color="auto"/>
            </w:tcBorders>
            <w:shd w:val="clear" w:color="auto" w:fill="auto"/>
            <w:hideMark/>
          </w:tcPr>
          <w:p w:rsidR="005E541F" w:rsidRPr="00BB5C29" w:rsidRDefault="005E541F" w:rsidP="004438D2">
            <w:pPr>
              <w:ind w:right="-109"/>
              <w:rPr>
                <w:iCs/>
                <w:sz w:val="19"/>
                <w:szCs w:val="19"/>
              </w:rPr>
            </w:pPr>
            <w:r w:rsidRPr="00BB5C29">
              <w:rPr>
                <w:iCs/>
                <w:sz w:val="19"/>
                <w:szCs w:val="19"/>
              </w:rPr>
              <w:lastRenderedPageBreak/>
              <w:t xml:space="preserve">Выполнение территориальной программы ОМС в рамках базовой программы ОМС (Социальное обеспечение и иные выплаты населению) </w:t>
            </w:r>
          </w:p>
        </w:tc>
        <w:tc>
          <w:tcPr>
            <w:tcW w:w="1134"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750BBE">
            <w:pPr>
              <w:ind w:left="-116" w:right="-216"/>
              <w:jc w:val="center"/>
              <w:rPr>
                <w:iCs/>
                <w:sz w:val="20"/>
                <w:szCs w:val="20"/>
              </w:rPr>
            </w:pPr>
            <w:r w:rsidRPr="00635214">
              <w:rPr>
                <w:iCs/>
                <w:sz w:val="20"/>
                <w:szCs w:val="20"/>
              </w:rPr>
              <w:t>58 475,3</w:t>
            </w:r>
          </w:p>
        </w:tc>
        <w:tc>
          <w:tcPr>
            <w:tcW w:w="1221"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191861">
            <w:pPr>
              <w:jc w:val="center"/>
              <w:rPr>
                <w:iCs/>
                <w:sz w:val="20"/>
                <w:szCs w:val="20"/>
              </w:rPr>
            </w:pPr>
            <w:r w:rsidRPr="00635214">
              <w:rPr>
                <w:iCs/>
                <w:sz w:val="20"/>
                <w:szCs w:val="20"/>
              </w:rPr>
              <w:t>58 475,3</w:t>
            </w:r>
          </w:p>
        </w:tc>
        <w:tc>
          <w:tcPr>
            <w:tcW w:w="1356"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750BBE">
            <w:pPr>
              <w:ind w:left="-92" w:right="-101"/>
              <w:jc w:val="center"/>
              <w:rPr>
                <w:iCs/>
                <w:sz w:val="20"/>
                <w:szCs w:val="20"/>
              </w:rPr>
            </w:pPr>
            <w:r w:rsidRPr="00635214">
              <w:rPr>
                <w:iCs/>
                <w:sz w:val="20"/>
                <w:szCs w:val="20"/>
              </w:rPr>
              <w:t>0,0</w:t>
            </w:r>
          </w:p>
        </w:tc>
        <w:tc>
          <w:tcPr>
            <w:tcW w:w="1219"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750BBE">
            <w:pPr>
              <w:ind w:left="-18" w:right="-30" w:hanging="142"/>
              <w:jc w:val="center"/>
              <w:rPr>
                <w:sz w:val="20"/>
                <w:szCs w:val="20"/>
              </w:rPr>
            </w:pPr>
            <w:r w:rsidRPr="00635214">
              <w:rPr>
                <w:sz w:val="20"/>
                <w:szCs w:val="20"/>
              </w:rPr>
              <w:t>100,0</w:t>
            </w:r>
          </w:p>
        </w:tc>
      </w:tr>
      <w:tr w:rsidR="005E541F" w:rsidRPr="00467F9C" w:rsidTr="00750BBE">
        <w:trPr>
          <w:trHeight w:val="441"/>
        </w:trPr>
        <w:tc>
          <w:tcPr>
            <w:tcW w:w="4962" w:type="dxa"/>
            <w:tcBorders>
              <w:top w:val="nil"/>
              <w:left w:val="single" w:sz="4" w:space="0" w:color="auto"/>
              <w:bottom w:val="single" w:sz="4" w:space="0" w:color="auto"/>
              <w:right w:val="single" w:sz="4" w:space="0" w:color="auto"/>
            </w:tcBorders>
            <w:shd w:val="clear" w:color="auto" w:fill="auto"/>
            <w:hideMark/>
          </w:tcPr>
          <w:p w:rsidR="005E541F" w:rsidRPr="00BB5C29" w:rsidRDefault="005E541F" w:rsidP="004438D2">
            <w:pPr>
              <w:ind w:right="-109"/>
              <w:rPr>
                <w:sz w:val="19"/>
                <w:szCs w:val="19"/>
              </w:rPr>
            </w:pPr>
            <w:r w:rsidRPr="00BB5C29">
              <w:rPr>
                <w:sz w:val="19"/>
                <w:szCs w:val="19"/>
              </w:rPr>
              <w:t xml:space="preserve">Финансовое обеспечение организации ОМС на территориях субъектов РФ (межбюджетные трансферты) </w:t>
            </w:r>
          </w:p>
        </w:tc>
        <w:tc>
          <w:tcPr>
            <w:tcW w:w="1134"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750BBE">
            <w:pPr>
              <w:ind w:left="-116" w:right="-216"/>
              <w:jc w:val="center"/>
              <w:rPr>
                <w:sz w:val="20"/>
                <w:szCs w:val="20"/>
              </w:rPr>
            </w:pPr>
            <w:r w:rsidRPr="00635214">
              <w:rPr>
                <w:sz w:val="20"/>
                <w:szCs w:val="20"/>
              </w:rPr>
              <w:t>63 775,1</w:t>
            </w:r>
          </w:p>
        </w:tc>
        <w:tc>
          <w:tcPr>
            <w:tcW w:w="1221"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191861">
            <w:pPr>
              <w:jc w:val="center"/>
              <w:rPr>
                <w:sz w:val="20"/>
                <w:szCs w:val="20"/>
              </w:rPr>
            </w:pPr>
            <w:r w:rsidRPr="00635214">
              <w:rPr>
                <w:sz w:val="20"/>
                <w:szCs w:val="20"/>
              </w:rPr>
              <w:t>63 768,4</w:t>
            </w:r>
          </w:p>
        </w:tc>
        <w:tc>
          <w:tcPr>
            <w:tcW w:w="1356"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750BBE">
            <w:pPr>
              <w:ind w:left="-92" w:right="-101"/>
              <w:jc w:val="center"/>
              <w:rPr>
                <w:sz w:val="20"/>
                <w:szCs w:val="20"/>
              </w:rPr>
            </w:pPr>
            <w:r w:rsidRPr="00635214">
              <w:rPr>
                <w:sz w:val="20"/>
                <w:szCs w:val="20"/>
              </w:rPr>
              <w:t>- 6,7</w:t>
            </w:r>
          </w:p>
        </w:tc>
        <w:tc>
          <w:tcPr>
            <w:tcW w:w="1219"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750BBE">
            <w:pPr>
              <w:ind w:left="-18" w:right="-30" w:hanging="142"/>
              <w:jc w:val="center"/>
              <w:rPr>
                <w:sz w:val="20"/>
                <w:szCs w:val="20"/>
              </w:rPr>
            </w:pPr>
            <w:r w:rsidRPr="00635214">
              <w:rPr>
                <w:sz w:val="20"/>
                <w:szCs w:val="20"/>
              </w:rPr>
              <w:t>100,0</w:t>
            </w:r>
          </w:p>
        </w:tc>
      </w:tr>
      <w:tr w:rsidR="005E541F" w:rsidRPr="00467F9C" w:rsidTr="00750BBE">
        <w:trPr>
          <w:trHeight w:val="189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5E541F" w:rsidRDefault="005E541F" w:rsidP="004438D2">
            <w:pPr>
              <w:ind w:right="-109"/>
              <w:rPr>
                <w:sz w:val="19"/>
                <w:szCs w:val="19"/>
              </w:rPr>
            </w:pPr>
            <w:r w:rsidRPr="00BB5C29">
              <w:rPr>
                <w:sz w:val="19"/>
                <w:szCs w:val="19"/>
              </w:rPr>
              <w:t xml:space="preserve">Дополнительное финансовое обеспечение оказания медпомощи лицам, застрахованным по ОМС, с заболеванием (подозрением) на заболевание новой </w:t>
            </w:r>
            <w:proofErr w:type="spellStart"/>
            <w:r w:rsidRPr="00BB5C29">
              <w:rPr>
                <w:sz w:val="19"/>
                <w:szCs w:val="19"/>
              </w:rPr>
              <w:t>коронавирусной</w:t>
            </w:r>
            <w:proofErr w:type="spellEnd"/>
            <w:r w:rsidRPr="00BB5C29">
              <w:rPr>
                <w:sz w:val="19"/>
                <w:szCs w:val="19"/>
              </w:rPr>
              <w:t xml:space="preserve"> инфекцией в рамках ВЦП «Организация ОМС  в РФ» подпрограммы «Совершенствование оказания медицинской помощи, включая профилактику заболеваний и формирования здорового образа жизни» государственной программы РФ «Развитие здравоохранения» (Социальное обеспечение и иные выплаты населению)</w:t>
            </w:r>
          </w:p>
          <w:p w:rsidR="000514F4" w:rsidRPr="000514F4" w:rsidRDefault="000514F4" w:rsidP="004438D2">
            <w:pPr>
              <w:ind w:right="-109"/>
              <w:rPr>
                <w:sz w:val="6"/>
                <w:szCs w:val="6"/>
              </w:rPr>
            </w:pPr>
          </w:p>
          <w:p w:rsidR="00750BBE" w:rsidRPr="00750BBE" w:rsidRDefault="00750BBE" w:rsidP="004438D2">
            <w:pPr>
              <w:ind w:right="-109"/>
              <w:rPr>
                <w:sz w:val="4"/>
                <w:szCs w:val="4"/>
              </w:rPr>
            </w:pPr>
          </w:p>
        </w:tc>
        <w:tc>
          <w:tcPr>
            <w:tcW w:w="1134" w:type="dxa"/>
            <w:tcBorders>
              <w:top w:val="nil"/>
              <w:left w:val="nil"/>
              <w:bottom w:val="single" w:sz="4" w:space="0" w:color="auto"/>
              <w:right w:val="single" w:sz="4" w:space="0" w:color="auto"/>
            </w:tcBorders>
            <w:shd w:val="clear" w:color="auto" w:fill="auto"/>
            <w:noWrap/>
            <w:vAlign w:val="center"/>
            <w:hideMark/>
          </w:tcPr>
          <w:p w:rsidR="005E541F" w:rsidRPr="00635214" w:rsidRDefault="005E541F" w:rsidP="00750BBE">
            <w:pPr>
              <w:ind w:left="-116" w:right="-216"/>
              <w:jc w:val="center"/>
              <w:rPr>
                <w:sz w:val="20"/>
                <w:szCs w:val="20"/>
              </w:rPr>
            </w:pPr>
            <w:r w:rsidRPr="00635214">
              <w:rPr>
                <w:sz w:val="20"/>
                <w:szCs w:val="20"/>
              </w:rPr>
              <w:t>13 583,8</w:t>
            </w:r>
          </w:p>
        </w:tc>
        <w:tc>
          <w:tcPr>
            <w:tcW w:w="1221" w:type="dxa"/>
            <w:tcBorders>
              <w:top w:val="nil"/>
              <w:left w:val="nil"/>
              <w:bottom w:val="single" w:sz="4" w:space="0" w:color="auto"/>
              <w:right w:val="single" w:sz="4" w:space="0" w:color="auto"/>
            </w:tcBorders>
            <w:shd w:val="clear" w:color="auto" w:fill="auto"/>
            <w:noWrap/>
            <w:vAlign w:val="center"/>
            <w:hideMark/>
          </w:tcPr>
          <w:p w:rsidR="005E541F" w:rsidRPr="00635214" w:rsidRDefault="005E541F" w:rsidP="00191861">
            <w:pPr>
              <w:jc w:val="center"/>
              <w:rPr>
                <w:sz w:val="20"/>
                <w:szCs w:val="20"/>
              </w:rPr>
            </w:pPr>
            <w:r w:rsidRPr="00635214">
              <w:rPr>
                <w:sz w:val="20"/>
                <w:szCs w:val="20"/>
              </w:rPr>
              <w:t>0,00</w:t>
            </w:r>
          </w:p>
        </w:tc>
        <w:tc>
          <w:tcPr>
            <w:tcW w:w="1356" w:type="dxa"/>
            <w:tcBorders>
              <w:top w:val="nil"/>
              <w:left w:val="nil"/>
              <w:bottom w:val="single" w:sz="4" w:space="0" w:color="auto"/>
              <w:right w:val="single" w:sz="4" w:space="0" w:color="auto"/>
            </w:tcBorders>
            <w:shd w:val="clear" w:color="auto" w:fill="auto"/>
            <w:noWrap/>
            <w:vAlign w:val="center"/>
            <w:hideMark/>
          </w:tcPr>
          <w:p w:rsidR="005E541F" w:rsidRPr="00635214" w:rsidRDefault="005E541F" w:rsidP="00750BBE">
            <w:pPr>
              <w:ind w:left="-92" w:right="-101"/>
              <w:jc w:val="center"/>
              <w:rPr>
                <w:sz w:val="20"/>
                <w:szCs w:val="20"/>
              </w:rPr>
            </w:pPr>
            <w:r w:rsidRPr="00635214">
              <w:rPr>
                <w:sz w:val="20"/>
                <w:szCs w:val="20"/>
              </w:rPr>
              <w:t>-13 583,80</w:t>
            </w:r>
          </w:p>
        </w:tc>
        <w:tc>
          <w:tcPr>
            <w:tcW w:w="1219"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750BBE">
            <w:pPr>
              <w:ind w:left="-18" w:right="-30" w:hanging="142"/>
              <w:jc w:val="center"/>
              <w:rPr>
                <w:sz w:val="20"/>
                <w:szCs w:val="20"/>
              </w:rPr>
            </w:pPr>
            <w:r w:rsidRPr="00635214">
              <w:rPr>
                <w:sz w:val="20"/>
                <w:szCs w:val="20"/>
              </w:rPr>
              <w:t>0,0</w:t>
            </w:r>
          </w:p>
        </w:tc>
      </w:tr>
      <w:tr w:rsidR="005E541F" w:rsidRPr="00467F9C" w:rsidTr="00750BBE">
        <w:trPr>
          <w:trHeight w:val="1596"/>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5E541F" w:rsidRPr="00BB5C29" w:rsidRDefault="005E541F" w:rsidP="004438D2">
            <w:pPr>
              <w:ind w:right="-109"/>
              <w:rPr>
                <w:sz w:val="19"/>
                <w:szCs w:val="19"/>
              </w:rPr>
            </w:pPr>
            <w:r w:rsidRPr="00BB5C29">
              <w:rPr>
                <w:sz w:val="19"/>
                <w:szCs w:val="19"/>
              </w:rPr>
              <w:t xml:space="preserve">Перечисление другим субъектам бюджетной системы (в части межтерриториальных расчетов) за счет дополнительного финансового обеспечения оказания медпомощи, в том числе лицам с заболеванием и (или) подозрением на заболевание новой </w:t>
            </w:r>
            <w:proofErr w:type="spellStart"/>
            <w:r w:rsidRPr="00BB5C29">
              <w:rPr>
                <w:sz w:val="19"/>
                <w:szCs w:val="19"/>
              </w:rPr>
              <w:t>коронавирусной</w:t>
            </w:r>
            <w:proofErr w:type="spellEnd"/>
            <w:r w:rsidRPr="00BB5C29">
              <w:rPr>
                <w:sz w:val="19"/>
                <w:szCs w:val="19"/>
              </w:rPr>
              <w:t xml:space="preserve"> инфекцией в рамках реализации ТП ОМС за счет резервного фонда Правительства РФ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41F" w:rsidRPr="00635214" w:rsidRDefault="005E541F" w:rsidP="00750BBE">
            <w:pPr>
              <w:ind w:left="-116" w:right="-216"/>
              <w:jc w:val="center"/>
              <w:rPr>
                <w:sz w:val="20"/>
                <w:szCs w:val="20"/>
              </w:rPr>
            </w:pPr>
            <w:r w:rsidRPr="00635214">
              <w:rPr>
                <w:sz w:val="20"/>
                <w:szCs w:val="20"/>
              </w:rPr>
              <w:t>59 470,3</w:t>
            </w:r>
          </w:p>
        </w:tc>
        <w:tc>
          <w:tcPr>
            <w:tcW w:w="1221" w:type="dxa"/>
            <w:tcBorders>
              <w:top w:val="nil"/>
              <w:left w:val="single" w:sz="4" w:space="0" w:color="auto"/>
              <w:bottom w:val="single" w:sz="4" w:space="0" w:color="auto"/>
              <w:right w:val="single" w:sz="4" w:space="0" w:color="auto"/>
            </w:tcBorders>
            <w:shd w:val="clear" w:color="auto" w:fill="auto"/>
            <w:vAlign w:val="center"/>
            <w:hideMark/>
          </w:tcPr>
          <w:p w:rsidR="005E541F" w:rsidRPr="00635214" w:rsidRDefault="005E541F" w:rsidP="00191861">
            <w:pPr>
              <w:jc w:val="center"/>
              <w:rPr>
                <w:sz w:val="20"/>
                <w:szCs w:val="20"/>
              </w:rPr>
            </w:pPr>
            <w:r w:rsidRPr="00635214">
              <w:rPr>
                <w:sz w:val="20"/>
                <w:szCs w:val="20"/>
              </w:rPr>
              <w:t>7 119,8</w:t>
            </w:r>
          </w:p>
        </w:tc>
        <w:tc>
          <w:tcPr>
            <w:tcW w:w="1356" w:type="dxa"/>
            <w:tcBorders>
              <w:top w:val="nil"/>
              <w:left w:val="nil"/>
              <w:bottom w:val="single" w:sz="4" w:space="0" w:color="auto"/>
              <w:right w:val="single" w:sz="4" w:space="0" w:color="auto"/>
            </w:tcBorders>
            <w:shd w:val="clear" w:color="000000" w:fill="FFFFFF"/>
            <w:vAlign w:val="center"/>
            <w:hideMark/>
          </w:tcPr>
          <w:p w:rsidR="005E541F" w:rsidRPr="00635214" w:rsidRDefault="005E541F" w:rsidP="00750BBE">
            <w:pPr>
              <w:ind w:left="-92" w:right="-101"/>
              <w:jc w:val="center"/>
              <w:rPr>
                <w:sz w:val="20"/>
                <w:szCs w:val="20"/>
              </w:rPr>
            </w:pPr>
            <w:r w:rsidRPr="00635214">
              <w:rPr>
                <w:sz w:val="20"/>
                <w:szCs w:val="20"/>
              </w:rPr>
              <w:t>- 52 350,5</w:t>
            </w:r>
          </w:p>
        </w:tc>
        <w:tc>
          <w:tcPr>
            <w:tcW w:w="1219"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750BBE">
            <w:pPr>
              <w:ind w:left="-18" w:right="-30" w:hanging="142"/>
              <w:jc w:val="center"/>
              <w:rPr>
                <w:sz w:val="20"/>
                <w:szCs w:val="20"/>
              </w:rPr>
            </w:pPr>
            <w:r w:rsidRPr="00635214">
              <w:rPr>
                <w:sz w:val="20"/>
                <w:szCs w:val="20"/>
              </w:rPr>
              <w:t>12,0</w:t>
            </w:r>
          </w:p>
        </w:tc>
      </w:tr>
      <w:tr w:rsidR="005E541F" w:rsidRPr="00467F9C" w:rsidTr="00750BBE">
        <w:trPr>
          <w:trHeight w:val="757"/>
        </w:trPr>
        <w:tc>
          <w:tcPr>
            <w:tcW w:w="4962" w:type="dxa"/>
            <w:tcBorders>
              <w:top w:val="single" w:sz="4" w:space="0" w:color="auto"/>
              <w:left w:val="single" w:sz="4" w:space="0" w:color="auto"/>
              <w:bottom w:val="single" w:sz="4" w:space="0" w:color="auto"/>
              <w:right w:val="single" w:sz="4" w:space="0" w:color="auto"/>
            </w:tcBorders>
            <w:shd w:val="clear" w:color="000000" w:fill="FFFFFF"/>
            <w:hideMark/>
          </w:tcPr>
          <w:p w:rsidR="005E541F" w:rsidRDefault="005E541F" w:rsidP="004438D2">
            <w:pPr>
              <w:ind w:right="-109"/>
              <w:rPr>
                <w:sz w:val="19"/>
                <w:szCs w:val="19"/>
              </w:rPr>
            </w:pPr>
            <w:r w:rsidRPr="00BB5C29">
              <w:rPr>
                <w:sz w:val="19"/>
                <w:szCs w:val="19"/>
              </w:rPr>
              <w:t xml:space="preserve">Средства, переданные в СМО в качестве финансового обеспечения проведения углубленной диспансеризации застрахованных по ОМС, перенесших новую </w:t>
            </w:r>
            <w:proofErr w:type="spellStart"/>
            <w:r w:rsidRPr="00BB5C29">
              <w:rPr>
                <w:sz w:val="19"/>
                <w:szCs w:val="19"/>
              </w:rPr>
              <w:t>коронавирусную</w:t>
            </w:r>
            <w:proofErr w:type="spellEnd"/>
            <w:r w:rsidRPr="00BB5C29">
              <w:rPr>
                <w:sz w:val="19"/>
                <w:szCs w:val="19"/>
              </w:rPr>
              <w:t xml:space="preserve"> инфекцию</w:t>
            </w:r>
          </w:p>
          <w:p w:rsidR="00750BBE" w:rsidRPr="00750BBE" w:rsidRDefault="00750BBE" w:rsidP="004438D2">
            <w:pPr>
              <w:ind w:right="-109"/>
              <w:rPr>
                <w:sz w:val="4"/>
                <w:szCs w:val="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541F" w:rsidRPr="00635214" w:rsidRDefault="005E541F" w:rsidP="00750BBE">
            <w:pPr>
              <w:ind w:left="-116" w:right="-216"/>
              <w:jc w:val="center"/>
              <w:rPr>
                <w:sz w:val="20"/>
                <w:szCs w:val="20"/>
              </w:rPr>
            </w:pPr>
            <w:r w:rsidRPr="00635214">
              <w:rPr>
                <w:sz w:val="20"/>
                <w:szCs w:val="20"/>
              </w:rPr>
              <w:t>1 475,2</w:t>
            </w:r>
          </w:p>
        </w:tc>
        <w:tc>
          <w:tcPr>
            <w:tcW w:w="1221"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191861">
            <w:pPr>
              <w:jc w:val="center"/>
              <w:rPr>
                <w:sz w:val="20"/>
                <w:szCs w:val="20"/>
              </w:rPr>
            </w:pPr>
            <w:r w:rsidRPr="00635214">
              <w:rPr>
                <w:sz w:val="20"/>
                <w:szCs w:val="20"/>
              </w:rPr>
              <w:t>208,4</w:t>
            </w:r>
          </w:p>
        </w:tc>
        <w:tc>
          <w:tcPr>
            <w:tcW w:w="1356" w:type="dxa"/>
            <w:tcBorders>
              <w:top w:val="nil"/>
              <w:left w:val="nil"/>
              <w:bottom w:val="single" w:sz="4" w:space="0" w:color="auto"/>
              <w:right w:val="single" w:sz="4" w:space="0" w:color="auto"/>
            </w:tcBorders>
            <w:shd w:val="clear" w:color="000000" w:fill="FFFFFF"/>
            <w:vAlign w:val="center"/>
            <w:hideMark/>
          </w:tcPr>
          <w:p w:rsidR="005E541F" w:rsidRPr="00635214" w:rsidRDefault="005E541F" w:rsidP="00750BBE">
            <w:pPr>
              <w:ind w:left="-92" w:right="-101"/>
              <w:jc w:val="center"/>
              <w:rPr>
                <w:sz w:val="20"/>
                <w:szCs w:val="20"/>
              </w:rPr>
            </w:pPr>
            <w:r w:rsidRPr="00635214">
              <w:rPr>
                <w:sz w:val="20"/>
                <w:szCs w:val="20"/>
              </w:rPr>
              <w:t>1 266,8</w:t>
            </w:r>
          </w:p>
        </w:tc>
        <w:tc>
          <w:tcPr>
            <w:tcW w:w="1219"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750BBE">
            <w:pPr>
              <w:ind w:left="-18" w:right="-30" w:hanging="142"/>
              <w:jc w:val="center"/>
              <w:rPr>
                <w:sz w:val="20"/>
                <w:szCs w:val="20"/>
              </w:rPr>
            </w:pPr>
            <w:r w:rsidRPr="00635214">
              <w:rPr>
                <w:sz w:val="20"/>
                <w:szCs w:val="20"/>
              </w:rPr>
              <w:t>14,1</w:t>
            </w:r>
          </w:p>
        </w:tc>
      </w:tr>
      <w:tr w:rsidR="005E541F" w:rsidRPr="00467F9C" w:rsidTr="00750BBE">
        <w:trPr>
          <w:trHeight w:val="701"/>
        </w:trPr>
        <w:tc>
          <w:tcPr>
            <w:tcW w:w="4962" w:type="dxa"/>
            <w:tcBorders>
              <w:top w:val="nil"/>
              <w:left w:val="single" w:sz="4" w:space="0" w:color="auto"/>
              <w:bottom w:val="single" w:sz="4" w:space="0" w:color="auto"/>
              <w:right w:val="single" w:sz="4" w:space="0" w:color="auto"/>
            </w:tcBorders>
            <w:shd w:val="clear" w:color="000000" w:fill="D9E1F2"/>
            <w:vAlign w:val="center"/>
            <w:hideMark/>
          </w:tcPr>
          <w:p w:rsidR="005E541F" w:rsidRPr="00BB5C29" w:rsidRDefault="005E541F" w:rsidP="004438D2">
            <w:pPr>
              <w:ind w:right="-109"/>
              <w:rPr>
                <w:b/>
                <w:bCs/>
                <w:i/>
                <w:iCs/>
                <w:sz w:val="19"/>
                <w:szCs w:val="19"/>
              </w:rPr>
            </w:pPr>
            <w:r w:rsidRPr="00BB5C29">
              <w:rPr>
                <w:b/>
                <w:bCs/>
                <w:i/>
                <w:iCs/>
                <w:sz w:val="19"/>
                <w:szCs w:val="19"/>
              </w:rPr>
              <w:t>Непрограммные направления деятельности органов управления территориальных государственных внебюджетных фондов</w:t>
            </w:r>
          </w:p>
        </w:tc>
        <w:tc>
          <w:tcPr>
            <w:tcW w:w="1134" w:type="dxa"/>
            <w:tcBorders>
              <w:top w:val="nil"/>
              <w:left w:val="nil"/>
              <w:bottom w:val="single" w:sz="4" w:space="0" w:color="auto"/>
              <w:right w:val="single" w:sz="4" w:space="0" w:color="auto"/>
            </w:tcBorders>
            <w:shd w:val="clear" w:color="000000" w:fill="D9E1F2"/>
            <w:vAlign w:val="center"/>
            <w:hideMark/>
          </w:tcPr>
          <w:p w:rsidR="005E541F" w:rsidRPr="00635214" w:rsidRDefault="005E541F" w:rsidP="00750BBE">
            <w:pPr>
              <w:ind w:left="-116" w:right="-216"/>
              <w:jc w:val="center"/>
              <w:rPr>
                <w:b/>
                <w:bCs/>
                <w:i/>
                <w:iCs/>
                <w:sz w:val="20"/>
                <w:szCs w:val="20"/>
              </w:rPr>
            </w:pPr>
            <w:r w:rsidRPr="00635214">
              <w:rPr>
                <w:b/>
                <w:bCs/>
                <w:i/>
                <w:iCs/>
                <w:sz w:val="20"/>
                <w:szCs w:val="20"/>
              </w:rPr>
              <w:t>198 869,50</w:t>
            </w:r>
          </w:p>
        </w:tc>
        <w:tc>
          <w:tcPr>
            <w:tcW w:w="1221" w:type="dxa"/>
            <w:tcBorders>
              <w:top w:val="nil"/>
              <w:left w:val="nil"/>
              <w:bottom w:val="single" w:sz="4" w:space="0" w:color="auto"/>
              <w:right w:val="single" w:sz="4" w:space="0" w:color="auto"/>
            </w:tcBorders>
            <w:shd w:val="clear" w:color="000000" w:fill="D6DCE4"/>
            <w:vAlign w:val="center"/>
            <w:hideMark/>
          </w:tcPr>
          <w:p w:rsidR="005E541F" w:rsidRPr="00635214" w:rsidRDefault="005E541F" w:rsidP="00191861">
            <w:pPr>
              <w:jc w:val="center"/>
              <w:rPr>
                <w:b/>
                <w:bCs/>
                <w:i/>
                <w:iCs/>
                <w:sz w:val="20"/>
                <w:szCs w:val="20"/>
              </w:rPr>
            </w:pPr>
            <w:r w:rsidRPr="00635214">
              <w:rPr>
                <w:b/>
                <w:bCs/>
                <w:i/>
                <w:iCs/>
                <w:sz w:val="20"/>
                <w:szCs w:val="20"/>
              </w:rPr>
              <w:t>95 859,4</w:t>
            </w:r>
          </w:p>
        </w:tc>
        <w:tc>
          <w:tcPr>
            <w:tcW w:w="1356" w:type="dxa"/>
            <w:tcBorders>
              <w:top w:val="nil"/>
              <w:left w:val="nil"/>
              <w:bottom w:val="single" w:sz="4" w:space="0" w:color="auto"/>
              <w:right w:val="single" w:sz="4" w:space="0" w:color="auto"/>
            </w:tcBorders>
            <w:shd w:val="clear" w:color="000000" w:fill="D9E1F2"/>
            <w:vAlign w:val="center"/>
            <w:hideMark/>
          </w:tcPr>
          <w:p w:rsidR="005E541F" w:rsidRPr="00635214" w:rsidRDefault="005E541F" w:rsidP="00750BBE">
            <w:pPr>
              <w:ind w:left="-92" w:right="-101"/>
              <w:jc w:val="center"/>
              <w:rPr>
                <w:b/>
                <w:bCs/>
                <w:i/>
                <w:iCs/>
                <w:sz w:val="20"/>
                <w:szCs w:val="20"/>
              </w:rPr>
            </w:pPr>
            <w:r w:rsidRPr="00635214">
              <w:rPr>
                <w:b/>
                <w:bCs/>
                <w:i/>
                <w:iCs/>
                <w:sz w:val="20"/>
                <w:szCs w:val="20"/>
              </w:rPr>
              <w:t>103 010,1</w:t>
            </w:r>
          </w:p>
        </w:tc>
        <w:tc>
          <w:tcPr>
            <w:tcW w:w="1219" w:type="dxa"/>
            <w:tcBorders>
              <w:top w:val="nil"/>
              <w:left w:val="nil"/>
              <w:bottom w:val="single" w:sz="4" w:space="0" w:color="auto"/>
              <w:right w:val="single" w:sz="4" w:space="0" w:color="auto"/>
            </w:tcBorders>
            <w:shd w:val="clear" w:color="000000" w:fill="D9E1F2"/>
            <w:vAlign w:val="center"/>
            <w:hideMark/>
          </w:tcPr>
          <w:p w:rsidR="005E541F" w:rsidRPr="00635214" w:rsidRDefault="005E541F" w:rsidP="00750BBE">
            <w:pPr>
              <w:ind w:left="-18" w:right="-30" w:hanging="142"/>
              <w:jc w:val="center"/>
              <w:rPr>
                <w:b/>
                <w:bCs/>
                <w:i/>
                <w:iCs/>
                <w:sz w:val="20"/>
                <w:szCs w:val="20"/>
              </w:rPr>
            </w:pPr>
            <w:r w:rsidRPr="00635214">
              <w:rPr>
                <w:b/>
                <w:bCs/>
                <w:i/>
                <w:iCs/>
                <w:sz w:val="20"/>
                <w:szCs w:val="20"/>
              </w:rPr>
              <w:t>48,2</w:t>
            </w:r>
          </w:p>
        </w:tc>
      </w:tr>
      <w:tr w:rsidR="005E541F" w:rsidRPr="00467F9C" w:rsidTr="00750BBE">
        <w:trPr>
          <w:trHeight w:val="262"/>
        </w:trPr>
        <w:tc>
          <w:tcPr>
            <w:tcW w:w="4962" w:type="dxa"/>
            <w:tcBorders>
              <w:top w:val="nil"/>
              <w:left w:val="single" w:sz="4" w:space="0" w:color="auto"/>
              <w:bottom w:val="single" w:sz="4" w:space="0" w:color="auto"/>
              <w:right w:val="single" w:sz="4" w:space="0" w:color="auto"/>
            </w:tcBorders>
            <w:shd w:val="clear" w:color="auto" w:fill="auto"/>
            <w:vAlign w:val="center"/>
          </w:tcPr>
          <w:p w:rsidR="005E541F" w:rsidRPr="00BB5C29" w:rsidRDefault="005E541F" w:rsidP="004438D2">
            <w:pPr>
              <w:ind w:right="-109"/>
              <w:rPr>
                <w:bCs/>
                <w:i/>
                <w:iCs/>
                <w:sz w:val="19"/>
                <w:szCs w:val="19"/>
              </w:rPr>
            </w:pPr>
            <w:r w:rsidRPr="00BB5C29">
              <w:rPr>
                <w:bCs/>
                <w:i/>
                <w:iCs/>
                <w:sz w:val="19"/>
                <w:szCs w:val="19"/>
              </w:rPr>
              <w:t>Финансовое обеспечение иных расходов</w:t>
            </w:r>
          </w:p>
        </w:tc>
        <w:tc>
          <w:tcPr>
            <w:tcW w:w="1134" w:type="dxa"/>
            <w:tcBorders>
              <w:top w:val="nil"/>
              <w:left w:val="nil"/>
              <w:bottom w:val="single" w:sz="4" w:space="0" w:color="auto"/>
              <w:right w:val="single" w:sz="4" w:space="0" w:color="auto"/>
            </w:tcBorders>
            <w:shd w:val="clear" w:color="auto" w:fill="auto"/>
            <w:vAlign w:val="center"/>
          </w:tcPr>
          <w:p w:rsidR="005E541F" w:rsidRPr="00635214" w:rsidRDefault="005E541F" w:rsidP="00750BBE">
            <w:pPr>
              <w:ind w:left="-116" w:right="-216"/>
              <w:jc w:val="center"/>
              <w:rPr>
                <w:bCs/>
                <w:i/>
                <w:iCs/>
                <w:sz w:val="20"/>
                <w:szCs w:val="20"/>
              </w:rPr>
            </w:pPr>
            <w:r w:rsidRPr="00635214">
              <w:rPr>
                <w:bCs/>
                <w:i/>
                <w:iCs/>
                <w:sz w:val="20"/>
                <w:szCs w:val="20"/>
              </w:rPr>
              <w:t>125 029,8</w:t>
            </w:r>
          </w:p>
        </w:tc>
        <w:tc>
          <w:tcPr>
            <w:tcW w:w="1221" w:type="dxa"/>
            <w:tcBorders>
              <w:top w:val="nil"/>
              <w:left w:val="nil"/>
              <w:bottom w:val="single" w:sz="4" w:space="0" w:color="auto"/>
              <w:right w:val="single" w:sz="4" w:space="0" w:color="auto"/>
            </w:tcBorders>
            <w:shd w:val="clear" w:color="auto" w:fill="auto"/>
            <w:vAlign w:val="center"/>
          </w:tcPr>
          <w:p w:rsidR="005E541F" w:rsidRPr="00635214" w:rsidRDefault="005E541F" w:rsidP="00191861">
            <w:pPr>
              <w:jc w:val="center"/>
              <w:rPr>
                <w:bCs/>
                <w:i/>
                <w:iCs/>
                <w:sz w:val="20"/>
                <w:szCs w:val="20"/>
              </w:rPr>
            </w:pPr>
            <w:r w:rsidRPr="00635214">
              <w:rPr>
                <w:bCs/>
                <w:i/>
                <w:iCs/>
                <w:sz w:val="20"/>
                <w:szCs w:val="20"/>
              </w:rPr>
              <w:t>77 119,4</w:t>
            </w:r>
          </w:p>
        </w:tc>
        <w:tc>
          <w:tcPr>
            <w:tcW w:w="1356" w:type="dxa"/>
            <w:tcBorders>
              <w:top w:val="nil"/>
              <w:left w:val="nil"/>
              <w:bottom w:val="single" w:sz="4" w:space="0" w:color="auto"/>
              <w:right w:val="single" w:sz="4" w:space="0" w:color="auto"/>
            </w:tcBorders>
            <w:shd w:val="clear" w:color="auto" w:fill="auto"/>
            <w:vAlign w:val="center"/>
          </w:tcPr>
          <w:p w:rsidR="005E541F" w:rsidRPr="00635214" w:rsidRDefault="005E541F" w:rsidP="00750BBE">
            <w:pPr>
              <w:ind w:left="-92" w:right="-101"/>
              <w:jc w:val="center"/>
              <w:rPr>
                <w:bCs/>
                <w:i/>
                <w:iCs/>
                <w:sz w:val="20"/>
                <w:szCs w:val="20"/>
              </w:rPr>
            </w:pPr>
            <w:r w:rsidRPr="00635214">
              <w:rPr>
                <w:bCs/>
                <w:i/>
                <w:iCs/>
                <w:sz w:val="20"/>
                <w:szCs w:val="20"/>
              </w:rPr>
              <w:t>- 47 910,4</w:t>
            </w:r>
          </w:p>
        </w:tc>
        <w:tc>
          <w:tcPr>
            <w:tcW w:w="1219" w:type="dxa"/>
            <w:tcBorders>
              <w:top w:val="nil"/>
              <w:left w:val="nil"/>
              <w:bottom w:val="single" w:sz="4" w:space="0" w:color="auto"/>
              <w:right w:val="single" w:sz="4" w:space="0" w:color="auto"/>
            </w:tcBorders>
            <w:shd w:val="clear" w:color="auto" w:fill="auto"/>
            <w:vAlign w:val="center"/>
          </w:tcPr>
          <w:p w:rsidR="005E541F" w:rsidRPr="00635214" w:rsidRDefault="005E541F" w:rsidP="00750BBE">
            <w:pPr>
              <w:ind w:left="-18" w:right="-30" w:hanging="142"/>
              <w:jc w:val="center"/>
              <w:rPr>
                <w:bCs/>
                <w:i/>
                <w:iCs/>
                <w:sz w:val="20"/>
                <w:szCs w:val="20"/>
              </w:rPr>
            </w:pPr>
            <w:r w:rsidRPr="00635214">
              <w:rPr>
                <w:bCs/>
                <w:i/>
                <w:iCs/>
                <w:sz w:val="20"/>
                <w:szCs w:val="20"/>
              </w:rPr>
              <w:t>62,0</w:t>
            </w:r>
          </w:p>
        </w:tc>
      </w:tr>
      <w:tr w:rsidR="005E541F" w:rsidRPr="00467F9C" w:rsidTr="00750BBE">
        <w:trPr>
          <w:trHeight w:val="424"/>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5E541F" w:rsidRDefault="005E541F" w:rsidP="004438D2">
            <w:pPr>
              <w:ind w:right="-109"/>
              <w:rPr>
                <w:i/>
                <w:iCs/>
                <w:sz w:val="19"/>
                <w:szCs w:val="19"/>
              </w:rPr>
            </w:pPr>
            <w:r w:rsidRPr="00BB5C29">
              <w:rPr>
                <w:i/>
                <w:iCs/>
                <w:sz w:val="19"/>
                <w:szCs w:val="19"/>
              </w:rPr>
              <w:t>Управление средствами нормированного страхового запаса</w:t>
            </w:r>
          </w:p>
          <w:p w:rsidR="000514F4" w:rsidRPr="000514F4" w:rsidRDefault="000514F4" w:rsidP="004438D2">
            <w:pPr>
              <w:ind w:right="-109"/>
              <w:rPr>
                <w:i/>
                <w:iCs/>
                <w:sz w:val="6"/>
                <w:szCs w:val="6"/>
              </w:rPr>
            </w:pPr>
          </w:p>
        </w:tc>
        <w:tc>
          <w:tcPr>
            <w:tcW w:w="1134"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750BBE">
            <w:pPr>
              <w:ind w:left="-116" w:right="-216"/>
              <w:jc w:val="center"/>
              <w:rPr>
                <w:i/>
                <w:iCs/>
                <w:sz w:val="20"/>
                <w:szCs w:val="20"/>
              </w:rPr>
            </w:pPr>
            <w:r w:rsidRPr="00635214">
              <w:rPr>
                <w:i/>
                <w:iCs/>
                <w:sz w:val="20"/>
                <w:szCs w:val="20"/>
              </w:rPr>
              <w:t>73 839,7</w:t>
            </w:r>
          </w:p>
        </w:tc>
        <w:tc>
          <w:tcPr>
            <w:tcW w:w="1221"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191861">
            <w:pPr>
              <w:jc w:val="center"/>
              <w:rPr>
                <w:i/>
                <w:iCs/>
                <w:sz w:val="20"/>
                <w:szCs w:val="20"/>
              </w:rPr>
            </w:pPr>
            <w:r w:rsidRPr="00635214">
              <w:rPr>
                <w:i/>
                <w:iCs/>
                <w:sz w:val="20"/>
                <w:szCs w:val="20"/>
              </w:rPr>
              <w:t>18 740,0</w:t>
            </w:r>
          </w:p>
        </w:tc>
        <w:tc>
          <w:tcPr>
            <w:tcW w:w="1356" w:type="dxa"/>
            <w:tcBorders>
              <w:top w:val="nil"/>
              <w:left w:val="nil"/>
              <w:bottom w:val="single" w:sz="4" w:space="0" w:color="auto"/>
              <w:right w:val="single" w:sz="4" w:space="0" w:color="auto"/>
            </w:tcBorders>
            <w:shd w:val="clear" w:color="auto" w:fill="auto"/>
            <w:noWrap/>
            <w:vAlign w:val="center"/>
            <w:hideMark/>
          </w:tcPr>
          <w:p w:rsidR="005E541F" w:rsidRPr="00635214" w:rsidRDefault="005E541F" w:rsidP="00750BBE">
            <w:pPr>
              <w:ind w:left="-92" w:right="-101"/>
              <w:jc w:val="center"/>
              <w:rPr>
                <w:i/>
                <w:iCs/>
                <w:sz w:val="20"/>
                <w:szCs w:val="20"/>
              </w:rPr>
            </w:pPr>
            <w:r w:rsidRPr="00635214">
              <w:rPr>
                <w:i/>
                <w:iCs/>
                <w:sz w:val="20"/>
                <w:szCs w:val="20"/>
              </w:rPr>
              <w:t>-55 099,7</w:t>
            </w:r>
          </w:p>
        </w:tc>
        <w:tc>
          <w:tcPr>
            <w:tcW w:w="1219" w:type="dxa"/>
            <w:tcBorders>
              <w:top w:val="nil"/>
              <w:left w:val="nil"/>
              <w:bottom w:val="single" w:sz="4" w:space="0" w:color="auto"/>
              <w:right w:val="single" w:sz="4" w:space="0" w:color="auto"/>
            </w:tcBorders>
            <w:shd w:val="clear" w:color="auto" w:fill="auto"/>
            <w:vAlign w:val="center"/>
            <w:hideMark/>
          </w:tcPr>
          <w:p w:rsidR="005E541F" w:rsidRPr="00635214" w:rsidRDefault="005E541F" w:rsidP="00750BBE">
            <w:pPr>
              <w:ind w:left="-18" w:right="-30" w:hanging="142"/>
              <w:jc w:val="center"/>
              <w:rPr>
                <w:i/>
                <w:iCs/>
                <w:sz w:val="20"/>
                <w:szCs w:val="20"/>
              </w:rPr>
            </w:pPr>
            <w:r w:rsidRPr="00635214">
              <w:rPr>
                <w:i/>
                <w:iCs/>
                <w:sz w:val="20"/>
                <w:szCs w:val="20"/>
              </w:rPr>
              <w:t>25,4</w:t>
            </w:r>
          </w:p>
        </w:tc>
      </w:tr>
    </w:tbl>
    <w:p w:rsidR="005E541F" w:rsidRPr="004438D2" w:rsidRDefault="005E541F" w:rsidP="00191861">
      <w:pPr>
        <w:pStyle w:val="a3"/>
        <w:tabs>
          <w:tab w:val="left" w:pos="720"/>
          <w:tab w:val="left" w:pos="2700"/>
          <w:tab w:val="left" w:pos="3060"/>
        </w:tabs>
        <w:ind w:firstLine="709"/>
        <w:jc w:val="both"/>
        <w:rPr>
          <w:b w:val="0"/>
          <w:sz w:val="6"/>
          <w:szCs w:val="6"/>
        </w:rPr>
      </w:pPr>
      <w:bookmarkStart w:id="8" w:name="_Hlk101443766"/>
      <w:bookmarkEnd w:id="7"/>
    </w:p>
    <w:p w:rsidR="005E541F" w:rsidRPr="00467F9C" w:rsidRDefault="005E541F" w:rsidP="00191861">
      <w:pPr>
        <w:ind w:firstLine="709"/>
        <w:jc w:val="both"/>
        <w:rPr>
          <w:sz w:val="28"/>
          <w:szCs w:val="28"/>
        </w:rPr>
      </w:pPr>
      <w:r w:rsidRPr="00467F9C">
        <w:rPr>
          <w:sz w:val="28"/>
          <w:szCs w:val="28"/>
        </w:rPr>
        <w:t xml:space="preserve">Исполнение бюджетных назначений </w:t>
      </w:r>
      <w:r w:rsidRPr="00467F9C">
        <w:rPr>
          <w:b/>
          <w:sz w:val="28"/>
          <w:szCs w:val="28"/>
        </w:rPr>
        <w:t>по расходам</w:t>
      </w:r>
      <w:r w:rsidRPr="00467F9C">
        <w:rPr>
          <w:sz w:val="28"/>
          <w:szCs w:val="28"/>
        </w:rPr>
        <w:t xml:space="preserve"> в отчетном году составило </w:t>
      </w:r>
      <w:r w:rsidRPr="00467F9C">
        <w:rPr>
          <w:bCs/>
          <w:sz w:val="28"/>
          <w:szCs w:val="28"/>
        </w:rPr>
        <w:t xml:space="preserve">3 488 740,5 </w:t>
      </w:r>
      <w:r w:rsidRPr="00467F9C">
        <w:rPr>
          <w:sz w:val="28"/>
          <w:szCs w:val="28"/>
        </w:rPr>
        <w:t xml:space="preserve">тыс. рублей или 94,9% от плановых назначений, отраженных в СБР. Неисполненные бюджетные назначения составили </w:t>
      </w:r>
      <w:r w:rsidRPr="00467F9C">
        <w:rPr>
          <w:bCs/>
          <w:sz w:val="28"/>
          <w:szCs w:val="28"/>
        </w:rPr>
        <w:t>187 752,5</w:t>
      </w:r>
      <w:r w:rsidRPr="00467F9C">
        <w:rPr>
          <w:sz w:val="28"/>
          <w:szCs w:val="28"/>
        </w:rPr>
        <w:t xml:space="preserve"> тыс. рублей или 5,1% от утвержденных ассигнований, из них </w:t>
      </w:r>
      <w:r w:rsidRPr="00467F9C">
        <w:rPr>
          <w:bCs/>
          <w:sz w:val="28"/>
          <w:szCs w:val="28"/>
        </w:rPr>
        <w:t>185 810,8</w:t>
      </w:r>
      <w:r w:rsidRPr="00467F9C">
        <w:rPr>
          <w:sz w:val="28"/>
          <w:szCs w:val="28"/>
        </w:rPr>
        <w:t xml:space="preserve"> тыс. рублей (99%) – по разделу «</w:t>
      </w:r>
      <w:r w:rsidRPr="00467F9C">
        <w:rPr>
          <w:bCs/>
          <w:sz w:val="28"/>
          <w:szCs w:val="28"/>
        </w:rPr>
        <w:t>Здравоохранение</w:t>
      </w:r>
      <w:r w:rsidRPr="00467F9C">
        <w:rPr>
          <w:sz w:val="28"/>
          <w:szCs w:val="28"/>
        </w:rPr>
        <w:t xml:space="preserve">».                  </w:t>
      </w:r>
    </w:p>
    <w:p w:rsidR="005E541F" w:rsidRPr="00467F9C" w:rsidRDefault="005E541F" w:rsidP="00191861">
      <w:pPr>
        <w:ind w:firstLine="708"/>
        <w:jc w:val="both"/>
        <w:rPr>
          <w:sz w:val="28"/>
          <w:szCs w:val="28"/>
        </w:rPr>
      </w:pPr>
      <w:bookmarkStart w:id="9" w:name="_Hlk102028997"/>
      <w:proofErr w:type="spellStart"/>
      <w:r w:rsidRPr="00467F9C">
        <w:rPr>
          <w:b/>
          <w:i/>
          <w:sz w:val="28"/>
          <w:szCs w:val="28"/>
        </w:rPr>
        <w:t>Терпрограмма</w:t>
      </w:r>
      <w:proofErr w:type="spellEnd"/>
      <w:r w:rsidRPr="00467F9C">
        <w:rPr>
          <w:b/>
          <w:i/>
          <w:sz w:val="28"/>
          <w:szCs w:val="28"/>
        </w:rPr>
        <w:t xml:space="preserve"> ОМС</w:t>
      </w:r>
      <w:r w:rsidRPr="00467F9C">
        <w:rPr>
          <w:sz w:val="28"/>
          <w:szCs w:val="28"/>
        </w:rPr>
        <w:t xml:space="preserve"> исполнена в целом в сумме 3 347 368,6 тыс. рублей или на 97,6% от плановых назначений (3 430 169,3 тыс. рублей). </w:t>
      </w:r>
    </w:p>
    <w:p w:rsidR="005E541F" w:rsidRPr="00467F9C" w:rsidRDefault="005E541F" w:rsidP="00191861">
      <w:pPr>
        <w:ind w:firstLine="708"/>
        <w:jc w:val="both"/>
        <w:rPr>
          <w:sz w:val="28"/>
          <w:szCs w:val="28"/>
        </w:rPr>
      </w:pPr>
      <w:r w:rsidRPr="00467F9C">
        <w:rPr>
          <w:sz w:val="28"/>
          <w:szCs w:val="28"/>
        </w:rPr>
        <w:t xml:space="preserve">В рамках реализации </w:t>
      </w:r>
      <w:proofErr w:type="spellStart"/>
      <w:r w:rsidRPr="00467F9C">
        <w:rPr>
          <w:b/>
          <w:i/>
          <w:sz w:val="28"/>
          <w:szCs w:val="28"/>
        </w:rPr>
        <w:t>Терпрограммы</w:t>
      </w:r>
      <w:proofErr w:type="spellEnd"/>
      <w:r w:rsidRPr="00467F9C">
        <w:rPr>
          <w:b/>
          <w:i/>
          <w:sz w:val="28"/>
          <w:szCs w:val="28"/>
        </w:rPr>
        <w:t xml:space="preserve"> ОМС</w:t>
      </w:r>
      <w:r w:rsidRPr="00467F9C">
        <w:rPr>
          <w:sz w:val="28"/>
          <w:szCs w:val="28"/>
        </w:rPr>
        <w:t xml:space="preserve"> за счет средств резервного фонда Правительства РФ:</w:t>
      </w:r>
    </w:p>
    <w:p w:rsidR="005E541F" w:rsidRPr="00467F9C" w:rsidRDefault="005E541F" w:rsidP="00191861">
      <w:pPr>
        <w:ind w:firstLine="708"/>
        <w:jc w:val="both"/>
        <w:rPr>
          <w:sz w:val="28"/>
          <w:szCs w:val="28"/>
        </w:rPr>
      </w:pPr>
      <w:r w:rsidRPr="00467F9C">
        <w:rPr>
          <w:sz w:val="28"/>
          <w:szCs w:val="28"/>
        </w:rPr>
        <w:t>- расходы на проведение углубленной диспансеризации застрахованных по ОМС лиц, перенесших заболевание COVID-19</w:t>
      </w:r>
      <w:r w:rsidRPr="00467F9C">
        <w:rPr>
          <w:rStyle w:val="ab"/>
          <w:sz w:val="28"/>
          <w:szCs w:val="28"/>
        </w:rPr>
        <w:footnoteReference w:id="17"/>
      </w:r>
      <w:r w:rsidRPr="00467F9C">
        <w:rPr>
          <w:sz w:val="28"/>
          <w:szCs w:val="28"/>
        </w:rPr>
        <w:t xml:space="preserve">, составили 208,4 тыс. рублей или 14,1% от годовых бюджетных назначений (1 475,2 тыс. рублей) и произведены на основании фактически принятых счетов, предъявленных медицинскими организациями; </w:t>
      </w:r>
    </w:p>
    <w:p w:rsidR="005E541F" w:rsidRPr="00467F9C" w:rsidRDefault="005E541F" w:rsidP="00191861">
      <w:pPr>
        <w:ind w:firstLine="360"/>
        <w:jc w:val="both"/>
        <w:rPr>
          <w:sz w:val="28"/>
          <w:szCs w:val="28"/>
        </w:rPr>
      </w:pPr>
      <w:r w:rsidRPr="00467F9C">
        <w:rPr>
          <w:sz w:val="28"/>
          <w:szCs w:val="28"/>
        </w:rPr>
        <w:tab/>
        <w:t xml:space="preserve">- расходы на оказание медицинской помощи, в том числе лицам с заболеванием и (или) подозрением на заболевание COVID-19, в рамках реализации </w:t>
      </w:r>
      <w:proofErr w:type="spellStart"/>
      <w:r w:rsidRPr="00467F9C">
        <w:rPr>
          <w:sz w:val="28"/>
          <w:szCs w:val="28"/>
        </w:rPr>
        <w:t>Терпрограммы</w:t>
      </w:r>
      <w:proofErr w:type="spellEnd"/>
      <w:r w:rsidRPr="00467F9C">
        <w:rPr>
          <w:sz w:val="28"/>
          <w:szCs w:val="28"/>
        </w:rPr>
        <w:t xml:space="preserve"> ОМС составили 7 119,8 тыс. рублей или 12,0% от годовых </w:t>
      </w:r>
      <w:r w:rsidRPr="00467F9C">
        <w:rPr>
          <w:sz w:val="28"/>
          <w:szCs w:val="28"/>
        </w:rPr>
        <w:lastRenderedPageBreak/>
        <w:t xml:space="preserve">бюджетных назначений (59 470,3 тыс. рублей). Средства были направлены на лечение жителей округа в условиях круглосуточного стационара в других субъектах РФ по фактически предъявленным Фонду территориальными фондами ОМС счетам. </w:t>
      </w:r>
    </w:p>
    <w:bookmarkEnd w:id="9"/>
    <w:p w:rsidR="005E541F" w:rsidRPr="00467F9C" w:rsidRDefault="005E541F" w:rsidP="00191861">
      <w:pPr>
        <w:ind w:firstLine="708"/>
        <w:jc w:val="both"/>
        <w:rPr>
          <w:bCs/>
          <w:sz w:val="28"/>
          <w:szCs w:val="28"/>
          <w:highlight w:val="yellow"/>
        </w:rPr>
      </w:pPr>
      <w:r w:rsidRPr="00467F9C">
        <w:rPr>
          <w:sz w:val="28"/>
          <w:szCs w:val="28"/>
        </w:rPr>
        <w:t xml:space="preserve">Исполнение на уровне </w:t>
      </w:r>
      <w:r w:rsidRPr="00467F9C">
        <w:rPr>
          <w:iCs/>
          <w:sz w:val="28"/>
          <w:szCs w:val="28"/>
        </w:rPr>
        <w:t>25,4</w:t>
      </w:r>
      <w:r w:rsidRPr="00467F9C">
        <w:rPr>
          <w:sz w:val="28"/>
          <w:szCs w:val="28"/>
        </w:rPr>
        <w:t xml:space="preserve">% от плановых назначений или  в сумме 18 740,0 тыс. рублей отмечается по </w:t>
      </w:r>
      <w:r w:rsidRPr="00467F9C">
        <w:rPr>
          <w:iCs/>
          <w:sz w:val="28"/>
          <w:szCs w:val="28"/>
        </w:rPr>
        <w:t xml:space="preserve">расходам, предусмотренным </w:t>
      </w:r>
      <w:r w:rsidRPr="00467F9C">
        <w:rPr>
          <w:b/>
          <w:i/>
          <w:iCs/>
          <w:sz w:val="28"/>
          <w:szCs w:val="28"/>
        </w:rPr>
        <w:t>по непрограммным направлениям деятельности Фонда</w:t>
      </w:r>
      <w:r w:rsidRPr="00467F9C">
        <w:rPr>
          <w:iCs/>
          <w:sz w:val="28"/>
          <w:szCs w:val="28"/>
        </w:rPr>
        <w:t xml:space="preserve"> </w:t>
      </w:r>
      <w:bookmarkStart w:id="10" w:name="_Hlk102030531"/>
      <w:r w:rsidRPr="00467F9C">
        <w:rPr>
          <w:iCs/>
          <w:sz w:val="28"/>
          <w:szCs w:val="28"/>
        </w:rPr>
        <w:t>за счет средств НСЗ</w:t>
      </w:r>
      <w:r w:rsidRPr="00467F9C">
        <w:rPr>
          <w:sz w:val="28"/>
          <w:szCs w:val="28"/>
        </w:rPr>
        <w:t xml:space="preserve">, из них: </w:t>
      </w:r>
      <w:proofErr w:type="spellStart"/>
      <w:r w:rsidRPr="00467F9C">
        <w:rPr>
          <w:sz w:val="28"/>
          <w:szCs w:val="28"/>
        </w:rPr>
        <w:t>софинансирование</w:t>
      </w:r>
      <w:proofErr w:type="spellEnd"/>
      <w:r w:rsidRPr="00467F9C">
        <w:rPr>
          <w:sz w:val="28"/>
          <w:szCs w:val="28"/>
        </w:rPr>
        <w:t xml:space="preserve"> расходов на оплату труда привлеченных медицинских работников (врачи и средний медицинский персонал) за счет средств Фонда составило 245,9 тыс. рублей или 0,5 % от плановых назначений. За 2021 год численность привлеченных в ГБУЗ «Чукотская окружная больница» врачей и среднего медицинского персонала, сверх установленной на начало отчетного периода штатной численности данной категории специалистов, составило 1 единицу.</w:t>
      </w:r>
    </w:p>
    <w:bookmarkEnd w:id="10"/>
    <w:p w:rsidR="005E541F" w:rsidRPr="00467F9C" w:rsidRDefault="005E541F" w:rsidP="00191861">
      <w:pPr>
        <w:pStyle w:val="affff5"/>
        <w:ind w:left="0" w:right="0" w:firstLine="709"/>
        <w:rPr>
          <w:szCs w:val="28"/>
        </w:rPr>
      </w:pPr>
      <w:r w:rsidRPr="00467F9C">
        <w:rPr>
          <w:szCs w:val="28"/>
        </w:rPr>
        <w:t>Исполнение бюджетных назначений на «Финансовое обеспечение иных расходов» также сложилось на низком уровне – 62,0% или 77 119,4 тыс. рублей, в отчетном периоде не востребованы ассигнования в объеме 47 910,4 тыс. рублей, предусмотренные на выплаты стимулирующего характера медработникам за выявление онкозаболеваний в ходе проведения диспансеризации и профосмотров, в связи с отсутствием выявленных в 2021 году случаев онкозаболеваний.</w:t>
      </w:r>
    </w:p>
    <w:p w:rsidR="005E541F" w:rsidRPr="00467F9C" w:rsidRDefault="005E541F" w:rsidP="00191861">
      <w:pPr>
        <w:ind w:firstLine="709"/>
        <w:jc w:val="both"/>
        <w:rPr>
          <w:sz w:val="28"/>
          <w:szCs w:val="28"/>
        </w:rPr>
      </w:pPr>
      <w:r w:rsidRPr="00467F9C">
        <w:rPr>
          <w:sz w:val="28"/>
          <w:szCs w:val="28"/>
        </w:rPr>
        <w:t>Исполнение в 2021 году бюджета Фонда по расходам в разрезе видов расходов бюджетной классификации приведено в таблице 6.</w:t>
      </w:r>
    </w:p>
    <w:tbl>
      <w:tblPr>
        <w:tblW w:w="10091" w:type="dxa"/>
        <w:tblLook w:val="04A0" w:firstRow="1" w:lastRow="0" w:firstColumn="1" w:lastColumn="0" w:noHBand="0" w:noVBand="1"/>
      </w:tblPr>
      <w:tblGrid>
        <w:gridCol w:w="4820"/>
        <w:gridCol w:w="813"/>
        <w:gridCol w:w="1205"/>
        <w:gridCol w:w="1128"/>
        <w:gridCol w:w="1141"/>
        <w:gridCol w:w="923"/>
        <w:gridCol w:w="61"/>
      </w:tblGrid>
      <w:tr w:rsidR="005E541F" w:rsidRPr="00467F9C" w:rsidTr="001C5BF1">
        <w:trPr>
          <w:trHeight w:val="167"/>
        </w:trPr>
        <w:tc>
          <w:tcPr>
            <w:tcW w:w="10091" w:type="dxa"/>
            <w:gridSpan w:val="7"/>
            <w:tcBorders>
              <w:top w:val="nil"/>
              <w:left w:val="nil"/>
              <w:bottom w:val="nil"/>
              <w:right w:val="nil"/>
            </w:tcBorders>
            <w:shd w:val="clear" w:color="auto" w:fill="auto"/>
            <w:noWrap/>
            <w:vAlign w:val="bottom"/>
          </w:tcPr>
          <w:p w:rsidR="005E541F" w:rsidRPr="00467F9C" w:rsidRDefault="005E541F" w:rsidP="00191861">
            <w:pPr>
              <w:jc w:val="right"/>
            </w:pPr>
            <w:r w:rsidRPr="00467F9C">
              <w:rPr>
                <w:sz w:val="28"/>
                <w:szCs w:val="28"/>
              </w:rPr>
              <w:t>Таблица 6 (тыс. рублей)</w:t>
            </w:r>
          </w:p>
        </w:tc>
      </w:tr>
      <w:tr w:rsidR="005E541F" w:rsidRPr="00467F9C" w:rsidTr="001C5BF1">
        <w:trPr>
          <w:gridAfter w:val="1"/>
          <w:wAfter w:w="61" w:type="dxa"/>
          <w:trHeight w:val="596"/>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Наименование показателя</w:t>
            </w:r>
          </w:p>
        </w:tc>
        <w:tc>
          <w:tcPr>
            <w:tcW w:w="813" w:type="dxa"/>
            <w:tcBorders>
              <w:top w:val="single" w:sz="4" w:space="0" w:color="auto"/>
              <w:left w:val="nil"/>
              <w:bottom w:val="single" w:sz="4" w:space="0" w:color="auto"/>
              <w:right w:val="single" w:sz="4" w:space="0" w:color="auto"/>
            </w:tcBorders>
            <w:shd w:val="clear" w:color="auto" w:fill="auto"/>
            <w:vAlign w:val="center"/>
            <w:hideMark/>
          </w:tcPr>
          <w:p w:rsidR="005E541F" w:rsidRPr="00467F9C" w:rsidRDefault="005E541F" w:rsidP="000E643E">
            <w:pPr>
              <w:ind w:left="-100" w:right="-117"/>
              <w:jc w:val="center"/>
              <w:rPr>
                <w:sz w:val="18"/>
                <w:szCs w:val="18"/>
              </w:rPr>
            </w:pPr>
            <w:r w:rsidRPr="00467F9C">
              <w:rPr>
                <w:sz w:val="18"/>
                <w:szCs w:val="18"/>
              </w:rPr>
              <w:t>Виды расходов</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5E541F" w:rsidRPr="00467F9C" w:rsidRDefault="005E541F" w:rsidP="001C5BF1">
            <w:pPr>
              <w:ind w:left="-178" w:right="-43"/>
              <w:jc w:val="center"/>
              <w:rPr>
                <w:sz w:val="18"/>
                <w:szCs w:val="18"/>
              </w:rPr>
            </w:pPr>
            <w:r w:rsidRPr="00467F9C">
              <w:rPr>
                <w:sz w:val="18"/>
                <w:szCs w:val="18"/>
              </w:rPr>
              <w:t>Утверждены                 назначения</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 xml:space="preserve">Исполнено </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rsidR="005E541F" w:rsidRPr="00467F9C" w:rsidRDefault="005E541F" w:rsidP="00F32776">
            <w:pPr>
              <w:ind w:left="-175" w:right="-45" w:firstLine="120"/>
              <w:jc w:val="center"/>
              <w:rPr>
                <w:sz w:val="18"/>
                <w:szCs w:val="18"/>
              </w:rPr>
            </w:pPr>
            <w:r w:rsidRPr="00467F9C">
              <w:rPr>
                <w:sz w:val="18"/>
                <w:szCs w:val="18"/>
              </w:rPr>
              <w:t>Исполнение, % (гр.4/гр.3)</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5E541F" w:rsidRPr="00467F9C" w:rsidRDefault="001C5BF1" w:rsidP="000E643E">
            <w:pPr>
              <w:ind w:left="-180" w:right="-105"/>
              <w:jc w:val="center"/>
              <w:rPr>
                <w:sz w:val="18"/>
                <w:szCs w:val="18"/>
              </w:rPr>
            </w:pPr>
            <w:r>
              <w:rPr>
                <w:sz w:val="18"/>
                <w:szCs w:val="18"/>
              </w:rPr>
              <w:t xml:space="preserve"> </w:t>
            </w:r>
            <w:proofErr w:type="gramStart"/>
            <w:r w:rsidR="005E541F" w:rsidRPr="00467F9C">
              <w:rPr>
                <w:sz w:val="18"/>
                <w:szCs w:val="18"/>
              </w:rPr>
              <w:t>Структура,  %</w:t>
            </w:r>
            <w:proofErr w:type="gramEnd"/>
          </w:p>
        </w:tc>
      </w:tr>
      <w:tr w:rsidR="005E541F" w:rsidRPr="00467F9C" w:rsidTr="001C5BF1">
        <w:trPr>
          <w:gridAfter w:val="1"/>
          <w:wAfter w:w="61" w:type="dxa"/>
          <w:trHeight w:val="19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jc w:val="center"/>
              <w:rPr>
                <w:sz w:val="16"/>
                <w:szCs w:val="16"/>
              </w:rPr>
            </w:pPr>
            <w:r w:rsidRPr="00467F9C">
              <w:rPr>
                <w:sz w:val="16"/>
                <w:szCs w:val="16"/>
              </w:rPr>
              <w:t>1</w:t>
            </w:r>
          </w:p>
        </w:tc>
        <w:tc>
          <w:tcPr>
            <w:tcW w:w="813"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6"/>
                <w:szCs w:val="16"/>
              </w:rPr>
            </w:pPr>
            <w:r w:rsidRPr="00467F9C">
              <w:rPr>
                <w:sz w:val="16"/>
                <w:szCs w:val="16"/>
              </w:rPr>
              <w:t>2</w:t>
            </w:r>
          </w:p>
        </w:tc>
        <w:tc>
          <w:tcPr>
            <w:tcW w:w="1205"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C5BF1">
            <w:pPr>
              <w:ind w:left="-178" w:right="-43"/>
              <w:jc w:val="center"/>
              <w:rPr>
                <w:sz w:val="16"/>
                <w:szCs w:val="16"/>
              </w:rPr>
            </w:pPr>
            <w:r w:rsidRPr="00467F9C">
              <w:rPr>
                <w:sz w:val="16"/>
                <w:szCs w:val="16"/>
              </w:rPr>
              <w:t>3</w:t>
            </w:r>
          </w:p>
        </w:tc>
        <w:tc>
          <w:tcPr>
            <w:tcW w:w="1128"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6"/>
                <w:szCs w:val="16"/>
              </w:rPr>
            </w:pPr>
            <w:r w:rsidRPr="00467F9C">
              <w:rPr>
                <w:sz w:val="16"/>
                <w:szCs w:val="16"/>
              </w:rPr>
              <w:t>4</w:t>
            </w:r>
          </w:p>
        </w:tc>
        <w:tc>
          <w:tcPr>
            <w:tcW w:w="1141"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6"/>
                <w:szCs w:val="16"/>
              </w:rPr>
            </w:pPr>
            <w:r w:rsidRPr="00467F9C">
              <w:rPr>
                <w:sz w:val="16"/>
                <w:szCs w:val="16"/>
              </w:rPr>
              <w:t>5</w:t>
            </w:r>
          </w:p>
        </w:tc>
        <w:tc>
          <w:tcPr>
            <w:tcW w:w="923"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6"/>
                <w:szCs w:val="16"/>
              </w:rPr>
            </w:pPr>
            <w:r w:rsidRPr="00467F9C">
              <w:rPr>
                <w:sz w:val="16"/>
                <w:szCs w:val="16"/>
              </w:rPr>
              <w:t>6</w:t>
            </w:r>
          </w:p>
        </w:tc>
      </w:tr>
      <w:tr w:rsidR="005E541F" w:rsidRPr="00467F9C" w:rsidTr="001C5BF1">
        <w:trPr>
          <w:gridAfter w:val="1"/>
          <w:wAfter w:w="61" w:type="dxa"/>
          <w:trHeight w:val="30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E541F" w:rsidRPr="00083F7C" w:rsidRDefault="005E541F" w:rsidP="00191861">
            <w:pPr>
              <w:rPr>
                <w:b/>
                <w:bCs/>
                <w:sz w:val="20"/>
                <w:szCs w:val="20"/>
              </w:rPr>
            </w:pPr>
            <w:r w:rsidRPr="00083F7C">
              <w:rPr>
                <w:b/>
                <w:bCs/>
                <w:sz w:val="20"/>
                <w:szCs w:val="20"/>
              </w:rPr>
              <w:t>РАСХОДЫ всего, в том числе:</w:t>
            </w:r>
          </w:p>
        </w:tc>
        <w:tc>
          <w:tcPr>
            <w:tcW w:w="813" w:type="dxa"/>
            <w:tcBorders>
              <w:top w:val="nil"/>
              <w:left w:val="nil"/>
              <w:bottom w:val="single" w:sz="4" w:space="0" w:color="auto"/>
              <w:right w:val="single" w:sz="4" w:space="0" w:color="auto"/>
            </w:tcBorders>
            <w:shd w:val="clear" w:color="auto" w:fill="auto"/>
            <w:vAlign w:val="center"/>
            <w:hideMark/>
          </w:tcPr>
          <w:p w:rsidR="005E541F" w:rsidRPr="00083F7C" w:rsidRDefault="005E541F" w:rsidP="00191861">
            <w:pPr>
              <w:jc w:val="center"/>
              <w:rPr>
                <w:b/>
                <w:bCs/>
                <w:sz w:val="20"/>
                <w:szCs w:val="20"/>
              </w:rPr>
            </w:pPr>
            <w:r w:rsidRPr="00083F7C">
              <w:rPr>
                <w:b/>
                <w:bCs/>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rsidR="005E541F" w:rsidRPr="00083F7C" w:rsidRDefault="005E541F" w:rsidP="001C5BF1">
            <w:pPr>
              <w:ind w:left="-178" w:right="-43"/>
              <w:jc w:val="center"/>
              <w:rPr>
                <w:b/>
                <w:bCs/>
                <w:sz w:val="20"/>
                <w:szCs w:val="20"/>
              </w:rPr>
            </w:pPr>
            <w:r w:rsidRPr="00083F7C">
              <w:rPr>
                <w:b/>
                <w:bCs/>
                <w:sz w:val="20"/>
                <w:szCs w:val="20"/>
              </w:rPr>
              <w:t>3 676 493,0</w:t>
            </w:r>
          </w:p>
        </w:tc>
        <w:tc>
          <w:tcPr>
            <w:tcW w:w="1128" w:type="dxa"/>
            <w:tcBorders>
              <w:top w:val="nil"/>
              <w:left w:val="nil"/>
              <w:bottom w:val="single" w:sz="4" w:space="0" w:color="auto"/>
              <w:right w:val="single" w:sz="4" w:space="0" w:color="auto"/>
            </w:tcBorders>
            <w:shd w:val="clear" w:color="auto" w:fill="auto"/>
            <w:vAlign w:val="center"/>
            <w:hideMark/>
          </w:tcPr>
          <w:p w:rsidR="005E541F" w:rsidRPr="00083F7C" w:rsidRDefault="005E541F" w:rsidP="00083F7C">
            <w:pPr>
              <w:ind w:left="-110" w:right="-120"/>
              <w:jc w:val="center"/>
              <w:rPr>
                <w:b/>
                <w:bCs/>
                <w:sz w:val="20"/>
                <w:szCs w:val="20"/>
              </w:rPr>
            </w:pPr>
            <w:r w:rsidRPr="00083F7C">
              <w:rPr>
                <w:b/>
                <w:bCs/>
                <w:sz w:val="20"/>
                <w:szCs w:val="20"/>
              </w:rPr>
              <w:t>3 488 740,5</w:t>
            </w:r>
          </w:p>
        </w:tc>
        <w:tc>
          <w:tcPr>
            <w:tcW w:w="1141" w:type="dxa"/>
            <w:tcBorders>
              <w:top w:val="nil"/>
              <w:left w:val="nil"/>
              <w:bottom w:val="single" w:sz="4" w:space="0" w:color="auto"/>
              <w:right w:val="single" w:sz="4" w:space="0" w:color="auto"/>
            </w:tcBorders>
            <w:shd w:val="clear" w:color="auto" w:fill="auto"/>
            <w:vAlign w:val="center"/>
            <w:hideMark/>
          </w:tcPr>
          <w:p w:rsidR="005E541F" w:rsidRPr="00083F7C" w:rsidRDefault="005E541F" w:rsidP="00191861">
            <w:pPr>
              <w:jc w:val="center"/>
              <w:rPr>
                <w:b/>
                <w:bCs/>
                <w:sz w:val="20"/>
                <w:szCs w:val="20"/>
              </w:rPr>
            </w:pPr>
            <w:r w:rsidRPr="00083F7C">
              <w:rPr>
                <w:b/>
                <w:bCs/>
                <w:sz w:val="20"/>
                <w:szCs w:val="20"/>
              </w:rPr>
              <w:t>94,9</w:t>
            </w:r>
          </w:p>
        </w:tc>
        <w:tc>
          <w:tcPr>
            <w:tcW w:w="923" w:type="dxa"/>
            <w:tcBorders>
              <w:top w:val="nil"/>
              <w:left w:val="nil"/>
              <w:bottom w:val="single" w:sz="4" w:space="0" w:color="auto"/>
              <w:right w:val="single" w:sz="4" w:space="0" w:color="auto"/>
            </w:tcBorders>
            <w:shd w:val="clear" w:color="auto" w:fill="auto"/>
            <w:vAlign w:val="center"/>
            <w:hideMark/>
          </w:tcPr>
          <w:p w:rsidR="005E541F" w:rsidRPr="00083F7C" w:rsidRDefault="005E541F" w:rsidP="00191861">
            <w:pPr>
              <w:jc w:val="center"/>
              <w:rPr>
                <w:b/>
                <w:bCs/>
                <w:sz w:val="20"/>
                <w:szCs w:val="20"/>
              </w:rPr>
            </w:pPr>
            <w:r w:rsidRPr="00083F7C">
              <w:rPr>
                <w:b/>
                <w:bCs/>
                <w:sz w:val="20"/>
                <w:szCs w:val="20"/>
              </w:rPr>
              <w:t>100,0</w:t>
            </w:r>
          </w:p>
        </w:tc>
      </w:tr>
      <w:tr w:rsidR="005E541F" w:rsidRPr="00467F9C" w:rsidTr="001C5BF1">
        <w:trPr>
          <w:gridAfter w:val="1"/>
          <w:wAfter w:w="61" w:type="dxa"/>
          <w:trHeight w:val="49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E541F" w:rsidRPr="00083F7C" w:rsidRDefault="005E541F" w:rsidP="001C5BF1">
            <w:pPr>
              <w:ind w:right="-113"/>
              <w:rPr>
                <w:sz w:val="20"/>
                <w:szCs w:val="20"/>
              </w:rPr>
            </w:pPr>
            <w:r w:rsidRPr="00083F7C">
              <w:rPr>
                <w:sz w:val="20"/>
                <w:szCs w:val="20"/>
              </w:rPr>
              <w:t>Фонд оплаты труда государственных внебюджетных фондов</w:t>
            </w:r>
          </w:p>
        </w:tc>
        <w:tc>
          <w:tcPr>
            <w:tcW w:w="813" w:type="dxa"/>
            <w:tcBorders>
              <w:top w:val="nil"/>
              <w:left w:val="nil"/>
              <w:bottom w:val="single" w:sz="4" w:space="0" w:color="auto"/>
              <w:right w:val="single" w:sz="4" w:space="0" w:color="auto"/>
            </w:tcBorders>
            <w:shd w:val="clear" w:color="auto" w:fill="auto"/>
            <w:vAlign w:val="center"/>
            <w:hideMark/>
          </w:tcPr>
          <w:p w:rsidR="005E541F" w:rsidRPr="00083F7C" w:rsidRDefault="005E541F" w:rsidP="00191861">
            <w:pPr>
              <w:jc w:val="center"/>
              <w:rPr>
                <w:sz w:val="20"/>
                <w:szCs w:val="20"/>
              </w:rPr>
            </w:pPr>
            <w:r w:rsidRPr="00083F7C">
              <w:rPr>
                <w:sz w:val="20"/>
                <w:szCs w:val="20"/>
              </w:rPr>
              <w:t>141</w:t>
            </w:r>
          </w:p>
        </w:tc>
        <w:tc>
          <w:tcPr>
            <w:tcW w:w="1205" w:type="dxa"/>
            <w:tcBorders>
              <w:top w:val="nil"/>
              <w:left w:val="nil"/>
              <w:bottom w:val="single" w:sz="4" w:space="0" w:color="auto"/>
              <w:right w:val="single" w:sz="4" w:space="0" w:color="auto"/>
            </w:tcBorders>
            <w:shd w:val="clear" w:color="auto" w:fill="auto"/>
            <w:noWrap/>
            <w:vAlign w:val="center"/>
            <w:hideMark/>
          </w:tcPr>
          <w:p w:rsidR="005E541F" w:rsidRPr="00083F7C" w:rsidRDefault="005E541F" w:rsidP="001C5BF1">
            <w:pPr>
              <w:ind w:left="-178" w:right="-43"/>
              <w:jc w:val="center"/>
              <w:rPr>
                <w:sz w:val="20"/>
                <w:szCs w:val="20"/>
              </w:rPr>
            </w:pPr>
            <w:r w:rsidRPr="00083F7C">
              <w:rPr>
                <w:sz w:val="20"/>
                <w:szCs w:val="20"/>
              </w:rPr>
              <w:t>27 565,7</w:t>
            </w:r>
          </w:p>
        </w:tc>
        <w:tc>
          <w:tcPr>
            <w:tcW w:w="1128" w:type="dxa"/>
            <w:tcBorders>
              <w:top w:val="nil"/>
              <w:left w:val="nil"/>
              <w:bottom w:val="single" w:sz="4" w:space="0" w:color="auto"/>
              <w:right w:val="single" w:sz="4" w:space="0" w:color="auto"/>
            </w:tcBorders>
            <w:shd w:val="clear" w:color="auto" w:fill="auto"/>
            <w:noWrap/>
            <w:vAlign w:val="center"/>
            <w:hideMark/>
          </w:tcPr>
          <w:p w:rsidR="005E541F" w:rsidRPr="00083F7C" w:rsidRDefault="005E541F" w:rsidP="00191861">
            <w:pPr>
              <w:jc w:val="center"/>
              <w:rPr>
                <w:sz w:val="20"/>
                <w:szCs w:val="20"/>
              </w:rPr>
            </w:pPr>
            <w:r w:rsidRPr="00083F7C">
              <w:rPr>
                <w:sz w:val="20"/>
                <w:szCs w:val="20"/>
              </w:rPr>
              <w:t>27 565,1</w:t>
            </w:r>
          </w:p>
        </w:tc>
        <w:tc>
          <w:tcPr>
            <w:tcW w:w="1141" w:type="dxa"/>
            <w:tcBorders>
              <w:top w:val="nil"/>
              <w:left w:val="nil"/>
              <w:bottom w:val="single" w:sz="4" w:space="0" w:color="auto"/>
              <w:right w:val="single" w:sz="4" w:space="0" w:color="auto"/>
            </w:tcBorders>
            <w:shd w:val="clear" w:color="auto" w:fill="auto"/>
            <w:vAlign w:val="center"/>
            <w:hideMark/>
          </w:tcPr>
          <w:p w:rsidR="005E541F" w:rsidRPr="00083F7C" w:rsidRDefault="005E541F" w:rsidP="00191861">
            <w:pPr>
              <w:jc w:val="center"/>
              <w:rPr>
                <w:sz w:val="20"/>
                <w:szCs w:val="20"/>
              </w:rPr>
            </w:pPr>
            <w:r w:rsidRPr="00083F7C">
              <w:rPr>
                <w:sz w:val="20"/>
                <w:szCs w:val="20"/>
              </w:rPr>
              <w:t>100,0</w:t>
            </w:r>
          </w:p>
        </w:tc>
        <w:tc>
          <w:tcPr>
            <w:tcW w:w="923" w:type="dxa"/>
            <w:tcBorders>
              <w:top w:val="nil"/>
              <w:left w:val="nil"/>
              <w:bottom w:val="single" w:sz="4" w:space="0" w:color="auto"/>
              <w:right w:val="single" w:sz="4" w:space="0" w:color="auto"/>
            </w:tcBorders>
            <w:shd w:val="clear" w:color="auto" w:fill="auto"/>
            <w:noWrap/>
            <w:vAlign w:val="center"/>
            <w:hideMark/>
          </w:tcPr>
          <w:p w:rsidR="005E541F" w:rsidRPr="00083F7C" w:rsidRDefault="005E541F" w:rsidP="00191861">
            <w:pPr>
              <w:jc w:val="center"/>
              <w:rPr>
                <w:sz w:val="20"/>
                <w:szCs w:val="20"/>
              </w:rPr>
            </w:pPr>
            <w:r w:rsidRPr="00083F7C">
              <w:rPr>
                <w:sz w:val="20"/>
                <w:szCs w:val="20"/>
              </w:rPr>
              <w:t>0,9</w:t>
            </w:r>
          </w:p>
        </w:tc>
      </w:tr>
      <w:tr w:rsidR="005E541F" w:rsidRPr="00467F9C" w:rsidTr="001C5BF1">
        <w:trPr>
          <w:gridAfter w:val="1"/>
          <w:wAfter w:w="61" w:type="dxa"/>
          <w:trHeight w:val="469"/>
        </w:trPr>
        <w:tc>
          <w:tcPr>
            <w:tcW w:w="4820" w:type="dxa"/>
            <w:tcBorders>
              <w:top w:val="nil"/>
              <w:left w:val="single" w:sz="4" w:space="0" w:color="auto"/>
              <w:bottom w:val="single" w:sz="4" w:space="0" w:color="auto"/>
              <w:right w:val="single" w:sz="4" w:space="0" w:color="auto"/>
            </w:tcBorders>
            <w:shd w:val="clear" w:color="000000" w:fill="FFFFFF"/>
            <w:vAlign w:val="center"/>
            <w:hideMark/>
          </w:tcPr>
          <w:p w:rsidR="005E541F" w:rsidRPr="00083F7C" w:rsidRDefault="005E541F" w:rsidP="001C5BF1">
            <w:pPr>
              <w:ind w:right="-113"/>
              <w:rPr>
                <w:sz w:val="20"/>
                <w:szCs w:val="20"/>
              </w:rPr>
            </w:pPr>
            <w:r w:rsidRPr="00083F7C">
              <w:rPr>
                <w:sz w:val="20"/>
                <w:szCs w:val="20"/>
              </w:rPr>
              <w:t xml:space="preserve">Иные выплаты персоналу, за исключением фонда оплаты труда </w:t>
            </w:r>
          </w:p>
        </w:tc>
        <w:tc>
          <w:tcPr>
            <w:tcW w:w="813" w:type="dxa"/>
            <w:tcBorders>
              <w:top w:val="nil"/>
              <w:left w:val="nil"/>
              <w:bottom w:val="single" w:sz="4" w:space="0" w:color="auto"/>
              <w:right w:val="single" w:sz="4" w:space="0" w:color="auto"/>
            </w:tcBorders>
            <w:shd w:val="clear" w:color="000000" w:fill="FFFFFF"/>
            <w:vAlign w:val="center"/>
            <w:hideMark/>
          </w:tcPr>
          <w:p w:rsidR="005E541F" w:rsidRPr="00083F7C" w:rsidRDefault="005E541F" w:rsidP="00191861">
            <w:pPr>
              <w:jc w:val="center"/>
              <w:rPr>
                <w:sz w:val="20"/>
                <w:szCs w:val="20"/>
              </w:rPr>
            </w:pPr>
            <w:r w:rsidRPr="00083F7C">
              <w:rPr>
                <w:sz w:val="20"/>
                <w:szCs w:val="20"/>
              </w:rPr>
              <w:t>142</w:t>
            </w:r>
          </w:p>
        </w:tc>
        <w:tc>
          <w:tcPr>
            <w:tcW w:w="1205" w:type="dxa"/>
            <w:tcBorders>
              <w:top w:val="nil"/>
              <w:left w:val="nil"/>
              <w:bottom w:val="single" w:sz="4" w:space="0" w:color="auto"/>
              <w:right w:val="single" w:sz="4" w:space="0" w:color="auto"/>
            </w:tcBorders>
            <w:shd w:val="clear" w:color="auto" w:fill="auto"/>
            <w:noWrap/>
            <w:vAlign w:val="center"/>
            <w:hideMark/>
          </w:tcPr>
          <w:p w:rsidR="005E541F" w:rsidRPr="00083F7C" w:rsidRDefault="005E541F" w:rsidP="001C5BF1">
            <w:pPr>
              <w:ind w:left="-178" w:right="-43"/>
              <w:jc w:val="center"/>
              <w:rPr>
                <w:sz w:val="20"/>
                <w:szCs w:val="20"/>
              </w:rPr>
            </w:pPr>
            <w:r w:rsidRPr="00083F7C">
              <w:rPr>
                <w:sz w:val="20"/>
                <w:szCs w:val="20"/>
              </w:rPr>
              <w:t>2 189,3</w:t>
            </w:r>
          </w:p>
        </w:tc>
        <w:tc>
          <w:tcPr>
            <w:tcW w:w="1128" w:type="dxa"/>
            <w:tcBorders>
              <w:top w:val="nil"/>
              <w:left w:val="nil"/>
              <w:bottom w:val="single" w:sz="4" w:space="0" w:color="auto"/>
              <w:right w:val="single" w:sz="4" w:space="0" w:color="auto"/>
            </w:tcBorders>
            <w:shd w:val="clear" w:color="auto" w:fill="auto"/>
            <w:noWrap/>
            <w:vAlign w:val="center"/>
            <w:hideMark/>
          </w:tcPr>
          <w:p w:rsidR="005E541F" w:rsidRPr="00083F7C" w:rsidRDefault="005E541F" w:rsidP="00191861">
            <w:pPr>
              <w:jc w:val="center"/>
              <w:rPr>
                <w:sz w:val="20"/>
                <w:szCs w:val="20"/>
              </w:rPr>
            </w:pPr>
            <w:r w:rsidRPr="00083F7C">
              <w:rPr>
                <w:sz w:val="20"/>
                <w:szCs w:val="20"/>
              </w:rPr>
              <w:t>1 342,3</w:t>
            </w:r>
          </w:p>
        </w:tc>
        <w:tc>
          <w:tcPr>
            <w:tcW w:w="1141" w:type="dxa"/>
            <w:tcBorders>
              <w:top w:val="nil"/>
              <w:left w:val="nil"/>
              <w:bottom w:val="single" w:sz="4" w:space="0" w:color="auto"/>
              <w:right w:val="single" w:sz="4" w:space="0" w:color="auto"/>
            </w:tcBorders>
            <w:shd w:val="clear" w:color="auto" w:fill="auto"/>
            <w:vAlign w:val="center"/>
            <w:hideMark/>
          </w:tcPr>
          <w:p w:rsidR="005E541F" w:rsidRPr="00083F7C" w:rsidRDefault="005E541F" w:rsidP="00191861">
            <w:pPr>
              <w:jc w:val="center"/>
              <w:rPr>
                <w:sz w:val="20"/>
                <w:szCs w:val="20"/>
              </w:rPr>
            </w:pPr>
            <w:r w:rsidRPr="00083F7C">
              <w:rPr>
                <w:sz w:val="20"/>
                <w:szCs w:val="20"/>
              </w:rPr>
              <w:t>61,3</w:t>
            </w:r>
          </w:p>
        </w:tc>
        <w:tc>
          <w:tcPr>
            <w:tcW w:w="923" w:type="dxa"/>
            <w:tcBorders>
              <w:top w:val="nil"/>
              <w:left w:val="nil"/>
              <w:bottom w:val="single" w:sz="4" w:space="0" w:color="auto"/>
              <w:right w:val="single" w:sz="4" w:space="0" w:color="auto"/>
            </w:tcBorders>
            <w:shd w:val="clear" w:color="auto" w:fill="auto"/>
            <w:noWrap/>
            <w:vAlign w:val="center"/>
            <w:hideMark/>
          </w:tcPr>
          <w:p w:rsidR="005E541F" w:rsidRPr="00083F7C" w:rsidRDefault="005E541F" w:rsidP="00191861">
            <w:pPr>
              <w:jc w:val="center"/>
              <w:rPr>
                <w:sz w:val="20"/>
                <w:szCs w:val="20"/>
              </w:rPr>
            </w:pPr>
            <w:r w:rsidRPr="00083F7C">
              <w:rPr>
                <w:sz w:val="20"/>
                <w:szCs w:val="20"/>
              </w:rPr>
              <w:t>0,0</w:t>
            </w:r>
          </w:p>
        </w:tc>
      </w:tr>
      <w:tr w:rsidR="005E541F" w:rsidRPr="00467F9C" w:rsidTr="001C5BF1">
        <w:trPr>
          <w:gridAfter w:val="1"/>
          <w:wAfter w:w="61" w:type="dxa"/>
          <w:trHeight w:val="723"/>
        </w:trPr>
        <w:tc>
          <w:tcPr>
            <w:tcW w:w="4820" w:type="dxa"/>
            <w:tcBorders>
              <w:top w:val="nil"/>
              <w:left w:val="single" w:sz="4" w:space="0" w:color="auto"/>
              <w:bottom w:val="single" w:sz="4" w:space="0" w:color="auto"/>
              <w:right w:val="single" w:sz="4" w:space="0" w:color="auto"/>
            </w:tcBorders>
            <w:shd w:val="clear" w:color="000000" w:fill="FFFFFF"/>
            <w:vAlign w:val="center"/>
            <w:hideMark/>
          </w:tcPr>
          <w:p w:rsidR="005E541F" w:rsidRPr="00083F7C" w:rsidRDefault="005E541F" w:rsidP="001C5BF1">
            <w:pPr>
              <w:ind w:right="-113"/>
              <w:rPr>
                <w:sz w:val="20"/>
                <w:szCs w:val="20"/>
              </w:rPr>
            </w:pPr>
            <w:r w:rsidRPr="00083F7C">
              <w:rPr>
                <w:sz w:val="20"/>
                <w:szCs w:val="20"/>
              </w:rPr>
              <w:t xml:space="preserve">Взносы по обязательному социальному страхованию на выплаты по оплате труда работников и иные выплаты работникам государственных внебюджетных фондов </w:t>
            </w:r>
          </w:p>
        </w:tc>
        <w:tc>
          <w:tcPr>
            <w:tcW w:w="813" w:type="dxa"/>
            <w:tcBorders>
              <w:top w:val="nil"/>
              <w:left w:val="nil"/>
              <w:bottom w:val="single" w:sz="4" w:space="0" w:color="auto"/>
              <w:right w:val="single" w:sz="4" w:space="0" w:color="auto"/>
            </w:tcBorders>
            <w:shd w:val="clear" w:color="000000" w:fill="FFFFFF"/>
            <w:vAlign w:val="center"/>
            <w:hideMark/>
          </w:tcPr>
          <w:p w:rsidR="005E541F" w:rsidRPr="00083F7C" w:rsidRDefault="005E541F" w:rsidP="00191861">
            <w:pPr>
              <w:jc w:val="center"/>
              <w:rPr>
                <w:sz w:val="20"/>
                <w:szCs w:val="20"/>
              </w:rPr>
            </w:pPr>
            <w:r w:rsidRPr="00083F7C">
              <w:rPr>
                <w:sz w:val="20"/>
                <w:szCs w:val="20"/>
              </w:rPr>
              <w:t>149</w:t>
            </w:r>
          </w:p>
        </w:tc>
        <w:tc>
          <w:tcPr>
            <w:tcW w:w="1205" w:type="dxa"/>
            <w:tcBorders>
              <w:top w:val="nil"/>
              <w:left w:val="nil"/>
              <w:bottom w:val="single" w:sz="4" w:space="0" w:color="auto"/>
              <w:right w:val="single" w:sz="4" w:space="0" w:color="auto"/>
            </w:tcBorders>
            <w:shd w:val="clear" w:color="auto" w:fill="auto"/>
            <w:noWrap/>
            <w:vAlign w:val="center"/>
            <w:hideMark/>
          </w:tcPr>
          <w:p w:rsidR="005E541F" w:rsidRPr="00083F7C" w:rsidRDefault="005E541F" w:rsidP="001C5BF1">
            <w:pPr>
              <w:ind w:left="-178" w:right="-43"/>
              <w:jc w:val="center"/>
              <w:rPr>
                <w:sz w:val="20"/>
                <w:szCs w:val="20"/>
              </w:rPr>
            </w:pPr>
            <w:r w:rsidRPr="00083F7C">
              <w:rPr>
                <w:sz w:val="20"/>
                <w:szCs w:val="20"/>
              </w:rPr>
              <w:t>7 700,2</w:t>
            </w:r>
          </w:p>
        </w:tc>
        <w:tc>
          <w:tcPr>
            <w:tcW w:w="1128" w:type="dxa"/>
            <w:tcBorders>
              <w:top w:val="nil"/>
              <w:left w:val="nil"/>
              <w:bottom w:val="single" w:sz="4" w:space="0" w:color="auto"/>
              <w:right w:val="single" w:sz="4" w:space="0" w:color="auto"/>
            </w:tcBorders>
            <w:shd w:val="clear" w:color="auto" w:fill="auto"/>
            <w:noWrap/>
            <w:vAlign w:val="center"/>
            <w:hideMark/>
          </w:tcPr>
          <w:p w:rsidR="005E541F" w:rsidRPr="00083F7C" w:rsidRDefault="005E541F" w:rsidP="00191861">
            <w:pPr>
              <w:jc w:val="center"/>
              <w:rPr>
                <w:sz w:val="20"/>
                <w:szCs w:val="20"/>
              </w:rPr>
            </w:pPr>
            <w:r w:rsidRPr="00083F7C">
              <w:rPr>
                <w:sz w:val="20"/>
                <w:szCs w:val="20"/>
              </w:rPr>
              <w:t>7 444,5</w:t>
            </w:r>
          </w:p>
        </w:tc>
        <w:tc>
          <w:tcPr>
            <w:tcW w:w="1141" w:type="dxa"/>
            <w:tcBorders>
              <w:top w:val="nil"/>
              <w:left w:val="nil"/>
              <w:bottom w:val="single" w:sz="4" w:space="0" w:color="auto"/>
              <w:right w:val="single" w:sz="4" w:space="0" w:color="auto"/>
            </w:tcBorders>
            <w:shd w:val="clear" w:color="auto" w:fill="auto"/>
            <w:vAlign w:val="center"/>
            <w:hideMark/>
          </w:tcPr>
          <w:p w:rsidR="005E541F" w:rsidRPr="00083F7C" w:rsidRDefault="005E541F" w:rsidP="00191861">
            <w:pPr>
              <w:jc w:val="center"/>
              <w:rPr>
                <w:sz w:val="20"/>
                <w:szCs w:val="20"/>
              </w:rPr>
            </w:pPr>
            <w:r w:rsidRPr="00083F7C">
              <w:rPr>
                <w:sz w:val="20"/>
                <w:szCs w:val="20"/>
              </w:rPr>
              <w:t>96,7</w:t>
            </w:r>
          </w:p>
        </w:tc>
        <w:tc>
          <w:tcPr>
            <w:tcW w:w="923" w:type="dxa"/>
            <w:tcBorders>
              <w:top w:val="nil"/>
              <w:left w:val="nil"/>
              <w:bottom w:val="single" w:sz="4" w:space="0" w:color="auto"/>
              <w:right w:val="single" w:sz="4" w:space="0" w:color="auto"/>
            </w:tcBorders>
            <w:shd w:val="clear" w:color="auto" w:fill="auto"/>
            <w:noWrap/>
            <w:vAlign w:val="center"/>
            <w:hideMark/>
          </w:tcPr>
          <w:p w:rsidR="005E541F" w:rsidRPr="00083F7C" w:rsidRDefault="005E541F" w:rsidP="00191861">
            <w:pPr>
              <w:jc w:val="center"/>
              <w:rPr>
                <w:sz w:val="20"/>
                <w:szCs w:val="20"/>
              </w:rPr>
            </w:pPr>
            <w:r w:rsidRPr="00083F7C">
              <w:rPr>
                <w:sz w:val="20"/>
                <w:szCs w:val="20"/>
              </w:rPr>
              <w:t>0,2</w:t>
            </w:r>
          </w:p>
        </w:tc>
      </w:tr>
      <w:tr w:rsidR="005E541F" w:rsidRPr="00467F9C" w:rsidTr="001C5BF1">
        <w:trPr>
          <w:gridAfter w:val="1"/>
          <w:wAfter w:w="61" w:type="dxa"/>
          <w:trHeight w:val="255"/>
        </w:trPr>
        <w:tc>
          <w:tcPr>
            <w:tcW w:w="4820" w:type="dxa"/>
            <w:tcBorders>
              <w:top w:val="nil"/>
              <w:left w:val="single" w:sz="4" w:space="0" w:color="auto"/>
              <w:bottom w:val="single" w:sz="4" w:space="0" w:color="auto"/>
              <w:right w:val="single" w:sz="4" w:space="0" w:color="auto"/>
            </w:tcBorders>
            <w:shd w:val="clear" w:color="000000" w:fill="FFFFFF"/>
            <w:vAlign w:val="center"/>
            <w:hideMark/>
          </w:tcPr>
          <w:p w:rsidR="005E541F" w:rsidRPr="00083F7C" w:rsidRDefault="005E541F" w:rsidP="001C5BF1">
            <w:pPr>
              <w:ind w:right="-113"/>
              <w:rPr>
                <w:sz w:val="20"/>
                <w:szCs w:val="20"/>
              </w:rPr>
            </w:pPr>
            <w:r w:rsidRPr="00083F7C">
              <w:rPr>
                <w:sz w:val="20"/>
                <w:szCs w:val="20"/>
              </w:rPr>
              <w:t xml:space="preserve">Прочая закупка товаров, работ и услуг </w:t>
            </w:r>
          </w:p>
        </w:tc>
        <w:tc>
          <w:tcPr>
            <w:tcW w:w="813" w:type="dxa"/>
            <w:tcBorders>
              <w:top w:val="nil"/>
              <w:left w:val="nil"/>
              <w:bottom w:val="single" w:sz="4" w:space="0" w:color="auto"/>
              <w:right w:val="single" w:sz="4" w:space="0" w:color="auto"/>
            </w:tcBorders>
            <w:shd w:val="clear" w:color="000000" w:fill="FFFFFF"/>
            <w:vAlign w:val="center"/>
            <w:hideMark/>
          </w:tcPr>
          <w:p w:rsidR="005E541F" w:rsidRPr="00083F7C" w:rsidRDefault="005E541F" w:rsidP="00191861">
            <w:pPr>
              <w:jc w:val="center"/>
              <w:rPr>
                <w:sz w:val="20"/>
                <w:szCs w:val="20"/>
              </w:rPr>
            </w:pPr>
            <w:r w:rsidRPr="00083F7C">
              <w:rPr>
                <w:sz w:val="20"/>
                <w:szCs w:val="20"/>
              </w:rPr>
              <w:t>244</w:t>
            </w:r>
          </w:p>
        </w:tc>
        <w:tc>
          <w:tcPr>
            <w:tcW w:w="1205" w:type="dxa"/>
            <w:tcBorders>
              <w:top w:val="nil"/>
              <w:left w:val="nil"/>
              <w:bottom w:val="single" w:sz="4" w:space="0" w:color="auto"/>
              <w:right w:val="single" w:sz="4" w:space="0" w:color="auto"/>
            </w:tcBorders>
            <w:shd w:val="clear" w:color="auto" w:fill="auto"/>
            <w:noWrap/>
            <w:vAlign w:val="center"/>
            <w:hideMark/>
          </w:tcPr>
          <w:p w:rsidR="005E541F" w:rsidRPr="00083F7C" w:rsidRDefault="005E541F" w:rsidP="001C5BF1">
            <w:pPr>
              <w:ind w:left="-178" w:right="-43"/>
              <w:jc w:val="center"/>
              <w:rPr>
                <w:sz w:val="20"/>
                <w:szCs w:val="20"/>
              </w:rPr>
            </w:pPr>
            <w:r w:rsidRPr="00083F7C">
              <w:rPr>
                <w:sz w:val="20"/>
                <w:szCs w:val="20"/>
              </w:rPr>
              <w:t>9 003,0</w:t>
            </w:r>
          </w:p>
        </w:tc>
        <w:tc>
          <w:tcPr>
            <w:tcW w:w="1128" w:type="dxa"/>
            <w:tcBorders>
              <w:top w:val="nil"/>
              <w:left w:val="nil"/>
              <w:bottom w:val="single" w:sz="4" w:space="0" w:color="auto"/>
              <w:right w:val="single" w:sz="4" w:space="0" w:color="auto"/>
            </w:tcBorders>
            <w:shd w:val="clear" w:color="auto" w:fill="auto"/>
            <w:noWrap/>
            <w:vAlign w:val="center"/>
            <w:hideMark/>
          </w:tcPr>
          <w:p w:rsidR="005E541F" w:rsidRPr="00083F7C" w:rsidRDefault="005E541F" w:rsidP="00191861">
            <w:pPr>
              <w:jc w:val="center"/>
              <w:rPr>
                <w:sz w:val="20"/>
                <w:szCs w:val="20"/>
              </w:rPr>
            </w:pPr>
            <w:r w:rsidRPr="00083F7C">
              <w:rPr>
                <w:sz w:val="20"/>
                <w:szCs w:val="20"/>
              </w:rPr>
              <w:t>8 186,5</w:t>
            </w:r>
          </w:p>
        </w:tc>
        <w:tc>
          <w:tcPr>
            <w:tcW w:w="1141" w:type="dxa"/>
            <w:tcBorders>
              <w:top w:val="nil"/>
              <w:left w:val="nil"/>
              <w:bottom w:val="single" w:sz="4" w:space="0" w:color="auto"/>
              <w:right w:val="single" w:sz="4" w:space="0" w:color="auto"/>
            </w:tcBorders>
            <w:shd w:val="clear" w:color="auto" w:fill="auto"/>
            <w:vAlign w:val="center"/>
            <w:hideMark/>
          </w:tcPr>
          <w:p w:rsidR="005E541F" w:rsidRPr="00083F7C" w:rsidRDefault="005E541F" w:rsidP="00191861">
            <w:pPr>
              <w:jc w:val="center"/>
              <w:rPr>
                <w:sz w:val="20"/>
                <w:szCs w:val="20"/>
              </w:rPr>
            </w:pPr>
            <w:r w:rsidRPr="00083F7C">
              <w:rPr>
                <w:sz w:val="20"/>
                <w:szCs w:val="20"/>
              </w:rPr>
              <w:t>90,9</w:t>
            </w:r>
          </w:p>
        </w:tc>
        <w:tc>
          <w:tcPr>
            <w:tcW w:w="923" w:type="dxa"/>
            <w:tcBorders>
              <w:top w:val="nil"/>
              <w:left w:val="nil"/>
              <w:bottom w:val="single" w:sz="4" w:space="0" w:color="auto"/>
              <w:right w:val="single" w:sz="4" w:space="0" w:color="auto"/>
            </w:tcBorders>
            <w:shd w:val="clear" w:color="auto" w:fill="auto"/>
            <w:noWrap/>
            <w:vAlign w:val="center"/>
            <w:hideMark/>
          </w:tcPr>
          <w:p w:rsidR="005E541F" w:rsidRPr="00083F7C" w:rsidRDefault="005E541F" w:rsidP="00191861">
            <w:pPr>
              <w:jc w:val="center"/>
              <w:rPr>
                <w:sz w:val="20"/>
                <w:szCs w:val="20"/>
              </w:rPr>
            </w:pPr>
            <w:r w:rsidRPr="00083F7C">
              <w:rPr>
                <w:sz w:val="20"/>
                <w:szCs w:val="20"/>
              </w:rPr>
              <w:t>0,2</w:t>
            </w:r>
          </w:p>
        </w:tc>
      </w:tr>
      <w:tr w:rsidR="005E541F" w:rsidRPr="00467F9C" w:rsidTr="001C5BF1">
        <w:trPr>
          <w:gridAfter w:val="1"/>
          <w:wAfter w:w="61" w:type="dxa"/>
          <w:trHeight w:val="195"/>
        </w:trPr>
        <w:tc>
          <w:tcPr>
            <w:tcW w:w="4820" w:type="dxa"/>
            <w:tcBorders>
              <w:top w:val="nil"/>
              <w:left w:val="single" w:sz="4" w:space="0" w:color="auto"/>
              <w:bottom w:val="single" w:sz="4" w:space="0" w:color="auto"/>
              <w:right w:val="single" w:sz="4" w:space="0" w:color="auto"/>
            </w:tcBorders>
            <w:shd w:val="clear" w:color="000000" w:fill="FFFFFF"/>
            <w:vAlign w:val="center"/>
            <w:hideMark/>
          </w:tcPr>
          <w:p w:rsidR="005E541F" w:rsidRPr="00083F7C" w:rsidRDefault="005E541F" w:rsidP="001C5BF1">
            <w:pPr>
              <w:ind w:right="-113"/>
              <w:rPr>
                <w:sz w:val="20"/>
                <w:szCs w:val="20"/>
              </w:rPr>
            </w:pPr>
            <w:r w:rsidRPr="00083F7C">
              <w:rPr>
                <w:sz w:val="20"/>
                <w:szCs w:val="20"/>
              </w:rPr>
              <w:t>Закупка энергетических ресурсов</w:t>
            </w:r>
          </w:p>
        </w:tc>
        <w:tc>
          <w:tcPr>
            <w:tcW w:w="813" w:type="dxa"/>
            <w:tcBorders>
              <w:top w:val="nil"/>
              <w:left w:val="nil"/>
              <w:bottom w:val="single" w:sz="4" w:space="0" w:color="auto"/>
              <w:right w:val="single" w:sz="4" w:space="0" w:color="auto"/>
            </w:tcBorders>
            <w:shd w:val="clear" w:color="000000" w:fill="FFFFFF"/>
            <w:vAlign w:val="center"/>
            <w:hideMark/>
          </w:tcPr>
          <w:p w:rsidR="005E541F" w:rsidRPr="00083F7C" w:rsidRDefault="005E541F" w:rsidP="00191861">
            <w:pPr>
              <w:jc w:val="center"/>
              <w:rPr>
                <w:sz w:val="20"/>
                <w:szCs w:val="20"/>
              </w:rPr>
            </w:pPr>
            <w:r w:rsidRPr="00083F7C">
              <w:rPr>
                <w:sz w:val="20"/>
                <w:szCs w:val="20"/>
              </w:rPr>
              <w:t>247</w:t>
            </w:r>
          </w:p>
        </w:tc>
        <w:tc>
          <w:tcPr>
            <w:tcW w:w="1205" w:type="dxa"/>
            <w:tcBorders>
              <w:top w:val="nil"/>
              <w:left w:val="nil"/>
              <w:bottom w:val="single" w:sz="4" w:space="0" w:color="auto"/>
              <w:right w:val="single" w:sz="4" w:space="0" w:color="auto"/>
            </w:tcBorders>
            <w:shd w:val="clear" w:color="auto" w:fill="auto"/>
            <w:noWrap/>
            <w:vAlign w:val="center"/>
            <w:hideMark/>
          </w:tcPr>
          <w:p w:rsidR="005E541F" w:rsidRPr="00083F7C" w:rsidRDefault="005E541F" w:rsidP="001C5BF1">
            <w:pPr>
              <w:ind w:left="-178" w:right="-43"/>
              <w:jc w:val="center"/>
              <w:rPr>
                <w:sz w:val="20"/>
                <w:szCs w:val="20"/>
              </w:rPr>
            </w:pPr>
            <w:r w:rsidRPr="00083F7C">
              <w:rPr>
                <w:sz w:val="20"/>
                <w:szCs w:val="20"/>
              </w:rPr>
              <w:t>969,9</w:t>
            </w:r>
          </w:p>
        </w:tc>
        <w:tc>
          <w:tcPr>
            <w:tcW w:w="1128" w:type="dxa"/>
            <w:tcBorders>
              <w:top w:val="nil"/>
              <w:left w:val="nil"/>
              <w:bottom w:val="single" w:sz="4" w:space="0" w:color="auto"/>
              <w:right w:val="single" w:sz="4" w:space="0" w:color="auto"/>
            </w:tcBorders>
            <w:shd w:val="clear" w:color="auto" w:fill="auto"/>
            <w:noWrap/>
            <w:vAlign w:val="center"/>
            <w:hideMark/>
          </w:tcPr>
          <w:p w:rsidR="005E541F" w:rsidRPr="00083F7C" w:rsidRDefault="005E541F" w:rsidP="00191861">
            <w:pPr>
              <w:jc w:val="center"/>
              <w:rPr>
                <w:sz w:val="20"/>
                <w:szCs w:val="20"/>
              </w:rPr>
            </w:pPr>
            <w:r w:rsidRPr="00083F7C">
              <w:rPr>
                <w:sz w:val="20"/>
                <w:szCs w:val="20"/>
              </w:rPr>
              <w:t>969,9</w:t>
            </w:r>
          </w:p>
        </w:tc>
        <w:tc>
          <w:tcPr>
            <w:tcW w:w="1141" w:type="dxa"/>
            <w:tcBorders>
              <w:top w:val="nil"/>
              <w:left w:val="nil"/>
              <w:bottom w:val="single" w:sz="4" w:space="0" w:color="auto"/>
              <w:right w:val="single" w:sz="4" w:space="0" w:color="auto"/>
            </w:tcBorders>
            <w:shd w:val="clear" w:color="auto" w:fill="auto"/>
            <w:vAlign w:val="center"/>
            <w:hideMark/>
          </w:tcPr>
          <w:p w:rsidR="005E541F" w:rsidRPr="00083F7C" w:rsidRDefault="005E541F" w:rsidP="00191861">
            <w:pPr>
              <w:jc w:val="center"/>
              <w:rPr>
                <w:sz w:val="20"/>
                <w:szCs w:val="20"/>
              </w:rPr>
            </w:pPr>
            <w:r w:rsidRPr="00083F7C">
              <w:rPr>
                <w:sz w:val="20"/>
                <w:szCs w:val="20"/>
              </w:rPr>
              <w:t>100,0</w:t>
            </w:r>
          </w:p>
        </w:tc>
        <w:tc>
          <w:tcPr>
            <w:tcW w:w="923" w:type="dxa"/>
            <w:tcBorders>
              <w:top w:val="nil"/>
              <w:left w:val="nil"/>
              <w:bottom w:val="single" w:sz="4" w:space="0" w:color="auto"/>
              <w:right w:val="single" w:sz="4" w:space="0" w:color="auto"/>
            </w:tcBorders>
            <w:shd w:val="clear" w:color="auto" w:fill="auto"/>
            <w:noWrap/>
            <w:vAlign w:val="center"/>
            <w:hideMark/>
          </w:tcPr>
          <w:p w:rsidR="005E541F" w:rsidRPr="00083F7C" w:rsidRDefault="005E541F" w:rsidP="00191861">
            <w:pPr>
              <w:jc w:val="center"/>
              <w:rPr>
                <w:sz w:val="20"/>
                <w:szCs w:val="20"/>
              </w:rPr>
            </w:pPr>
            <w:r w:rsidRPr="00083F7C">
              <w:rPr>
                <w:sz w:val="20"/>
                <w:szCs w:val="20"/>
              </w:rPr>
              <w:t>0,0</w:t>
            </w:r>
          </w:p>
        </w:tc>
      </w:tr>
      <w:tr w:rsidR="005E541F" w:rsidRPr="00467F9C" w:rsidTr="001C5BF1">
        <w:trPr>
          <w:gridAfter w:val="1"/>
          <w:wAfter w:w="61" w:type="dxa"/>
          <w:trHeight w:val="469"/>
        </w:trPr>
        <w:tc>
          <w:tcPr>
            <w:tcW w:w="4820" w:type="dxa"/>
            <w:tcBorders>
              <w:top w:val="nil"/>
              <w:left w:val="single" w:sz="4" w:space="0" w:color="auto"/>
              <w:bottom w:val="single" w:sz="4" w:space="0" w:color="auto"/>
              <w:right w:val="single" w:sz="4" w:space="0" w:color="auto"/>
            </w:tcBorders>
            <w:shd w:val="clear" w:color="auto" w:fill="auto"/>
            <w:hideMark/>
          </w:tcPr>
          <w:p w:rsidR="005E541F" w:rsidRPr="00083F7C" w:rsidRDefault="005E541F" w:rsidP="001C5BF1">
            <w:pPr>
              <w:ind w:right="-113"/>
              <w:rPr>
                <w:sz w:val="20"/>
                <w:szCs w:val="20"/>
              </w:rPr>
            </w:pPr>
            <w:r w:rsidRPr="00083F7C">
              <w:rPr>
                <w:sz w:val="20"/>
                <w:szCs w:val="20"/>
              </w:rPr>
              <w:t xml:space="preserve">Приобретение товаров, работ, услуг в пользу граждан в целях их социального обеспечения </w:t>
            </w:r>
          </w:p>
        </w:tc>
        <w:tc>
          <w:tcPr>
            <w:tcW w:w="813" w:type="dxa"/>
            <w:tcBorders>
              <w:top w:val="nil"/>
              <w:left w:val="nil"/>
              <w:bottom w:val="single" w:sz="4" w:space="0" w:color="auto"/>
              <w:right w:val="single" w:sz="4" w:space="0" w:color="auto"/>
            </w:tcBorders>
            <w:shd w:val="clear" w:color="auto" w:fill="auto"/>
            <w:vAlign w:val="center"/>
            <w:hideMark/>
          </w:tcPr>
          <w:p w:rsidR="005E541F" w:rsidRPr="00083F7C" w:rsidRDefault="005E541F" w:rsidP="00191861">
            <w:pPr>
              <w:jc w:val="center"/>
              <w:rPr>
                <w:sz w:val="20"/>
                <w:szCs w:val="20"/>
              </w:rPr>
            </w:pPr>
            <w:r w:rsidRPr="00083F7C">
              <w:rPr>
                <w:sz w:val="20"/>
                <w:szCs w:val="20"/>
              </w:rPr>
              <w:t>323</w:t>
            </w:r>
          </w:p>
        </w:tc>
        <w:tc>
          <w:tcPr>
            <w:tcW w:w="1205" w:type="dxa"/>
            <w:tcBorders>
              <w:top w:val="nil"/>
              <w:left w:val="nil"/>
              <w:bottom w:val="single" w:sz="4" w:space="0" w:color="auto"/>
              <w:right w:val="single" w:sz="4" w:space="0" w:color="auto"/>
            </w:tcBorders>
            <w:shd w:val="clear" w:color="auto" w:fill="auto"/>
            <w:noWrap/>
            <w:vAlign w:val="center"/>
            <w:hideMark/>
          </w:tcPr>
          <w:p w:rsidR="005E541F" w:rsidRPr="00083F7C" w:rsidRDefault="005E541F" w:rsidP="001C5BF1">
            <w:pPr>
              <w:ind w:left="-178" w:right="-43"/>
              <w:jc w:val="center"/>
              <w:rPr>
                <w:sz w:val="20"/>
                <w:szCs w:val="20"/>
              </w:rPr>
            </w:pPr>
            <w:r w:rsidRPr="00083F7C">
              <w:rPr>
                <w:sz w:val="20"/>
                <w:szCs w:val="20"/>
              </w:rPr>
              <w:t>3 417 706,9</w:t>
            </w:r>
          </w:p>
        </w:tc>
        <w:tc>
          <w:tcPr>
            <w:tcW w:w="1128" w:type="dxa"/>
            <w:tcBorders>
              <w:top w:val="nil"/>
              <w:left w:val="nil"/>
              <w:bottom w:val="single" w:sz="4" w:space="0" w:color="auto"/>
              <w:right w:val="single" w:sz="4" w:space="0" w:color="auto"/>
            </w:tcBorders>
            <w:shd w:val="clear" w:color="auto" w:fill="auto"/>
            <w:noWrap/>
            <w:vAlign w:val="center"/>
            <w:hideMark/>
          </w:tcPr>
          <w:p w:rsidR="005E541F" w:rsidRPr="00083F7C" w:rsidRDefault="005E541F" w:rsidP="00191861">
            <w:pPr>
              <w:jc w:val="center"/>
              <w:rPr>
                <w:sz w:val="20"/>
                <w:szCs w:val="20"/>
              </w:rPr>
            </w:pPr>
            <w:r w:rsidRPr="00083F7C">
              <w:rPr>
                <w:sz w:val="20"/>
                <w:szCs w:val="20"/>
              </w:rPr>
              <w:t>3 353 599,8</w:t>
            </w:r>
          </w:p>
        </w:tc>
        <w:tc>
          <w:tcPr>
            <w:tcW w:w="1141" w:type="dxa"/>
            <w:tcBorders>
              <w:top w:val="nil"/>
              <w:left w:val="nil"/>
              <w:bottom w:val="single" w:sz="4" w:space="0" w:color="auto"/>
              <w:right w:val="single" w:sz="4" w:space="0" w:color="auto"/>
            </w:tcBorders>
            <w:shd w:val="clear" w:color="auto" w:fill="auto"/>
            <w:vAlign w:val="center"/>
            <w:hideMark/>
          </w:tcPr>
          <w:p w:rsidR="005E541F" w:rsidRPr="00083F7C" w:rsidRDefault="005E541F" w:rsidP="00191861">
            <w:pPr>
              <w:jc w:val="center"/>
              <w:rPr>
                <w:sz w:val="20"/>
                <w:szCs w:val="20"/>
              </w:rPr>
            </w:pPr>
            <w:r w:rsidRPr="00083F7C">
              <w:rPr>
                <w:sz w:val="20"/>
                <w:szCs w:val="20"/>
              </w:rPr>
              <w:t>98,1</w:t>
            </w:r>
          </w:p>
        </w:tc>
        <w:tc>
          <w:tcPr>
            <w:tcW w:w="923" w:type="dxa"/>
            <w:tcBorders>
              <w:top w:val="nil"/>
              <w:left w:val="nil"/>
              <w:bottom w:val="single" w:sz="4" w:space="0" w:color="auto"/>
              <w:right w:val="single" w:sz="4" w:space="0" w:color="auto"/>
            </w:tcBorders>
            <w:shd w:val="clear" w:color="auto" w:fill="auto"/>
            <w:noWrap/>
            <w:vAlign w:val="center"/>
            <w:hideMark/>
          </w:tcPr>
          <w:p w:rsidR="005E541F" w:rsidRPr="00083F7C" w:rsidRDefault="005E541F" w:rsidP="00191861">
            <w:pPr>
              <w:jc w:val="center"/>
              <w:rPr>
                <w:sz w:val="20"/>
                <w:szCs w:val="20"/>
              </w:rPr>
            </w:pPr>
            <w:r w:rsidRPr="00083F7C">
              <w:rPr>
                <w:sz w:val="20"/>
                <w:szCs w:val="20"/>
              </w:rPr>
              <w:t>96,1</w:t>
            </w:r>
          </w:p>
        </w:tc>
      </w:tr>
      <w:tr w:rsidR="005E541F" w:rsidRPr="00467F9C" w:rsidTr="001C5BF1">
        <w:trPr>
          <w:gridAfter w:val="1"/>
          <w:wAfter w:w="61" w:type="dxa"/>
          <w:trHeight w:val="27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E541F" w:rsidRPr="00083F7C" w:rsidRDefault="005E541F" w:rsidP="001C5BF1">
            <w:pPr>
              <w:ind w:right="-113"/>
              <w:rPr>
                <w:sz w:val="20"/>
                <w:szCs w:val="20"/>
              </w:rPr>
            </w:pPr>
            <w:r w:rsidRPr="00083F7C">
              <w:rPr>
                <w:sz w:val="20"/>
                <w:szCs w:val="20"/>
              </w:rPr>
              <w:t>Иные межбюджетные трансферты</w:t>
            </w:r>
          </w:p>
        </w:tc>
        <w:tc>
          <w:tcPr>
            <w:tcW w:w="813" w:type="dxa"/>
            <w:tcBorders>
              <w:top w:val="single" w:sz="4" w:space="0" w:color="auto"/>
              <w:left w:val="nil"/>
              <w:bottom w:val="single" w:sz="4" w:space="0" w:color="auto"/>
              <w:right w:val="single" w:sz="4" w:space="0" w:color="auto"/>
            </w:tcBorders>
            <w:shd w:val="clear" w:color="auto" w:fill="auto"/>
            <w:vAlign w:val="center"/>
            <w:hideMark/>
          </w:tcPr>
          <w:p w:rsidR="005E541F" w:rsidRPr="00083F7C" w:rsidRDefault="005E541F" w:rsidP="00191861">
            <w:pPr>
              <w:jc w:val="center"/>
              <w:rPr>
                <w:sz w:val="20"/>
                <w:szCs w:val="20"/>
              </w:rPr>
            </w:pPr>
            <w:r w:rsidRPr="00083F7C">
              <w:rPr>
                <w:sz w:val="20"/>
                <w:szCs w:val="20"/>
              </w:rPr>
              <w:t>540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rsidR="005E541F" w:rsidRPr="00083F7C" w:rsidRDefault="005E541F" w:rsidP="001C5BF1">
            <w:pPr>
              <w:ind w:left="-178" w:right="-43"/>
              <w:jc w:val="center"/>
              <w:rPr>
                <w:sz w:val="20"/>
                <w:szCs w:val="20"/>
              </w:rPr>
            </w:pPr>
            <w:r w:rsidRPr="00083F7C">
              <w:rPr>
                <w:sz w:val="20"/>
                <w:szCs w:val="20"/>
              </w:rPr>
              <w:t>139 701,5</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rsidR="005E541F" w:rsidRPr="00083F7C" w:rsidRDefault="005E541F" w:rsidP="00191861">
            <w:pPr>
              <w:jc w:val="center"/>
              <w:rPr>
                <w:sz w:val="20"/>
                <w:szCs w:val="20"/>
              </w:rPr>
            </w:pPr>
            <w:r w:rsidRPr="00083F7C">
              <w:rPr>
                <w:sz w:val="20"/>
                <w:szCs w:val="20"/>
              </w:rPr>
              <w:t>73 760,4</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rsidR="005E541F" w:rsidRPr="00083F7C" w:rsidRDefault="005E541F" w:rsidP="00191861">
            <w:pPr>
              <w:jc w:val="center"/>
              <w:rPr>
                <w:sz w:val="20"/>
                <w:szCs w:val="20"/>
              </w:rPr>
            </w:pPr>
            <w:r w:rsidRPr="00083F7C">
              <w:rPr>
                <w:sz w:val="20"/>
                <w:szCs w:val="20"/>
              </w:rPr>
              <w:t>52,8</w:t>
            </w:r>
          </w:p>
        </w:tc>
        <w:tc>
          <w:tcPr>
            <w:tcW w:w="923" w:type="dxa"/>
            <w:tcBorders>
              <w:top w:val="single" w:sz="4" w:space="0" w:color="auto"/>
              <w:left w:val="nil"/>
              <w:bottom w:val="single" w:sz="4" w:space="0" w:color="auto"/>
              <w:right w:val="single" w:sz="4" w:space="0" w:color="auto"/>
            </w:tcBorders>
            <w:shd w:val="clear" w:color="auto" w:fill="auto"/>
            <w:noWrap/>
            <w:vAlign w:val="center"/>
            <w:hideMark/>
          </w:tcPr>
          <w:p w:rsidR="005E541F" w:rsidRPr="00083F7C" w:rsidRDefault="005E541F" w:rsidP="00191861">
            <w:pPr>
              <w:jc w:val="center"/>
              <w:rPr>
                <w:sz w:val="20"/>
                <w:szCs w:val="20"/>
              </w:rPr>
            </w:pPr>
            <w:r w:rsidRPr="00083F7C">
              <w:rPr>
                <w:sz w:val="20"/>
                <w:szCs w:val="20"/>
              </w:rPr>
              <w:t>2,1</w:t>
            </w:r>
          </w:p>
        </w:tc>
      </w:tr>
      <w:tr w:rsidR="005E541F" w:rsidRPr="00467F9C" w:rsidTr="001C5BF1">
        <w:trPr>
          <w:gridAfter w:val="1"/>
          <w:wAfter w:w="61" w:type="dxa"/>
          <w:trHeight w:val="291"/>
        </w:trPr>
        <w:tc>
          <w:tcPr>
            <w:tcW w:w="4820" w:type="dxa"/>
            <w:tcBorders>
              <w:top w:val="nil"/>
              <w:left w:val="single" w:sz="4" w:space="0" w:color="auto"/>
              <w:bottom w:val="single" w:sz="4" w:space="0" w:color="auto"/>
              <w:right w:val="single" w:sz="4" w:space="0" w:color="auto"/>
            </w:tcBorders>
            <w:shd w:val="clear" w:color="auto" w:fill="auto"/>
            <w:hideMark/>
          </w:tcPr>
          <w:p w:rsidR="005E541F" w:rsidRPr="00083F7C" w:rsidRDefault="005E541F" w:rsidP="001C5BF1">
            <w:pPr>
              <w:ind w:right="-113"/>
              <w:rPr>
                <w:sz w:val="20"/>
                <w:szCs w:val="20"/>
              </w:rPr>
            </w:pPr>
            <w:r w:rsidRPr="00083F7C">
              <w:rPr>
                <w:sz w:val="20"/>
                <w:szCs w:val="20"/>
              </w:rPr>
              <w:t xml:space="preserve">Гранты в форме субсидии бюджетным учреждениям </w:t>
            </w:r>
          </w:p>
        </w:tc>
        <w:tc>
          <w:tcPr>
            <w:tcW w:w="813" w:type="dxa"/>
            <w:tcBorders>
              <w:top w:val="nil"/>
              <w:left w:val="nil"/>
              <w:bottom w:val="single" w:sz="4" w:space="0" w:color="auto"/>
              <w:right w:val="single" w:sz="4" w:space="0" w:color="auto"/>
            </w:tcBorders>
            <w:shd w:val="clear" w:color="auto" w:fill="auto"/>
            <w:vAlign w:val="center"/>
            <w:hideMark/>
          </w:tcPr>
          <w:p w:rsidR="005E541F" w:rsidRPr="00083F7C" w:rsidRDefault="005E541F" w:rsidP="00191861">
            <w:pPr>
              <w:jc w:val="center"/>
              <w:rPr>
                <w:sz w:val="20"/>
                <w:szCs w:val="20"/>
              </w:rPr>
            </w:pPr>
            <w:r w:rsidRPr="00083F7C">
              <w:rPr>
                <w:sz w:val="20"/>
                <w:szCs w:val="20"/>
              </w:rPr>
              <w:t>613</w:t>
            </w:r>
          </w:p>
        </w:tc>
        <w:tc>
          <w:tcPr>
            <w:tcW w:w="1205" w:type="dxa"/>
            <w:tcBorders>
              <w:top w:val="nil"/>
              <w:left w:val="nil"/>
              <w:bottom w:val="single" w:sz="4" w:space="0" w:color="auto"/>
              <w:right w:val="single" w:sz="4" w:space="0" w:color="auto"/>
            </w:tcBorders>
            <w:shd w:val="clear" w:color="auto" w:fill="auto"/>
            <w:noWrap/>
            <w:vAlign w:val="center"/>
            <w:hideMark/>
          </w:tcPr>
          <w:p w:rsidR="005E541F" w:rsidRPr="00083F7C" w:rsidRDefault="005E541F" w:rsidP="001C5BF1">
            <w:pPr>
              <w:ind w:left="-178" w:right="-43"/>
              <w:jc w:val="center"/>
              <w:rPr>
                <w:sz w:val="20"/>
                <w:szCs w:val="20"/>
              </w:rPr>
            </w:pPr>
            <w:r w:rsidRPr="00083F7C">
              <w:rPr>
                <w:sz w:val="20"/>
                <w:szCs w:val="20"/>
              </w:rPr>
              <w:t>71 630,4</w:t>
            </w:r>
          </w:p>
        </w:tc>
        <w:tc>
          <w:tcPr>
            <w:tcW w:w="1128" w:type="dxa"/>
            <w:tcBorders>
              <w:top w:val="nil"/>
              <w:left w:val="nil"/>
              <w:bottom w:val="single" w:sz="4" w:space="0" w:color="auto"/>
              <w:right w:val="single" w:sz="4" w:space="0" w:color="auto"/>
            </w:tcBorders>
            <w:shd w:val="clear" w:color="auto" w:fill="auto"/>
            <w:noWrap/>
            <w:vAlign w:val="center"/>
            <w:hideMark/>
          </w:tcPr>
          <w:p w:rsidR="005E541F" w:rsidRPr="00083F7C" w:rsidRDefault="005E541F" w:rsidP="00191861">
            <w:pPr>
              <w:jc w:val="center"/>
              <w:rPr>
                <w:sz w:val="20"/>
                <w:szCs w:val="20"/>
              </w:rPr>
            </w:pPr>
            <w:r w:rsidRPr="00083F7C">
              <w:rPr>
                <w:sz w:val="20"/>
                <w:szCs w:val="20"/>
              </w:rPr>
              <w:t>15 867,8</w:t>
            </w:r>
          </w:p>
        </w:tc>
        <w:tc>
          <w:tcPr>
            <w:tcW w:w="1141" w:type="dxa"/>
            <w:tcBorders>
              <w:top w:val="nil"/>
              <w:left w:val="nil"/>
              <w:bottom w:val="single" w:sz="4" w:space="0" w:color="auto"/>
              <w:right w:val="single" w:sz="4" w:space="0" w:color="auto"/>
            </w:tcBorders>
            <w:shd w:val="clear" w:color="auto" w:fill="auto"/>
            <w:vAlign w:val="center"/>
            <w:hideMark/>
          </w:tcPr>
          <w:p w:rsidR="005E541F" w:rsidRPr="00083F7C" w:rsidRDefault="005E541F" w:rsidP="00191861">
            <w:pPr>
              <w:jc w:val="center"/>
              <w:rPr>
                <w:sz w:val="20"/>
                <w:szCs w:val="20"/>
              </w:rPr>
            </w:pPr>
            <w:r w:rsidRPr="00083F7C">
              <w:rPr>
                <w:sz w:val="20"/>
                <w:szCs w:val="20"/>
              </w:rPr>
              <w:t>22,2</w:t>
            </w:r>
          </w:p>
        </w:tc>
        <w:tc>
          <w:tcPr>
            <w:tcW w:w="923" w:type="dxa"/>
            <w:tcBorders>
              <w:top w:val="nil"/>
              <w:left w:val="nil"/>
              <w:bottom w:val="single" w:sz="4" w:space="0" w:color="auto"/>
              <w:right w:val="single" w:sz="4" w:space="0" w:color="auto"/>
            </w:tcBorders>
            <w:shd w:val="clear" w:color="auto" w:fill="auto"/>
            <w:noWrap/>
            <w:vAlign w:val="center"/>
            <w:hideMark/>
          </w:tcPr>
          <w:p w:rsidR="005E541F" w:rsidRPr="00083F7C" w:rsidRDefault="005E541F" w:rsidP="00191861">
            <w:pPr>
              <w:jc w:val="center"/>
              <w:rPr>
                <w:sz w:val="20"/>
                <w:szCs w:val="20"/>
              </w:rPr>
            </w:pPr>
            <w:r w:rsidRPr="00083F7C">
              <w:rPr>
                <w:sz w:val="20"/>
                <w:szCs w:val="20"/>
              </w:rPr>
              <w:t>0,5</w:t>
            </w:r>
          </w:p>
        </w:tc>
      </w:tr>
      <w:tr w:rsidR="005E541F" w:rsidRPr="00467F9C" w:rsidTr="001C5BF1">
        <w:trPr>
          <w:gridAfter w:val="1"/>
          <w:wAfter w:w="61" w:type="dxa"/>
          <w:trHeight w:val="465"/>
        </w:trPr>
        <w:tc>
          <w:tcPr>
            <w:tcW w:w="4820" w:type="dxa"/>
            <w:tcBorders>
              <w:top w:val="nil"/>
              <w:left w:val="single" w:sz="4" w:space="0" w:color="auto"/>
              <w:bottom w:val="single" w:sz="4" w:space="0" w:color="auto"/>
              <w:right w:val="single" w:sz="4" w:space="0" w:color="auto"/>
            </w:tcBorders>
            <w:shd w:val="clear" w:color="000000" w:fill="FFFFFF"/>
            <w:vAlign w:val="center"/>
            <w:hideMark/>
          </w:tcPr>
          <w:p w:rsidR="005E541F" w:rsidRPr="00083F7C" w:rsidRDefault="005E541F" w:rsidP="001C5BF1">
            <w:pPr>
              <w:ind w:right="-113"/>
              <w:rPr>
                <w:sz w:val="20"/>
                <w:szCs w:val="20"/>
              </w:rPr>
            </w:pPr>
            <w:r w:rsidRPr="00083F7C">
              <w:rPr>
                <w:sz w:val="20"/>
                <w:szCs w:val="20"/>
              </w:rPr>
              <w:t>Уплата налога на имущество организаций и земельного налога</w:t>
            </w:r>
          </w:p>
        </w:tc>
        <w:tc>
          <w:tcPr>
            <w:tcW w:w="813" w:type="dxa"/>
            <w:tcBorders>
              <w:top w:val="nil"/>
              <w:left w:val="nil"/>
              <w:bottom w:val="single" w:sz="4" w:space="0" w:color="auto"/>
              <w:right w:val="single" w:sz="4" w:space="0" w:color="auto"/>
            </w:tcBorders>
            <w:shd w:val="clear" w:color="000000" w:fill="FFFFFF"/>
            <w:vAlign w:val="center"/>
            <w:hideMark/>
          </w:tcPr>
          <w:p w:rsidR="005E541F" w:rsidRPr="00083F7C" w:rsidRDefault="005E541F" w:rsidP="00191861">
            <w:pPr>
              <w:jc w:val="center"/>
              <w:rPr>
                <w:sz w:val="20"/>
                <w:szCs w:val="20"/>
              </w:rPr>
            </w:pPr>
            <w:r w:rsidRPr="00083F7C">
              <w:rPr>
                <w:sz w:val="20"/>
                <w:szCs w:val="20"/>
              </w:rPr>
              <w:t>851</w:t>
            </w:r>
          </w:p>
        </w:tc>
        <w:tc>
          <w:tcPr>
            <w:tcW w:w="1205" w:type="dxa"/>
            <w:tcBorders>
              <w:top w:val="nil"/>
              <w:left w:val="nil"/>
              <w:bottom w:val="single" w:sz="4" w:space="0" w:color="auto"/>
              <w:right w:val="single" w:sz="4" w:space="0" w:color="auto"/>
            </w:tcBorders>
            <w:shd w:val="clear" w:color="auto" w:fill="auto"/>
            <w:noWrap/>
            <w:vAlign w:val="center"/>
            <w:hideMark/>
          </w:tcPr>
          <w:p w:rsidR="005E541F" w:rsidRPr="00083F7C" w:rsidRDefault="005E541F" w:rsidP="001C5BF1">
            <w:pPr>
              <w:ind w:left="-178" w:right="-43"/>
              <w:jc w:val="center"/>
              <w:rPr>
                <w:sz w:val="20"/>
                <w:szCs w:val="20"/>
              </w:rPr>
            </w:pPr>
            <w:r w:rsidRPr="00083F7C">
              <w:rPr>
                <w:sz w:val="20"/>
                <w:szCs w:val="20"/>
              </w:rPr>
              <w:t>21,9</w:t>
            </w:r>
          </w:p>
        </w:tc>
        <w:tc>
          <w:tcPr>
            <w:tcW w:w="1128" w:type="dxa"/>
            <w:tcBorders>
              <w:top w:val="nil"/>
              <w:left w:val="nil"/>
              <w:bottom w:val="single" w:sz="4" w:space="0" w:color="auto"/>
              <w:right w:val="single" w:sz="4" w:space="0" w:color="auto"/>
            </w:tcBorders>
            <w:shd w:val="clear" w:color="auto" w:fill="auto"/>
            <w:noWrap/>
            <w:vAlign w:val="center"/>
            <w:hideMark/>
          </w:tcPr>
          <w:p w:rsidR="005E541F" w:rsidRPr="00083F7C" w:rsidRDefault="005E541F" w:rsidP="00191861">
            <w:pPr>
              <w:jc w:val="center"/>
              <w:rPr>
                <w:sz w:val="20"/>
                <w:szCs w:val="20"/>
              </w:rPr>
            </w:pPr>
            <w:r w:rsidRPr="00083F7C">
              <w:rPr>
                <w:sz w:val="20"/>
                <w:szCs w:val="20"/>
              </w:rPr>
              <w:t>0,0</w:t>
            </w:r>
          </w:p>
        </w:tc>
        <w:tc>
          <w:tcPr>
            <w:tcW w:w="1141" w:type="dxa"/>
            <w:tcBorders>
              <w:top w:val="nil"/>
              <w:left w:val="nil"/>
              <w:bottom w:val="single" w:sz="4" w:space="0" w:color="auto"/>
              <w:right w:val="single" w:sz="4" w:space="0" w:color="auto"/>
            </w:tcBorders>
            <w:shd w:val="clear" w:color="auto" w:fill="auto"/>
            <w:vAlign w:val="center"/>
            <w:hideMark/>
          </w:tcPr>
          <w:p w:rsidR="005E541F" w:rsidRPr="00083F7C" w:rsidRDefault="005E541F" w:rsidP="00191861">
            <w:pPr>
              <w:jc w:val="center"/>
              <w:rPr>
                <w:sz w:val="20"/>
                <w:szCs w:val="20"/>
              </w:rPr>
            </w:pPr>
            <w:r w:rsidRPr="00083F7C">
              <w:rPr>
                <w:sz w:val="20"/>
                <w:szCs w:val="20"/>
              </w:rPr>
              <w:t>0,0</w:t>
            </w:r>
          </w:p>
        </w:tc>
        <w:tc>
          <w:tcPr>
            <w:tcW w:w="923" w:type="dxa"/>
            <w:tcBorders>
              <w:top w:val="nil"/>
              <w:left w:val="nil"/>
              <w:bottom w:val="single" w:sz="4" w:space="0" w:color="auto"/>
              <w:right w:val="single" w:sz="4" w:space="0" w:color="auto"/>
            </w:tcBorders>
            <w:shd w:val="clear" w:color="auto" w:fill="auto"/>
            <w:noWrap/>
            <w:vAlign w:val="center"/>
            <w:hideMark/>
          </w:tcPr>
          <w:p w:rsidR="005E541F" w:rsidRPr="00083F7C" w:rsidRDefault="005E541F" w:rsidP="00191861">
            <w:pPr>
              <w:jc w:val="center"/>
              <w:rPr>
                <w:sz w:val="20"/>
                <w:szCs w:val="20"/>
              </w:rPr>
            </w:pPr>
            <w:r w:rsidRPr="00083F7C">
              <w:rPr>
                <w:sz w:val="20"/>
                <w:szCs w:val="20"/>
              </w:rPr>
              <w:t>0,0</w:t>
            </w:r>
          </w:p>
        </w:tc>
      </w:tr>
      <w:tr w:rsidR="005E541F" w:rsidRPr="00467F9C" w:rsidTr="001C5BF1">
        <w:trPr>
          <w:gridAfter w:val="1"/>
          <w:wAfter w:w="61" w:type="dxa"/>
          <w:trHeight w:val="225"/>
        </w:trPr>
        <w:tc>
          <w:tcPr>
            <w:tcW w:w="4820" w:type="dxa"/>
            <w:tcBorders>
              <w:top w:val="nil"/>
              <w:left w:val="single" w:sz="4" w:space="0" w:color="auto"/>
              <w:bottom w:val="single" w:sz="4" w:space="0" w:color="auto"/>
              <w:right w:val="single" w:sz="4" w:space="0" w:color="auto"/>
            </w:tcBorders>
            <w:shd w:val="clear" w:color="000000" w:fill="FFFFFF"/>
            <w:vAlign w:val="center"/>
            <w:hideMark/>
          </w:tcPr>
          <w:p w:rsidR="005E541F" w:rsidRPr="00083F7C" w:rsidRDefault="005E541F" w:rsidP="001C5BF1">
            <w:pPr>
              <w:ind w:right="-113"/>
              <w:rPr>
                <w:sz w:val="20"/>
                <w:szCs w:val="20"/>
              </w:rPr>
            </w:pPr>
            <w:r w:rsidRPr="00083F7C">
              <w:rPr>
                <w:sz w:val="20"/>
                <w:szCs w:val="20"/>
              </w:rPr>
              <w:t>Уплата прочих налогов и сборов</w:t>
            </w:r>
          </w:p>
        </w:tc>
        <w:tc>
          <w:tcPr>
            <w:tcW w:w="813" w:type="dxa"/>
            <w:tcBorders>
              <w:top w:val="nil"/>
              <w:left w:val="nil"/>
              <w:bottom w:val="single" w:sz="4" w:space="0" w:color="auto"/>
              <w:right w:val="single" w:sz="4" w:space="0" w:color="auto"/>
            </w:tcBorders>
            <w:shd w:val="clear" w:color="000000" w:fill="FFFFFF"/>
            <w:vAlign w:val="center"/>
            <w:hideMark/>
          </w:tcPr>
          <w:p w:rsidR="005E541F" w:rsidRPr="00083F7C" w:rsidRDefault="005E541F" w:rsidP="00191861">
            <w:pPr>
              <w:jc w:val="center"/>
              <w:rPr>
                <w:sz w:val="20"/>
                <w:szCs w:val="20"/>
              </w:rPr>
            </w:pPr>
            <w:r w:rsidRPr="00083F7C">
              <w:rPr>
                <w:sz w:val="20"/>
                <w:szCs w:val="20"/>
              </w:rPr>
              <w:t>852</w:t>
            </w:r>
          </w:p>
        </w:tc>
        <w:tc>
          <w:tcPr>
            <w:tcW w:w="1205" w:type="dxa"/>
            <w:tcBorders>
              <w:top w:val="nil"/>
              <w:left w:val="nil"/>
              <w:bottom w:val="single" w:sz="4" w:space="0" w:color="auto"/>
              <w:right w:val="single" w:sz="4" w:space="0" w:color="auto"/>
            </w:tcBorders>
            <w:shd w:val="clear" w:color="auto" w:fill="auto"/>
            <w:noWrap/>
            <w:vAlign w:val="center"/>
            <w:hideMark/>
          </w:tcPr>
          <w:p w:rsidR="005E541F" w:rsidRPr="00083F7C" w:rsidRDefault="005E541F" w:rsidP="001C5BF1">
            <w:pPr>
              <w:ind w:left="-178" w:right="-43"/>
              <w:jc w:val="center"/>
              <w:rPr>
                <w:sz w:val="20"/>
                <w:szCs w:val="20"/>
              </w:rPr>
            </w:pPr>
            <w:r w:rsidRPr="00083F7C">
              <w:rPr>
                <w:sz w:val="20"/>
                <w:szCs w:val="20"/>
              </w:rPr>
              <w:t>4,2</w:t>
            </w:r>
          </w:p>
        </w:tc>
        <w:tc>
          <w:tcPr>
            <w:tcW w:w="1128" w:type="dxa"/>
            <w:tcBorders>
              <w:top w:val="nil"/>
              <w:left w:val="nil"/>
              <w:bottom w:val="single" w:sz="4" w:space="0" w:color="auto"/>
              <w:right w:val="single" w:sz="4" w:space="0" w:color="auto"/>
            </w:tcBorders>
            <w:shd w:val="clear" w:color="auto" w:fill="auto"/>
            <w:noWrap/>
            <w:vAlign w:val="center"/>
            <w:hideMark/>
          </w:tcPr>
          <w:p w:rsidR="005E541F" w:rsidRPr="00083F7C" w:rsidRDefault="005E541F" w:rsidP="00191861">
            <w:pPr>
              <w:jc w:val="center"/>
              <w:rPr>
                <w:sz w:val="20"/>
                <w:szCs w:val="20"/>
              </w:rPr>
            </w:pPr>
            <w:r w:rsidRPr="00083F7C">
              <w:rPr>
                <w:sz w:val="20"/>
                <w:szCs w:val="20"/>
              </w:rPr>
              <w:t>4,2</w:t>
            </w:r>
          </w:p>
        </w:tc>
        <w:tc>
          <w:tcPr>
            <w:tcW w:w="1141" w:type="dxa"/>
            <w:tcBorders>
              <w:top w:val="nil"/>
              <w:left w:val="nil"/>
              <w:bottom w:val="single" w:sz="4" w:space="0" w:color="auto"/>
              <w:right w:val="single" w:sz="4" w:space="0" w:color="auto"/>
            </w:tcBorders>
            <w:shd w:val="clear" w:color="auto" w:fill="auto"/>
            <w:vAlign w:val="center"/>
            <w:hideMark/>
          </w:tcPr>
          <w:p w:rsidR="005E541F" w:rsidRPr="00083F7C" w:rsidRDefault="005E541F" w:rsidP="00191861">
            <w:pPr>
              <w:jc w:val="center"/>
              <w:rPr>
                <w:sz w:val="20"/>
                <w:szCs w:val="20"/>
              </w:rPr>
            </w:pPr>
            <w:r w:rsidRPr="00083F7C">
              <w:rPr>
                <w:sz w:val="20"/>
                <w:szCs w:val="20"/>
              </w:rPr>
              <w:t>100,0</w:t>
            </w:r>
          </w:p>
        </w:tc>
        <w:tc>
          <w:tcPr>
            <w:tcW w:w="923" w:type="dxa"/>
            <w:tcBorders>
              <w:top w:val="nil"/>
              <w:left w:val="nil"/>
              <w:bottom w:val="single" w:sz="4" w:space="0" w:color="auto"/>
              <w:right w:val="single" w:sz="4" w:space="0" w:color="auto"/>
            </w:tcBorders>
            <w:shd w:val="clear" w:color="auto" w:fill="auto"/>
            <w:noWrap/>
            <w:vAlign w:val="center"/>
            <w:hideMark/>
          </w:tcPr>
          <w:p w:rsidR="005E541F" w:rsidRPr="00083F7C" w:rsidRDefault="005E541F" w:rsidP="00191861">
            <w:pPr>
              <w:jc w:val="center"/>
              <w:rPr>
                <w:sz w:val="20"/>
                <w:szCs w:val="20"/>
              </w:rPr>
            </w:pPr>
            <w:r w:rsidRPr="00083F7C">
              <w:rPr>
                <w:sz w:val="20"/>
                <w:szCs w:val="20"/>
              </w:rPr>
              <w:t>0,0</w:t>
            </w:r>
          </w:p>
        </w:tc>
      </w:tr>
    </w:tbl>
    <w:p w:rsidR="005E541F" w:rsidRPr="00BB5C29" w:rsidRDefault="005E541F" w:rsidP="00191861">
      <w:pPr>
        <w:pStyle w:val="affff5"/>
        <w:ind w:left="0" w:right="0" w:firstLine="709"/>
        <w:rPr>
          <w:sz w:val="6"/>
          <w:szCs w:val="6"/>
        </w:rPr>
      </w:pPr>
    </w:p>
    <w:p w:rsidR="000514F4" w:rsidRDefault="000514F4" w:rsidP="00191861">
      <w:pPr>
        <w:ind w:firstLine="708"/>
        <w:jc w:val="both"/>
        <w:rPr>
          <w:b/>
          <w:sz w:val="28"/>
          <w:szCs w:val="28"/>
        </w:rPr>
      </w:pPr>
      <w:bookmarkStart w:id="11" w:name="_Hlk69577709"/>
      <w:bookmarkEnd w:id="8"/>
    </w:p>
    <w:p w:rsidR="005E541F" w:rsidRPr="00467F9C" w:rsidRDefault="005E541F" w:rsidP="00191861">
      <w:pPr>
        <w:ind w:firstLine="708"/>
        <w:jc w:val="both"/>
        <w:rPr>
          <w:sz w:val="28"/>
          <w:szCs w:val="28"/>
        </w:rPr>
      </w:pPr>
      <w:r w:rsidRPr="00467F9C">
        <w:rPr>
          <w:b/>
          <w:sz w:val="28"/>
          <w:szCs w:val="28"/>
        </w:rPr>
        <w:t>Возражения или замечания руководителей объектов контрольного мероприятия</w:t>
      </w:r>
      <w:r w:rsidRPr="00467F9C">
        <w:rPr>
          <w:sz w:val="28"/>
          <w:szCs w:val="28"/>
        </w:rPr>
        <w:t>:</w:t>
      </w:r>
    </w:p>
    <w:p w:rsidR="005E541F" w:rsidRPr="00467F9C" w:rsidRDefault="005E541F" w:rsidP="00191861">
      <w:pPr>
        <w:ind w:firstLine="708"/>
        <w:jc w:val="both"/>
        <w:rPr>
          <w:sz w:val="28"/>
          <w:szCs w:val="28"/>
        </w:rPr>
      </w:pPr>
      <w:r w:rsidRPr="00467F9C">
        <w:rPr>
          <w:sz w:val="28"/>
          <w:szCs w:val="28"/>
        </w:rPr>
        <w:t>По результатам контрольного мероприятия оформлен акт от 19 апреля 2022 года, подписанный без разногласий.</w:t>
      </w:r>
    </w:p>
    <w:p w:rsidR="005E541F" w:rsidRPr="00467F9C" w:rsidRDefault="005E541F" w:rsidP="00191861">
      <w:pPr>
        <w:ind w:firstLine="709"/>
        <w:jc w:val="both"/>
        <w:rPr>
          <w:b/>
          <w:sz w:val="10"/>
          <w:szCs w:val="10"/>
        </w:rPr>
      </w:pPr>
    </w:p>
    <w:p w:rsidR="005E541F" w:rsidRPr="00467F9C" w:rsidRDefault="005E541F" w:rsidP="00191861">
      <w:pPr>
        <w:ind w:firstLine="709"/>
        <w:jc w:val="both"/>
        <w:rPr>
          <w:b/>
          <w:sz w:val="10"/>
          <w:szCs w:val="10"/>
        </w:rPr>
      </w:pPr>
    </w:p>
    <w:p w:rsidR="005E541F" w:rsidRPr="00467F9C" w:rsidRDefault="005E541F" w:rsidP="00191861">
      <w:pPr>
        <w:ind w:firstLine="709"/>
        <w:jc w:val="both"/>
        <w:rPr>
          <w:b/>
          <w:sz w:val="28"/>
          <w:szCs w:val="28"/>
        </w:rPr>
      </w:pPr>
      <w:r w:rsidRPr="00467F9C">
        <w:rPr>
          <w:b/>
          <w:sz w:val="28"/>
          <w:szCs w:val="28"/>
        </w:rPr>
        <w:lastRenderedPageBreak/>
        <w:t>Выводы:</w:t>
      </w:r>
    </w:p>
    <w:p w:rsidR="005E541F" w:rsidRPr="00467F9C" w:rsidRDefault="005E541F" w:rsidP="00191861">
      <w:pPr>
        <w:ind w:firstLine="709"/>
        <w:jc w:val="both"/>
        <w:rPr>
          <w:sz w:val="28"/>
          <w:szCs w:val="28"/>
        </w:rPr>
      </w:pPr>
      <w:bookmarkStart w:id="12" w:name="_Hlk36818029"/>
      <w:r w:rsidRPr="00467F9C">
        <w:rPr>
          <w:sz w:val="28"/>
          <w:szCs w:val="28"/>
        </w:rPr>
        <w:t>1. Годовая бюджетная отчетность за 2021 год представлена Фондом в Счетную палату Чукотского автономного округа в срок, установленный пунктом 10 статьи 9 Закона Чукотского автономного округа от 24 мая 2002 года №31-ОЗ «О бюджетном процессе в Чукотском автономном округе»,</w:t>
      </w:r>
      <w:bookmarkEnd w:id="12"/>
      <w:r w:rsidRPr="00467F9C">
        <w:rPr>
          <w:sz w:val="28"/>
          <w:szCs w:val="28"/>
        </w:rPr>
        <w:t xml:space="preserve"> по форме, составу и объему соответствует требованиям Инструкции №191н.</w:t>
      </w:r>
    </w:p>
    <w:p w:rsidR="005E541F" w:rsidRPr="00467F9C" w:rsidRDefault="005E541F" w:rsidP="00191861">
      <w:pPr>
        <w:pStyle w:val="af8"/>
        <w:ind w:firstLine="709"/>
        <w:jc w:val="both"/>
        <w:rPr>
          <w:sz w:val="28"/>
          <w:szCs w:val="28"/>
        </w:rPr>
      </w:pPr>
      <w:r w:rsidRPr="00467F9C">
        <w:rPr>
          <w:sz w:val="28"/>
          <w:szCs w:val="28"/>
        </w:rPr>
        <w:t>2. Дебиторская задолженность по расходам за отчетный период снизилась на 368,8 тыс. рублей или в 3,4 раза и на конец отчетного периода составила 151,8 тыс. рублей. Кредиторская задолженность снизилась на 30 875,8 тыс. рублей или в 20 раз и по состоянию на 1 января 2022 года составила 1 555,6 тыс. рублей. Долгосрочной и просроченной дебиторской и кредиторской задолженности на балансе Фонда в отчетном периоде не числилось.</w:t>
      </w:r>
    </w:p>
    <w:p w:rsidR="005E541F" w:rsidRPr="00467F9C" w:rsidRDefault="005E541F" w:rsidP="00191861">
      <w:pPr>
        <w:ind w:firstLine="709"/>
        <w:jc w:val="both"/>
        <w:rPr>
          <w:sz w:val="28"/>
          <w:szCs w:val="28"/>
        </w:rPr>
      </w:pPr>
      <w:r w:rsidRPr="00467F9C">
        <w:rPr>
          <w:sz w:val="28"/>
          <w:szCs w:val="28"/>
        </w:rPr>
        <w:t>3. По результатам проведенной инвентаризации активов, обязательств и прав пользования активами, а также инвентаризации имущества, переданного Фонду ФФ ОМС на основании договоров о передаче в безвозмездное пользование оборудования, входящего в состав аппаратно-программного комплекса регионального узлового сегмента ГИС ОМС, недостач и хищений не выявлено.</w:t>
      </w:r>
    </w:p>
    <w:p w:rsidR="005E541F" w:rsidRPr="00467F9C" w:rsidRDefault="005E541F" w:rsidP="00191861">
      <w:pPr>
        <w:autoSpaceDE w:val="0"/>
        <w:autoSpaceDN w:val="0"/>
        <w:adjustRightInd w:val="0"/>
        <w:ind w:firstLine="708"/>
        <w:jc w:val="both"/>
        <w:rPr>
          <w:sz w:val="28"/>
          <w:szCs w:val="28"/>
        </w:rPr>
      </w:pPr>
      <w:r w:rsidRPr="00467F9C">
        <w:rPr>
          <w:sz w:val="28"/>
          <w:szCs w:val="28"/>
        </w:rPr>
        <w:t>4. В результате заключения Фондом в 2021 году государственных контрактов с применением конкурентных способов определения поставщиков, экономия средств бюджета Фонда составила 9,9 тыс. рублей.</w:t>
      </w:r>
    </w:p>
    <w:p w:rsidR="005E541F" w:rsidRPr="00467F9C" w:rsidRDefault="005E541F" w:rsidP="00191861">
      <w:pPr>
        <w:ind w:firstLine="709"/>
        <w:jc w:val="both"/>
        <w:rPr>
          <w:sz w:val="28"/>
          <w:szCs w:val="28"/>
        </w:rPr>
      </w:pPr>
      <w:r w:rsidRPr="00467F9C">
        <w:rPr>
          <w:sz w:val="28"/>
          <w:szCs w:val="28"/>
        </w:rPr>
        <w:t>5. Бюджетные назначения в представленной к проверке отчетности соответствуют показателям, утвержденным Законом о бюджете Фонда и сводной бюджетной росписи Фонда.</w:t>
      </w:r>
    </w:p>
    <w:p w:rsidR="005E541F" w:rsidRPr="00467F9C" w:rsidRDefault="005E541F" w:rsidP="00191861">
      <w:pPr>
        <w:autoSpaceDE w:val="0"/>
        <w:autoSpaceDN w:val="0"/>
        <w:adjustRightInd w:val="0"/>
        <w:ind w:firstLine="708"/>
        <w:jc w:val="both"/>
        <w:rPr>
          <w:sz w:val="28"/>
          <w:szCs w:val="28"/>
        </w:rPr>
      </w:pPr>
      <w:r w:rsidRPr="00467F9C">
        <w:rPr>
          <w:sz w:val="28"/>
          <w:szCs w:val="28"/>
        </w:rPr>
        <w:t>Доходы, администрируемые Фондом, поступили</w:t>
      </w:r>
      <w:r w:rsidRPr="00467F9C">
        <w:rPr>
          <w:b/>
          <w:sz w:val="28"/>
          <w:szCs w:val="28"/>
        </w:rPr>
        <w:t xml:space="preserve"> </w:t>
      </w:r>
      <w:r w:rsidRPr="00467F9C">
        <w:rPr>
          <w:sz w:val="28"/>
          <w:szCs w:val="28"/>
        </w:rPr>
        <w:t>в</w:t>
      </w:r>
      <w:r w:rsidRPr="00467F9C">
        <w:rPr>
          <w:b/>
          <w:sz w:val="28"/>
          <w:szCs w:val="28"/>
        </w:rPr>
        <w:t xml:space="preserve"> </w:t>
      </w:r>
      <w:r w:rsidRPr="00467F9C">
        <w:rPr>
          <w:sz w:val="28"/>
          <w:szCs w:val="28"/>
        </w:rPr>
        <w:t xml:space="preserve">бюджет Фонда в объеме 3 602 921,3 тыс. рублей или 99,2% от утвержденных бюджетных назначений, расходы исполнены в сумме </w:t>
      </w:r>
      <w:r w:rsidRPr="00467F9C">
        <w:rPr>
          <w:bCs/>
          <w:sz w:val="28"/>
          <w:szCs w:val="28"/>
        </w:rPr>
        <w:t xml:space="preserve">3 488 740,5 </w:t>
      </w:r>
      <w:r w:rsidRPr="00467F9C">
        <w:rPr>
          <w:sz w:val="28"/>
          <w:szCs w:val="28"/>
        </w:rPr>
        <w:t>тыс. рублей или 94,9% от плановых назначений, отраженных в сводной бюджетной росписи. Бюджет Фонда исполнен с профицитом в размере 114 180,8 тыс. рублей.</w:t>
      </w:r>
    </w:p>
    <w:p w:rsidR="005E541F" w:rsidRPr="00467F9C" w:rsidRDefault="005E541F" w:rsidP="00191861">
      <w:pPr>
        <w:ind w:firstLine="709"/>
        <w:jc w:val="both"/>
        <w:rPr>
          <w:sz w:val="28"/>
          <w:szCs w:val="28"/>
        </w:rPr>
      </w:pPr>
      <w:r w:rsidRPr="00467F9C">
        <w:rPr>
          <w:sz w:val="28"/>
          <w:szCs w:val="28"/>
        </w:rPr>
        <w:t>В структуре администрируемых Фондом доходов наибольшую долю (99,3%) составляют безвозмездные поступления. Бюджетные назначения по данному виду источников доходов исполнены в объеме 3 576 819,7 тыс. рублей или 99,1% от утвержденных бюджетных назначений.</w:t>
      </w:r>
    </w:p>
    <w:p w:rsidR="005E541F" w:rsidRPr="00467F9C" w:rsidRDefault="005E541F" w:rsidP="00191861">
      <w:pPr>
        <w:ind w:firstLine="709"/>
        <w:jc w:val="both"/>
        <w:rPr>
          <w:sz w:val="28"/>
          <w:szCs w:val="28"/>
        </w:rPr>
      </w:pPr>
      <w:r w:rsidRPr="00467F9C">
        <w:rPr>
          <w:sz w:val="28"/>
          <w:szCs w:val="28"/>
        </w:rPr>
        <w:t>Налоговые и неналоговые доходы в структуре доходов бюджета Фонда составляют 0,7% и в 2021 году исполнены в объеме 26 101,6</w:t>
      </w:r>
      <w:r w:rsidRPr="00467F9C">
        <w:rPr>
          <w:bCs/>
          <w:sz w:val="28"/>
          <w:szCs w:val="28"/>
        </w:rPr>
        <w:t xml:space="preserve"> тыс. рублей или 126,7% от утвержденных бюджетных назначений.</w:t>
      </w:r>
    </w:p>
    <w:p w:rsidR="005E541F" w:rsidRPr="00467F9C" w:rsidRDefault="005E541F" w:rsidP="00191861">
      <w:pPr>
        <w:widowControl w:val="0"/>
        <w:jc w:val="both"/>
        <w:rPr>
          <w:b/>
          <w:sz w:val="16"/>
          <w:szCs w:val="16"/>
        </w:rPr>
      </w:pPr>
    </w:p>
    <w:p w:rsidR="005E541F" w:rsidRPr="00467F9C" w:rsidRDefault="005E541F" w:rsidP="00191861">
      <w:pPr>
        <w:ind w:firstLine="708"/>
        <w:jc w:val="both"/>
        <w:rPr>
          <w:b/>
          <w:sz w:val="28"/>
          <w:szCs w:val="28"/>
        </w:rPr>
      </w:pPr>
      <w:r w:rsidRPr="00467F9C">
        <w:rPr>
          <w:b/>
          <w:sz w:val="28"/>
          <w:szCs w:val="28"/>
        </w:rPr>
        <w:t>Предложения (рекомендации):</w:t>
      </w:r>
    </w:p>
    <w:p w:rsidR="005E541F" w:rsidRPr="00467F9C" w:rsidRDefault="005E541F" w:rsidP="00191861">
      <w:pPr>
        <w:autoSpaceDE w:val="0"/>
        <w:autoSpaceDN w:val="0"/>
        <w:adjustRightInd w:val="0"/>
        <w:ind w:firstLine="708"/>
        <w:jc w:val="both"/>
        <w:outlineLvl w:val="0"/>
        <w:rPr>
          <w:sz w:val="28"/>
          <w:szCs w:val="28"/>
        </w:rPr>
      </w:pPr>
      <w:r w:rsidRPr="00467F9C">
        <w:rPr>
          <w:sz w:val="28"/>
          <w:szCs w:val="28"/>
        </w:rPr>
        <w:t>1. Отчет о результатах контрольного мероприятия «Внешняя проверка бюджетной отчетности Чукотского территориального фонда обязательного медицинского страхования за 2021 год» направить в Думу и Губернатору Чукотского автономного округа.</w:t>
      </w:r>
    </w:p>
    <w:p w:rsidR="00A22E9F" w:rsidRPr="00A22E9F" w:rsidRDefault="00A22E9F" w:rsidP="00191861">
      <w:pPr>
        <w:tabs>
          <w:tab w:val="left" w:pos="7938"/>
        </w:tabs>
        <w:ind w:right="-286"/>
        <w:rPr>
          <w:sz w:val="6"/>
          <w:szCs w:val="6"/>
        </w:rPr>
      </w:pPr>
    </w:p>
    <w:p w:rsidR="004438D2" w:rsidRDefault="004438D2" w:rsidP="00191861">
      <w:pPr>
        <w:tabs>
          <w:tab w:val="left" w:pos="7938"/>
        </w:tabs>
        <w:ind w:right="-286"/>
        <w:rPr>
          <w:sz w:val="28"/>
          <w:szCs w:val="28"/>
        </w:rPr>
      </w:pPr>
    </w:p>
    <w:p w:rsidR="004438D2" w:rsidRDefault="004438D2" w:rsidP="00191861">
      <w:pPr>
        <w:tabs>
          <w:tab w:val="left" w:pos="7938"/>
        </w:tabs>
        <w:ind w:right="-286"/>
        <w:rPr>
          <w:sz w:val="28"/>
          <w:szCs w:val="28"/>
        </w:rPr>
      </w:pPr>
    </w:p>
    <w:p w:rsidR="005E541F" w:rsidRPr="00467F9C" w:rsidRDefault="005E541F" w:rsidP="00191861">
      <w:pPr>
        <w:tabs>
          <w:tab w:val="left" w:pos="7938"/>
        </w:tabs>
        <w:ind w:right="-286"/>
        <w:rPr>
          <w:sz w:val="28"/>
          <w:szCs w:val="28"/>
        </w:rPr>
      </w:pPr>
      <w:r w:rsidRPr="00467F9C">
        <w:rPr>
          <w:sz w:val="28"/>
          <w:szCs w:val="28"/>
        </w:rPr>
        <w:t xml:space="preserve">Аудитор Счетной палаты </w:t>
      </w:r>
    </w:p>
    <w:p w:rsidR="005E541F" w:rsidRPr="00467F9C" w:rsidRDefault="005E541F" w:rsidP="00BB5C29">
      <w:pPr>
        <w:tabs>
          <w:tab w:val="left" w:pos="7938"/>
        </w:tabs>
        <w:ind w:right="-286"/>
        <w:rPr>
          <w:bCs/>
          <w:sz w:val="28"/>
          <w:szCs w:val="28"/>
        </w:rPr>
      </w:pPr>
      <w:r w:rsidRPr="00467F9C">
        <w:rPr>
          <w:sz w:val="28"/>
          <w:szCs w:val="28"/>
        </w:rPr>
        <w:t>Чукотского автономного округа</w:t>
      </w:r>
      <w:r w:rsidRPr="00467F9C">
        <w:rPr>
          <w:sz w:val="28"/>
          <w:szCs w:val="28"/>
        </w:rPr>
        <w:tab/>
      </w:r>
      <w:proofErr w:type="spellStart"/>
      <w:r w:rsidRPr="00467F9C">
        <w:rPr>
          <w:sz w:val="28"/>
          <w:szCs w:val="28"/>
        </w:rPr>
        <w:t>Л.А.Петрусева</w:t>
      </w:r>
      <w:bookmarkEnd w:id="11"/>
      <w:proofErr w:type="spellEnd"/>
      <w:r w:rsidRPr="00467F9C">
        <w:rPr>
          <w:bCs/>
          <w:sz w:val="28"/>
          <w:szCs w:val="28"/>
        </w:rPr>
        <w:br w:type="page"/>
      </w:r>
    </w:p>
    <w:p w:rsidR="005E541F" w:rsidRPr="00A91FB9" w:rsidRDefault="00A91FB9" w:rsidP="00191861">
      <w:pPr>
        <w:jc w:val="center"/>
        <w:rPr>
          <w:b/>
          <w:sz w:val="28"/>
          <w:szCs w:val="28"/>
        </w:rPr>
      </w:pPr>
      <w:r>
        <w:rPr>
          <w:b/>
          <w:sz w:val="28"/>
          <w:szCs w:val="28"/>
        </w:rPr>
        <w:lastRenderedPageBreak/>
        <w:t>ЗАКЛЮЧЕНИЕ</w:t>
      </w:r>
    </w:p>
    <w:p w:rsidR="005E541F" w:rsidRPr="00467F9C" w:rsidRDefault="005E541F" w:rsidP="00191861">
      <w:pPr>
        <w:jc w:val="center"/>
        <w:rPr>
          <w:b/>
          <w:sz w:val="28"/>
          <w:szCs w:val="28"/>
        </w:rPr>
      </w:pPr>
      <w:r w:rsidRPr="00467F9C">
        <w:rPr>
          <w:b/>
          <w:sz w:val="28"/>
          <w:szCs w:val="28"/>
        </w:rPr>
        <w:t xml:space="preserve">о результатах экспертно-аналитического мероприятия </w:t>
      </w:r>
    </w:p>
    <w:p w:rsidR="005E541F" w:rsidRPr="00467F9C" w:rsidRDefault="005E541F" w:rsidP="00191861">
      <w:pPr>
        <w:pStyle w:val="Default"/>
        <w:jc w:val="center"/>
        <w:rPr>
          <w:b/>
          <w:iCs/>
          <w:color w:val="auto"/>
          <w:sz w:val="28"/>
          <w:szCs w:val="28"/>
        </w:rPr>
      </w:pPr>
      <w:r w:rsidRPr="00467F9C">
        <w:rPr>
          <w:b/>
          <w:bCs/>
          <w:color w:val="auto"/>
          <w:sz w:val="28"/>
          <w:szCs w:val="28"/>
        </w:rPr>
        <w:t xml:space="preserve">«Внешняя проверка годового отчета </w:t>
      </w:r>
      <w:r w:rsidRPr="00467F9C">
        <w:rPr>
          <w:b/>
          <w:iCs/>
          <w:color w:val="auto"/>
          <w:sz w:val="28"/>
          <w:szCs w:val="28"/>
        </w:rPr>
        <w:t>об исполнении бюджета Чукотского территориального фонда обязательного медицинского страхования                    за 2021 год»</w:t>
      </w:r>
    </w:p>
    <w:p w:rsidR="005E541F" w:rsidRPr="00467F9C" w:rsidRDefault="005E541F" w:rsidP="00191861">
      <w:pPr>
        <w:rPr>
          <w:rFonts w:eastAsia="Calibri"/>
          <w:sz w:val="16"/>
          <w:szCs w:val="16"/>
          <w:lang w:eastAsia="en-US"/>
        </w:rPr>
      </w:pPr>
    </w:p>
    <w:p w:rsidR="005E541F" w:rsidRPr="00467F9C" w:rsidRDefault="005E541F" w:rsidP="00191861">
      <w:pPr>
        <w:jc w:val="center"/>
      </w:pPr>
      <w:r w:rsidRPr="00467F9C">
        <w:t>(Утверждено Коллегией Счетной палаты Чукотского автономного округа                                протокол от 29 апреля 2022 года №8)</w:t>
      </w:r>
    </w:p>
    <w:p w:rsidR="005E541F" w:rsidRPr="00467F9C" w:rsidRDefault="005E541F" w:rsidP="00191861">
      <w:pPr>
        <w:tabs>
          <w:tab w:val="left" w:pos="8222"/>
        </w:tabs>
        <w:rPr>
          <w:sz w:val="16"/>
          <w:szCs w:val="16"/>
        </w:rPr>
      </w:pPr>
    </w:p>
    <w:p w:rsidR="005E541F" w:rsidRPr="00467F9C" w:rsidRDefault="005E541F" w:rsidP="00191861">
      <w:pPr>
        <w:spacing w:before="240"/>
        <w:ind w:firstLine="720"/>
        <w:jc w:val="both"/>
        <w:rPr>
          <w:sz w:val="28"/>
          <w:szCs w:val="28"/>
        </w:rPr>
      </w:pPr>
      <w:r w:rsidRPr="00467F9C">
        <w:rPr>
          <w:b/>
          <w:bCs/>
          <w:sz w:val="28"/>
          <w:szCs w:val="28"/>
        </w:rPr>
        <w:t xml:space="preserve">Основание для проведения </w:t>
      </w:r>
      <w:r w:rsidRPr="00467F9C">
        <w:rPr>
          <w:b/>
          <w:sz w:val="28"/>
          <w:szCs w:val="28"/>
        </w:rPr>
        <w:t xml:space="preserve">экспертно-аналитического </w:t>
      </w:r>
      <w:r w:rsidRPr="00467F9C">
        <w:rPr>
          <w:b/>
          <w:bCs/>
          <w:sz w:val="28"/>
          <w:szCs w:val="28"/>
        </w:rPr>
        <w:t xml:space="preserve">мероприятия: </w:t>
      </w:r>
      <w:r w:rsidRPr="00467F9C">
        <w:rPr>
          <w:bCs/>
          <w:sz w:val="28"/>
          <w:szCs w:val="28"/>
        </w:rPr>
        <w:t xml:space="preserve">пункт 2.4. </w:t>
      </w:r>
      <w:r w:rsidRPr="00467F9C">
        <w:rPr>
          <w:sz w:val="28"/>
          <w:szCs w:val="28"/>
        </w:rPr>
        <w:t xml:space="preserve">Плана </w:t>
      </w:r>
      <w:r w:rsidRPr="00467F9C">
        <w:rPr>
          <w:bCs/>
          <w:sz w:val="28"/>
          <w:szCs w:val="28"/>
        </w:rPr>
        <w:t>работы Счетной палаты Чукотского автономного округа</w:t>
      </w:r>
      <w:r w:rsidRPr="00467F9C">
        <w:rPr>
          <w:rStyle w:val="ab"/>
          <w:bCs/>
          <w:sz w:val="28"/>
          <w:szCs w:val="28"/>
        </w:rPr>
        <w:footnoteReference w:id="18"/>
      </w:r>
      <w:r w:rsidRPr="00467F9C">
        <w:rPr>
          <w:bCs/>
          <w:sz w:val="28"/>
          <w:szCs w:val="28"/>
        </w:rPr>
        <w:t xml:space="preserve">  на 2022 год, </w:t>
      </w:r>
      <w:r w:rsidRPr="00467F9C">
        <w:rPr>
          <w:sz w:val="28"/>
          <w:szCs w:val="28"/>
        </w:rPr>
        <w:t>утвержденного решением Коллегии Счетной палаты (протокол от 28 декабря 2021 года №32).</w:t>
      </w:r>
    </w:p>
    <w:p w:rsidR="005E541F" w:rsidRPr="00467F9C" w:rsidRDefault="005E541F" w:rsidP="00191861">
      <w:pPr>
        <w:keepNext/>
        <w:ind w:firstLine="709"/>
        <w:jc w:val="both"/>
        <w:outlineLvl w:val="1"/>
        <w:rPr>
          <w:sz w:val="10"/>
          <w:szCs w:val="10"/>
        </w:rPr>
      </w:pPr>
    </w:p>
    <w:p w:rsidR="005E541F" w:rsidRPr="00467F9C" w:rsidRDefault="005E541F" w:rsidP="00191861">
      <w:pPr>
        <w:keepNext/>
        <w:ind w:firstLine="708"/>
        <w:jc w:val="both"/>
        <w:outlineLvl w:val="1"/>
        <w:rPr>
          <w:bCs/>
          <w:sz w:val="28"/>
          <w:szCs w:val="28"/>
        </w:rPr>
      </w:pPr>
      <w:r w:rsidRPr="00467F9C">
        <w:rPr>
          <w:b/>
          <w:sz w:val="28"/>
          <w:szCs w:val="28"/>
        </w:rPr>
        <w:t xml:space="preserve">Предмет экспертно-аналитического мероприятия: </w:t>
      </w:r>
      <w:r w:rsidRPr="00467F9C">
        <w:rPr>
          <w:sz w:val="28"/>
          <w:szCs w:val="28"/>
        </w:rPr>
        <w:t>процесс</w:t>
      </w:r>
      <w:r w:rsidRPr="00467F9C">
        <w:rPr>
          <w:b/>
          <w:sz w:val="28"/>
          <w:szCs w:val="28"/>
        </w:rPr>
        <w:t xml:space="preserve"> </w:t>
      </w:r>
      <w:r w:rsidRPr="00467F9C">
        <w:rPr>
          <w:rStyle w:val="FontStyle70"/>
          <w:sz w:val="28"/>
          <w:szCs w:val="28"/>
        </w:rPr>
        <w:t>исполнения Закона Чукотского автономного округа о бюджете Чукотского территориального фонда обязательного медицинского страхования</w:t>
      </w:r>
      <w:r w:rsidRPr="00467F9C">
        <w:rPr>
          <w:rStyle w:val="ab"/>
          <w:sz w:val="28"/>
          <w:szCs w:val="28"/>
        </w:rPr>
        <w:footnoteReference w:id="19"/>
      </w:r>
      <w:r w:rsidRPr="00467F9C">
        <w:rPr>
          <w:rStyle w:val="FontStyle70"/>
          <w:sz w:val="28"/>
          <w:szCs w:val="28"/>
        </w:rPr>
        <w:t xml:space="preserve"> за 2021 год.</w:t>
      </w:r>
    </w:p>
    <w:p w:rsidR="005E541F" w:rsidRPr="00467F9C" w:rsidRDefault="005E541F" w:rsidP="00191861">
      <w:pPr>
        <w:keepNext/>
        <w:ind w:firstLine="708"/>
        <w:jc w:val="both"/>
        <w:outlineLvl w:val="1"/>
        <w:rPr>
          <w:iCs/>
          <w:sz w:val="10"/>
          <w:szCs w:val="10"/>
        </w:rPr>
      </w:pPr>
    </w:p>
    <w:p w:rsidR="005E541F" w:rsidRPr="00467F9C" w:rsidRDefault="005E541F" w:rsidP="00191861">
      <w:pPr>
        <w:pStyle w:val="Style18"/>
        <w:widowControl/>
        <w:spacing w:line="240" w:lineRule="auto"/>
        <w:ind w:firstLine="686"/>
        <w:rPr>
          <w:rStyle w:val="FontStyle70"/>
          <w:sz w:val="28"/>
          <w:szCs w:val="28"/>
        </w:rPr>
      </w:pPr>
      <w:r w:rsidRPr="00467F9C">
        <w:rPr>
          <w:b/>
          <w:bCs/>
          <w:sz w:val="28"/>
          <w:szCs w:val="28"/>
        </w:rPr>
        <w:t xml:space="preserve">Цель </w:t>
      </w:r>
      <w:bookmarkStart w:id="13" w:name="_Hlk37760100"/>
      <w:r w:rsidRPr="00467F9C">
        <w:rPr>
          <w:b/>
          <w:bCs/>
          <w:sz w:val="28"/>
          <w:szCs w:val="28"/>
        </w:rPr>
        <w:t>экспертно-аналитического мероприятия</w:t>
      </w:r>
      <w:bookmarkEnd w:id="13"/>
      <w:r w:rsidRPr="00467F9C">
        <w:rPr>
          <w:b/>
          <w:bCs/>
          <w:sz w:val="28"/>
          <w:szCs w:val="28"/>
        </w:rPr>
        <w:t>:</w:t>
      </w:r>
      <w:r w:rsidRPr="00467F9C">
        <w:rPr>
          <w:sz w:val="28"/>
          <w:szCs w:val="28"/>
        </w:rPr>
        <w:t> </w:t>
      </w:r>
      <w:r w:rsidRPr="00467F9C">
        <w:rPr>
          <w:rStyle w:val="FontStyle70"/>
          <w:sz w:val="28"/>
          <w:szCs w:val="28"/>
        </w:rPr>
        <w:t>оценить достоверность показателей годового отчета об исполнении бюджета Фонда и исполнение бюджета Фонда (по доходам, расходам, источникам финансирования дефицита бюджета).</w:t>
      </w:r>
    </w:p>
    <w:p w:rsidR="005E541F" w:rsidRPr="00467F9C" w:rsidRDefault="005E541F" w:rsidP="00191861">
      <w:pPr>
        <w:pStyle w:val="Style18"/>
        <w:widowControl/>
        <w:spacing w:line="240" w:lineRule="auto"/>
        <w:ind w:firstLine="686"/>
        <w:rPr>
          <w:rStyle w:val="FontStyle70"/>
          <w:sz w:val="10"/>
          <w:szCs w:val="10"/>
        </w:rPr>
      </w:pPr>
    </w:p>
    <w:p w:rsidR="005E541F" w:rsidRPr="00467F9C" w:rsidRDefault="005E541F" w:rsidP="00191861">
      <w:pPr>
        <w:pStyle w:val="Style18"/>
        <w:widowControl/>
        <w:spacing w:line="240" w:lineRule="auto"/>
        <w:ind w:firstLine="701"/>
        <w:rPr>
          <w:rStyle w:val="FontStyle70"/>
          <w:sz w:val="28"/>
          <w:szCs w:val="28"/>
        </w:rPr>
      </w:pPr>
      <w:r w:rsidRPr="00467F9C">
        <w:rPr>
          <w:rStyle w:val="FontStyle69"/>
          <w:sz w:val="28"/>
          <w:szCs w:val="28"/>
        </w:rPr>
        <w:t xml:space="preserve">Вопросы </w:t>
      </w:r>
      <w:r w:rsidRPr="00467F9C">
        <w:rPr>
          <w:b/>
          <w:bCs/>
          <w:sz w:val="28"/>
          <w:szCs w:val="28"/>
        </w:rPr>
        <w:t>экспертно-аналитического мероприятия</w:t>
      </w:r>
      <w:r w:rsidRPr="00467F9C">
        <w:rPr>
          <w:rStyle w:val="FontStyle70"/>
          <w:sz w:val="28"/>
          <w:szCs w:val="28"/>
        </w:rPr>
        <w:t>:</w:t>
      </w:r>
    </w:p>
    <w:p w:rsidR="005E541F" w:rsidRPr="00467F9C" w:rsidRDefault="005E541F" w:rsidP="00191861">
      <w:pPr>
        <w:pStyle w:val="Style18"/>
        <w:widowControl/>
        <w:numPr>
          <w:ilvl w:val="0"/>
          <w:numId w:val="2"/>
        </w:numPr>
        <w:spacing w:line="240" w:lineRule="auto"/>
        <w:rPr>
          <w:rStyle w:val="FontStyle70"/>
          <w:sz w:val="28"/>
          <w:szCs w:val="28"/>
        </w:rPr>
      </w:pPr>
      <w:r w:rsidRPr="00467F9C">
        <w:rPr>
          <w:rStyle w:val="FontStyle70"/>
          <w:sz w:val="28"/>
          <w:szCs w:val="28"/>
        </w:rPr>
        <w:t>Общие положения.</w:t>
      </w:r>
    </w:p>
    <w:p w:rsidR="005E541F" w:rsidRPr="00467F9C" w:rsidRDefault="005E541F" w:rsidP="00191861">
      <w:pPr>
        <w:pStyle w:val="Style18"/>
        <w:widowControl/>
        <w:numPr>
          <w:ilvl w:val="0"/>
          <w:numId w:val="2"/>
        </w:numPr>
        <w:tabs>
          <w:tab w:val="left" w:pos="1134"/>
        </w:tabs>
        <w:spacing w:line="240" w:lineRule="auto"/>
        <w:ind w:left="0" w:firstLine="709"/>
        <w:rPr>
          <w:rStyle w:val="FontStyle70"/>
          <w:sz w:val="28"/>
          <w:szCs w:val="28"/>
        </w:rPr>
      </w:pPr>
      <w:r w:rsidRPr="00467F9C">
        <w:rPr>
          <w:rStyle w:val="FontStyle70"/>
          <w:sz w:val="28"/>
          <w:szCs w:val="28"/>
        </w:rPr>
        <w:t>Основные характеристики исполнения бюджета Фонда за 2021 год.</w:t>
      </w:r>
    </w:p>
    <w:p w:rsidR="005E541F" w:rsidRPr="00467F9C" w:rsidRDefault="005E541F" w:rsidP="00191861">
      <w:pPr>
        <w:pStyle w:val="Style61"/>
        <w:widowControl/>
        <w:tabs>
          <w:tab w:val="left" w:pos="878"/>
        </w:tabs>
        <w:spacing w:line="240" w:lineRule="auto"/>
        <w:ind w:firstLine="709"/>
        <w:rPr>
          <w:rStyle w:val="FontStyle70"/>
          <w:sz w:val="28"/>
          <w:szCs w:val="28"/>
        </w:rPr>
      </w:pPr>
      <w:r w:rsidRPr="00467F9C">
        <w:rPr>
          <w:rStyle w:val="FontStyle70"/>
          <w:sz w:val="28"/>
          <w:szCs w:val="28"/>
        </w:rPr>
        <w:t>2.1. Провести анализ исполнения доходов бюджета Фонда в разрезе налоговых и неналоговых доходов, безвозмездных поступлений с учетом динамики исполнения данных показателей за отчетный и предыдущий финансовый период.</w:t>
      </w:r>
    </w:p>
    <w:p w:rsidR="005E541F" w:rsidRPr="00467F9C" w:rsidRDefault="005E541F" w:rsidP="00191861">
      <w:pPr>
        <w:pStyle w:val="Style56"/>
        <w:widowControl/>
        <w:spacing w:line="240" w:lineRule="auto"/>
        <w:ind w:firstLine="709"/>
        <w:rPr>
          <w:rStyle w:val="FontStyle70"/>
          <w:sz w:val="28"/>
          <w:szCs w:val="28"/>
        </w:rPr>
      </w:pPr>
      <w:r w:rsidRPr="00467F9C">
        <w:rPr>
          <w:rStyle w:val="FontStyle70"/>
          <w:sz w:val="28"/>
          <w:szCs w:val="28"/>
        </w:rPr>
        <w:t>2.2. Провести анализ исполнения расходов бюджета Фонда в разрезе разделов, подразделов и целевых статей бюджетной классификации с учетом динамики исполнения данных показателей за отчетный и предыдущий финансовый период с указанием причин неиспользования бюджетных ассигнований.</w:t>
      </w:r>
    </w:p>
    <w:p w:rsidR="005E541F" w:rsidRPr="00467F9C" w:rsidRDefault="005E541F" w:rsidP="00191861">
      <w:pPr>
        <w:pStyle w:val="Style56"/>
        <w:widowControl/>
        <w:spacing w:line="240" w:lineRule="auto"/>
        <w:ind w:firstLine="709"/>
        <w:rPr>
          <w:rStyle w:val="FontStyle70"/>
          <w:sz w:val="28"/>
          <w:szCs w:val="28"/>
        </w:rPr>
      </w:pPr>
      <w:r w:rsidRPr="00467F9C">
        <w:rPr>
          <w:rStyle w:val="FontStyle70"/>
          <w:sz w:val="28"/>
          <w:szCs w:val="28"/>
        </w:rPr>
        <w:t xml:space="preserve">3. Провести анализ исполнения </w:t>
      </w:r>
      <w:r w:rsidRPr="00467F9C">
        <w:rPr>
          <w:sz w:val="28"/>
          <w:szCs w:val="28"/>
        </w:rPr>
        <w:t>Территориальной программы государственных гарантий бесплатного оказания гражданам медицинской помощи в Чукотском автономном округе в 2021 году в части Территориальной программы ОМС.</w:t>
      </w:r>
    </w:p>
    <w:p w:rsidR="005E541F" w:rsidRPr="00467F9C" w:rsidRDefault="005E541F" w:rsidP="00191861">
      <w:pPr>
        <w:pStyle w:val="Style56"/>
        <w:widowControl/>
        <w:spacing w:line="240" w:lineRule="auto"/>
        <w:ind w:firstLine="709"/>
        <w:rPr>
          <w:rStyle w:val="FontStyle70"/>
          <w:sz w:val="28"/>
          <w:szCs w:val="28"/>
        </w:rPr>
      </w:pPr>
      <w:r w:rsidRPr="00467F9C">
        <w:rPr>
          <w:rStyle w:val="FontStyle70"/>
          <w:sz w:val="28"/>
          <w:szCs w:val="28"/>
        </w:rPr>
        <w:t>4.  Провести анализ использования средств нормированного страхового запаса бюджета Фонда.</w:t>
      </w:r>
    </w:p>
    <w:p w:rsidR="005E541F" w:rsidRPr="00467F9C" w:rsidRDefault="005E541F" w:rsidP="00191861">
      <w:pPr>
        <w:pStyle w:val="Style18"/>
        <w:widowControl/>
        <w:spacing w:line="240" w:lineRule="auto"/>
        <w:ind w:firstLine="691"/>
        <w:rPr>
          <w:b/>
          <w:bCs/>
          <w:sz w:val="16"/>
          <w:szCs w:val="16"/>
        </w:rPr>
      </w:pPr>
    </w:p>
    <w:p w:rsidR="005E541F" w:rsidRPr="00467F9C" w:rsidRDefault="005E541F" w:rsidP="00191861">
      <w:pPr>
        <w:pStyle w:val="Style18"/>
        <w:widowControl/>
        <w:spacing w:line="240" w:lineRule="auto"/>
        <w:ind w:firstLine="691"/>
        <w:rPr>
          <w:sz w:val="28"/>
          <w:szCs w:val="28"/>
        </w:rPr>
      </w:pPr>
      <w:r w:rsidRPr="00467F9C">
        <w:rPr>
          <w:b/>
          <w:bCs/>
          <w:sz w:val="28"/>
          <w:szCs w:val="28"/>
        </w:rPr>
        <w:t xml:space="preserve">Объект экспертно-аналитического мероприятия: </w:t>
      </w:r>
      <w:r w:rsidRPr="00467F9C">
        <w:rPr>
          <w:sz w:val="28"/>
          <w:szCs w:val="28"/>
        </w:rPr>
        <w:t xml:space="preserve">Чукотский территориальный фонд обязательного медицинского страхования. </w:t>
      </w:r>
    </w:p>
    <w:p w:rsidR="005E541F" w:rsidRPr="00467F9C" w:rsidRDefault="005E541F" w:rsidP="00191861">
      <w:pPr>
        <w:ind w:firstLine="709"/>
        <w:jc w:val="both"/>
        <w:rPr>
          <w:b/>
          <w:bCs/>
          <w:sz w:val="10"/>
          <w:szCs w:val="10"/>
        </w:rPr>
      </w:pPr>
    </w:p>
    <w:p w:rsidR="005E541F" w:rsidRPr="00467F9C" w:rsidRDefault="005E541F" w:rsidP="00191861">
      <w:pPr>
        <w:ind w:firstLine="709"/>
        <w:jc w:val="both"/>
        <w:rPr>
          <w:sz w:val="28"/>
          <w:szCs w:val="28"/>
        </w:rPr>
      </w:pPr>
      <w:r w:rsidRPr="00467F9C">
        <w:rPr>
          <w:b/>
          <w:bCs/>
          <w:sz w:val="28"/>
          <w:szCs w:val="28"/>
        </w:rPr>
        <w:t>Исследуемый период деятельности:</w:t>
      </w:r>
      <w:r w:rsidRPr="00467F9C">
        <w:rPr>
          <w:sz w:val="28"/>
          <w:szCs w:val="28"/>
        </w:rPr>
        <w:t xml:space="preserve"> 2021 год.</w:t>
      </w:r>
    </w:p>
    <w:p w:rsidR="005E541F" w:rsidRPr="00467F9C" w:rsidRDefault="005E541F" w:rsidP="00191861">
      <w:pPr>
        <w:ind w:firstLine="709"/>
        <w:jc w:val="both"/>
        <w:rPr>
          <w:sz w:val="10"/>
          <w:szCs w:val="10"/>
        </w:rPr>
      </w:pPr>
    </w:p>
    <w:p w:rsidR="005E541F" w:rsidRPr="00467F9C" w:rsidRDefault="005E541F" w:rsidP="00191861">
      <w:pPr>
        <w:ind w:right="-2" w:firstLine="709"/>
        <w:jc w:val="both"/>
        <w:rPr>
          <w:sz w:val="28"/>
          <w:szCs w:val="28"/>
        </w:rPr>
      </w:pPr>
      <w:r w:rsidRPr="00467F9C">
        <w:rPr>
          <w:b/>
          <w:sz w:val="28"/>
          <w:szCs w:val="28"/>
        </w:rPr>
        <w:t>Срок проведения экспертно-аналитического мероприятия:</w:t>
      </w:r>
      <w:r w:rsidRPr="00467F9C">
        <w:rPr>
          <w:sz w:val="28"/>
          <w:szCs w:val="28"/>
        </w:rPr>
        <w:t xml:space="preserve"> с 21 по 28 апреля 2022 года.</w:t>
      </w:r>
    </w:p>
    <w:p w:rsidR="005E541F" w:rsidRPr="00467F9C" w:rsidRDefault="005E541F" w:rsidP="00191861">
      <w:pPr>
        <w:jc w:val="both"/>
        <w:rPr>
          <w:bCs/>
          <w:sz w:val="16"/>
          <w:szCs w:val="16"/>
        </w:rPr>
      </w:pPr>
    </w:p>
    <w:p w:rsidR="005E541F" w:rsidRPr="00467F9C" w:rsidRDefault="005E541F" w:rsidP="00191861">
      <w:pPr>
        <w:ind w:firstLine="708"/>
        <w:jc w:val="both"/>
        <w:rPr>
          <w:sz w:val="28"/>
          <w:szCs w:val="28"/>
        </w:rPr>
      </w:pPr>
      <w:r w:rsidRPr="00467F9C">
        <w:rPr>
          <w:bCs/>
          <w:sz w:val="28"/>
          <w:szCs w:val="28"/>
        </w:rPr>
        <w:t xml:space="preserve">Заключение по результатам проверки </w:t>
      </w:r>
      <w:r w:rsidRPr="00467F9C">
        <w:rPr>
          <w:sz w:val="28"/>
          <w:szCs w:val="28"/>
        </w:rPr>
        <w:t xml:space="preserve">отчета об  исполнении бюджета </w:t>
      </w:r>
      <w:r w:rsidRPr="00467F9C">
        <w:rPr>
          <w:iCs/>
          <w:sz w:val="28"/>
          <w:szCs w:val="28"/>
        </w:rPr>
        <w:t>Чукотского территориального фонда обязательного медицинского страхования</w:t>
      </w:r>
      <w:r w:rsidRPr="00467F9C">
        <w:rPr>
          <w:rStyle w:val="ab"/>
          <w:iCs/>
          <w:sz w:val="28"/>
          <w:szCs w:val="28"/>
        </w:rPr>
        <w:footnoteReference w:id="20"/>
      </w:r>
      <w:r w:rsidRPr="00467F9C">
        <w:rPr>
          <w:iCs/>
          <w:sz w:val="28"/>
          <w:szCs w:val="28"/>
        </w:rPr>
        <w:t xml:space="preserve">  за  2021  год</w:t>
      </w:r>
      <w:r w:rsidRPr="00467F9C">
        <w:rPr>
          <w:sz w:val="28"/>
          <w:szCs w:val="28"/>
        </w:rPr>
        <w:t xml:space="preserve"> подготовлено в соответствии с требованиями статьи  149 Бюджетного кодекса, статьи 9 Федерального закона №6-ФЗ</w:t>
      </w:r>
      <w:r w:rsidRPr="00467F9C">
        <w:rPr>
          <w:rStyle w:val="ab"/>
          <w:sz w:val="28"/>
          <w:szCs w:val="28"/>
        </w:rPr>
        <w:footnoteReference w:id="21"/>
      </w:r>
      <w:r w:rsidRPr="00467F9C">
        <w:rPr>
          <w:sz w:val="28"/>
          <w:szCs w:val="28"/>
        </w:rPr>
        <w:t>, статьи 2 Закона о Счетной палате</w:t>
      </w:r>
      <w:r w:rsidRPr="00467F9C">
        <w:rPr>
          <w:rStyle w:val="ab"/>
          <w:sz w:val="28"/>
          <w:szCs w:val="28"/>
        </w:rPr>
        <w:footnoteReference w:id="22"/>
      </w:r>
      <w:r w:rsidRPr="00467F9C">
        <w:rPr>
          <w:sz w:val="28"/>
          <w:szCs w:val="28"/>
        </w:rPr>
        <w:t xml:space="preserve">, статьи 8 Закона о  бюджетом процессе и Стандарта внешнего государственного финансового контроля «Последующий контроль за исполнением бюджета Чукотского территориального фонда обязательного медицинского страхования». </w:t>
      </w:r>
    </w:p>
    <w:p w:rsidR="005E541F" w:rsidRPr="00467F9C" w:rsidRDefault="005E541F" w:rsidP="00191861">
      <w:pPr>
        <w:pStyle w:val="af8"/>
        <w:ind w:firstLine="709"/>
        <w:jc w:val="both"/>
        <w:rPr>
          <w:sz w:val="28"/>
          <w:szCs w:val="28"/>
        </w:rPr>
      </w:pPr>
      <w:r w:rsidRPr="00467F9C">
        <w:rPr>
          <w:sz w:val="28"/>
          <w:szCs w:val="28"/>
        </w:rPr>
        <w:t>Заключение подготовлено на основании показателей годовой бюджетной отчетности Фонда за 2021 год, представленной в Счетную палату в срок, установленный пунктом 10 статьи 9 Закона о бюджетном процессе. По составу и объему бюджетная отчетность соответствует требованиям Инструкции №191н</w:t>
      </w:r>
      <w:r w:rsidRPr="00467F9C">
        <w:rPr>
          <w:rStyle w:val="ab"/>
          <w:sz w:val="28"/>
          <w:szCs w:val="28"/>
        </w:rPr>
        <w:footnoteReference w:id="23"/>
      </w:r>
      <w:r w:rsidRPr="00467F9C">
        <w:rPr>
          <w:sz w:val="28"/>
          <w:szCs w:val="28"/>
        </w:rPr>
        <w:t xml:space="preserve">. </w:t>
      </w:r>
    </w:p>
    <w:p w:rsidR="005E541F" w:rsidRPr="00467F9C" w:rsidRDefault="005E541F" w:rsidP="00191861">
      <w:pPr>
        <w:pStyle w:val="af8"/>
        <w:ind w:firstLine="709"/>
        <w:jc w:val="both"/>
        <w:rPr>
          <w:bCs/>
          <w:sz w:val="28"/>
          <w:szCs w:val="28"/>
        </w:rPr>
      </w:pPr>
      <w:r w:rsidRPr="00467F9C">
        <w:rPr>
          <w:sz w:val="28"/>
          <w:szCs w:val="28"/>
        </w:rPr>
        <w:t xml:space="preserve">Бюджетная классификация, используемая при составлении форм бюджетной отчетности за 2021 год, соответствует бюджетной классификации, утвержденной приказом Департамента финансов, экономики и имущественных отношений Чукотского автономного округа от 28 декабря 2020 года №200 </w:t>
      </w:r>
      <w:r w:rsidRPr="00467F9C">
        <w:rPr>
          <w:bCs/>
          <w:sz w:val="28"/>
          <w:szCs w:val="28"/>
        </w:rPr>
        <w:t>«</w:t>
      </w:r>
      <w:r w:rsidRPr="00467F9C">
        <w:rPr>
          <w:sz w:val="28"/>
          <w:szCs w:val="28"/>
        </w:rPr>
        <w:t xml:space="preserve">Об утверждении Указаний о порядке формирования и применения кодов бюджетной классификации, относящейся к окружному бюджету и бюджету Чукотского </w:t>
      </w:r>
      <w:r w:rsidRPr="00467F9C">
        <w:rPr>
          <w:bCs/>
          <w:sz w:val="28"/>
          <w:szCs w:val="28"/>
        </w:rPr>
        <w:t>территориального фонда обязательного медицинского страхования, их структуре и принципах назначения».</w:t>
      </w:r>
    </w:p>
    <w:p w:rsidR="005E541F" w:rsidRPr="00467F9C" w:rsidRDefault="005E541F" w:rsidP="00191861">
      <w:pPr>
        <w:autoSpaceDE w:val="0"/>
        <w:autoSpaceDN w:val="0"/>
        <w:adjustRightInd w:val="0"/>
        <w:ind w:firstLine="708"/>
        <w:jc w:val="both"/>
        <w:rPr>
          <w:b/>
          <w:sz w:val="8"/>
          <w:szCs w:val="8"/>
        </w:rPr>
      </w:pPr>
    </w:p>
    <w:p w:rsidR="005E541F" w:rsidRPr="00467F9C" w:rsidRDefault="005E541F" w:rsidP="00191861">
      <w:pPr>
        <w:autoSpaceDE w:val="0"/>
        <w:autoSpaceDN w:val="0"/>
        <w:adjustRightInd w:val="0"/>
        <w:ind w:firstLine="708"/>
        <w:jc w:val="both"/>
        <w:rPr>
          <w:sz w:val="28"/>
          <w:szCs w:val="28"/>
        </w:rPr>
      </w:pPr>
      <w:r w:rsidRPr="00467F9C">
        <w:rPr>
          <w:b/>
          <w:sz w:val="28"/>
          <w:szCs w:val="28"/>
        </w:rPr>
        <w:t xml:space="preserve">1. Общие положения </w:t>
      </w:r>
    </w:p>
    <w:p w:rsidR="005E541F" w:rsidRPr="00467F9C" w:rsidRDefault="005E541F" w:rsidP="00191861">
      <w:pPr>
        <w:jc w:val="both"/>
        <w:rPr>
          <w:sz w:val="10"/>
          <w:szCs w:val="10"/>
        </w:rPr>
      </w:pPr>
    </w:p>
    <w:p w:rsidR="005E541F" w:rsidRPr="00467F9C" w:rsidRDefault="005E541F" w:rsidP="00191861">
      <w:pPr>
        <w:autoSpaceDE w:val="0"/>
        <w:autoSpaceDN w:val="0"/>
        <w:adjustRightInd w:val="0"/>
        <w:ind w:firstLine="708"/>
        <w:jc w:val="both"/>
        <w:rPr>
          <w:sz w:val="28"/>
          <w:szCs w:val="28"/>
        </w:rPr>
      </w:pPr>
      <w:r w:rsidRPr="00467F9C">
        <w:rPr>
          <w:sz w:val="28"/>
          <w:szCs w:val="28"/>
        </w:rPr>
        <w:t xml:space="preserve">Годовой отчет об исполнении бюджета Фонда за 2021 год представлен Правительством Чукотского автономного округа в Счетную палату с соблюдением срока, установленного статьей 149 Бюджетного кодекса. Одновременно с годовым отчетом представлены: Решение Правления Фонда от 4 апреля 2022 года №01/22 о согласовании отчета об исполнении бюджета Фонда за 2021 год в форме проекта закона Чукотского автономного округа «Об исполнении бюджета </w:t>
      </w:r>
      <w:r w:rsidRPr="00467F9C">
        <w:rPr>
          <w:rStyle w:val="FontStyle70"/>
          <w:sz w:val="28"/>
          <w:szCs w:val="28"/>
        </w:rPr>
        <w:t>Чукотского территориального фонда обязательного медицинского страхования за 2021 год» и о</w:t>
      </w:r>
      <w:r w:rsidRPr="00467F9C">
        <w:rPr>
          <w:sz w:val="28"/>
          <w:szCs w:val="28"/>
        </w:rPr>
        <w:t>тчет о выполнении Территориальной программы ОМС в 2021 году.</w:t>
      </w:r>
    </w:p>
    <w:p w:rsidR="005E541F" w:rsidRPr="00467F9C" w:rsidRDefault="005E541F" w:rsidP="009D7EF8">
      <w:pPr>
        <w:autoSpaceDE w:val="0"/>
        <w:autoSpaceDN w:val="0"/>
        <w:adjustRightInd w:val="0"/>
        <w:ind w:firstLine="708"/>
        <w:jc w:val="both"/>
        <w:rPr>
          <w:sz w:val="28"/>
          <w:szCs w:val="28"/>
        </w:rPr>
      </w:pPr>
      <w:r w:rsidRPr="00467F9C">
        <w:rPr>
          <w:sz w:val="28"/>
          <w:szCs w:val="28"/>
        </w:rPr>
        <w:t xml:space="preserve">Кроме того, Департаментом здравоохранения Чукотского автономного округа в Счетную палату представлен   отчет о   выполнении </w:t>
      </w:r>
      <w:proofErr w:type="gramStart"/>
      <w:r w:rsidRPr="00467F9C">
        <w:rPr>
          <w:sz w:val="28"/>
          <w:szCs w:val="28"/>
        </w:rPr>
        <w:t xml:space="preserve">Территориальной </w:t>
      </w:r>
      <w:r w:rsidR="009D7EF8">
        <w:rPr>
          <w:sz w:val="28"/>
          <w:szCs w:val="28"/>
        </w:rPr>
        <w:t xml:space="preserve"> </w:t>
      </w:r>
      <w:r w:rsidRPr="00467F9C">
        <w:rPr>
          <w:sz w:val="28"/>
          <w:szCs w:val="28"/>
        </w:rPr>
        <w:t>программы</w:t>
      </w:r>
      <w:proofErr w:type="gramEnd"/>
      <w:r w:rsidRPr="00467F9C">
        <w:rPr>
          <w:sz w:val="28"/>
          <w:szCs w:val="28"/>
        </w:rPr>
        <w:t xml:space="preserve"> государственных гарантий бесплатного оказания гражданам медицинской помощи за 2021 год в Чукотском автономном округе</w:t>
      </w:r>
      <w:r w:rsidRPr="00467F9C">
        <w:rPr>
          <w:rStyle w:val="ab"/>
          <w:sz w:val="28"/>
          <w:szCs w:val="28"/>
        </w:rPr>
        <w:footnoteReference w:id="24"/>
      </w:r>
      <w:r w:rsidRPr="00467F9C">
        <w:rPr>
          <w:sz w:val="28"/>
          <w:szCs w:val="28"/>
        </w:rPr>
        <w:t>.</w:t>
      </w:r>
    </w:p>
    <w:p w:rsidR="005E541F" w:rsidRPr="00467F9C" w:rsidRDefault="005E541F" w:rsidP="00191861">
      <w:pPr>
        <w:autoSpaceDE w:val="0"/>
        <w:autoSpaceDN w:val="0"/>
        <w:adjustRightInd w:val="0"/>
        <w:ind w:firstLine="540"/>
        <w:jc w:val="both"/>
        <w:rPr>
          <w:iCs/>
          <w:sz w:val="28"/>
          <w:szCs w:val="28"/>
        </w:rPr>
      </w:pPr>
      <w:r w:rsidRPr="00467F9C">
        <w:rPr>
          <w:sz w:val="28"/>
          <w:szCs w:val="28"/>
        </w:rPr>
        <w:lastRenderedPageBreak/>
        <w:t xml:space="preserve">Чукотский территориальный фонд обязательного медицинского страхования является некоммерческой организацией, созданной </w:t>
      </w:r>
      <w:r w:rsidRPr="00467F9C">
        <w:rPr>
          <w:rFonts w:eastAsia="Calibri"/>
          <w:sz w:val="28"/>
          <w:szCs w:val="28"/>
          <w:lang w:eastAsia="en-US"/>
        </w:rPr>
        <w:t>для реализации государственной политики в сфере обязательного медицинского страхования (далее – ОМС) на территории Чукотского автономного округа и действует на основании Положения о Фонде</w:t>
      </w:r>
      <w:r w:rsidRPr="00467F9C">
        <w:rPr>
          <w:rStyle w:val="ab"/>
          <w:iCs/>
          <w:sz w:val="28"/>
          <w:szCs w:val="28"/>
        </w:rPr>
        <w:footnoteReference w:id="25"/>
      </w:r>
      <w:r w:rsidRPr="00467F9C">
        <w:rPr>
          <w:iCs/>
          <w:sz w:val="28"/>
          <w:szCs w:val="28"/>
        </w:rPr>
        <w:t xml:space="preserve">. </w:t>
      </w:r>
    </w:p>
    <w:p w:rsidR="005E541F" w:rsidRPr="00467F9C" w:rsidRDefault="005E541F" w:rsidP="00191861">
      <w:pPr>
        <w:autoSpaceDE w:val="0"/>
        <w:autoSpaceDN w:val="0"/>
        <w:adjustRightInd w:val="0"/>
        <w:ind w:firstLine="540"/>
        <w:jc w:val="both"/>
        <w:rPr>
          <w:rFonts w:eastAsia="Calibri"/>
          <w:sz w:val="28"/>
          <w:szCs w:val="28"/>
          <w:lang w:eastAsia="en-US"/>
        </w:rPr>
      </w:pPr>
      <w:r w:rsidRPr="00467F9C">
        <w:rPr>
          <w:rFonts w:eastAsia="Calibri"/>
          <w:sz w:val="28"/>
          <w:szCs w:val="28"/>
          <w:lang w:eastAsia="en-US"/>
        </w:rPr>
        <w:t xml:space="preserve">В соответствии со статьей 215.1 Бюджетного кодекса и статьей 9 Закона о бюджетном процессе организация исполнения бюджета Фонда возлагается на орган управления Фондом, исполнение бюджета Фонда обеспечивается Правительством Чукотского автономного округа.  </w:t>
      </w:r>
    </w:p>
    <w:p w:rsidR="005E541F" w:rsidRPr="00467F9C" w:rsidRDefault="005E541F" w:rsidP="00191861">
      <w:pPr>
        <w:pStyle w:val="ConsPlusNormal"/>
        <w:ind w:firstLine="708"/>
        <w:jc w:val="both"/>
        <w:rPr>
          <w:rFonts w:ascii="Times New Roman" w:hAnsi="Times New Roman" w:cs="Times New Roman"/>
          <w:sz w:val="28"/>
          <w:szCs w:val="28"/>
        </w:rPr>
      </w:pPr>
      <w:r w:rsidRPr="00467F9C">
        <w:rPr>
          <w:rFonts w:ascii="Times New Roman" w:hAnsi="Times New Roman" w:cs="Times New Roman"/>
          <w:sz w:val="28"/>
          <w:szCs w:val="28"/>
        </w:rPr>
        <w:t>Деятельность Фонда в отчетном периоде осуществлялась в рамках реализации Федерального закона №326-ФЗ</w:t>
      </w:r>
      <w:r w:rsidRPr="00467F9C">
        <w:rPr>
          <w:rStyle w:val="ab"/>
          <w:rFonts w:ascii="Times New Roman" w:hAnsi="Times New Roman" w:cs="Times New Roman"/>
          <w:sz w:val="28"/>
          <w:szCs w:val="28"/>
        </w:rPr>
        <w:footnoteReference w:id="26"/>
      </w:r>
      <w:r w:rsidRPr="00467F9C">
        <w:rPr>
          <w:rFonts w:ascii="Times New Roman" w:hAnsi="Times New Roman" w:cs="Times New Roman"/>
          <w:sz w:val="28"/>
          <w:szCs w:val="28"/>
        </w:rPr>
        <w:t>, Закона о бюджете Фонда</w:t>
      </w:r>
      <w:r w:rsidRPr="00467F9C">
        <w:rPr>
          <w:rStyle w:val="ab"/>
          <w:rFonts w:ascii="Times New Roman" w:hAnsi="Times New Roman" w:cs="Times New Roman"/>
          <w:sz w:val="28"/>
          <w:szCs w:val="28"/>
        </w:rPr>
        <w:footnoteReference w:id="27"/>
      </w:r>
      <w:r w:rsidRPr="00467F9C">
        <w:rPr>
          <w:rFonts w:ascii="Times New Roman" w:hAnsi="Times New Roman" w:cs="Times New Roman"/>
          <w:sz w:val="28"/>
          <w:szCs w:val="28"/>
        </w:rPr>
        <w:t xml:space="preserve"> и   нормативных правовых актов, регламентирующих правоотношения в сфере ОМС.</w:t>
      </w:r>
    </w:p>
    <w:p w:rsidR="005E541F" w:rsidRPr="00467F9C" w:rsidRDefault="005E541F" w:rsidP="00191861">
      <w:pPr>
        <w:autoSpaceDE w:val="0"/>
        <w:autoSpaceDN w:val="0"/>
        <w:adjustRightInd w:val="0"/>
        <w:ind w:firstLine="708"/>
        <w:jc w:val="both"/>
        <w:rPr>
          <w:sz w:val="28"/>
          <w:szCs w:val="28"/>
        </w:rPr>
      </w:pPr>
      <w:r w:rsidRPr="00467F9C">
        <w:rPr>
          <w:sz w:val="28"/>
          <w:szCs w:val="28"/>
        </w:rPr>
        <w:t xml:space="preserve">В соответствии с Федеральным законом №326-ФЗ Фонд является участником ОМС в рамках реализации ТПГГ в части </w:t>
      </w:r>
      <w:proofErr w:type="spellStart"/>
      <w:r w:rsidRPr="00467F9C">
        <w:rPr>
          <w:sz w:val="28"/>
          <w:szCs w:val="28"/>
        </w:rPr>
        <w:t>Терпрограммы</w:t>
      </w:r>
      <w:proofErr w:type="spellEnd"/>
      <w:r w:rsidRPr="00467F9C">
        <w:rPr>
          <w:sz w:val="28"/>
          <w:szCs w:val="28"/>
        </w:rPr>
        <w:t xml:space="preserve"> ОМС. Средства бюджета Фонда на реализацию </w:t>
      </w:r>
      <w:proofErr w:type="spellStart"/>
      <w:r w:rsidRPr="00467F9C">
        <w:rPr>
          <w:sz w:val="28"/>
          <w:szCs w:val="28"/>
        </w:rPr>
        <w:t>Терпрограммы</w:t>
      </w:r>
      <w:proofErr w:type="spellEnd"/>
      <w:r w:rsidRPr="00467F9C">
        <w:rPr>
          <w:sz w:val="28"/>
          <w:szCs w:val="28"/>
        </w:rPr>
        <w:t xml:space="preserve"> ОМС являются основным источником ее финансирования. </w:t>
      </w:r>
    </w:p>
    <w:p w:rsidR="005E541F" w:rsidRPr="00467F9C" w:rsidRDefault="005E541F" w:rsidP="00191861">
      <w:pPr>
        <w:autoSpaceDE w:val="0"/>
        <w:autoSpaceDN w:val="0"/>
        <w:adjustRightInd w:val="0"/>
        <w:ind w:firstLine="708"/>
        <w:jc w:val="both"/>
        <w:rPr>
          <w:sz w:val="28"/>
          <w:szCs w:val="28"/>
        </w:rPr>
      </w:pPr>
      <w:proofErr w:type="spellStart"/>
      <w:r w:rsidRPr="00467F9C">
        <w:rPr>
          <w:sz w:val="28"/>
          <w:szCs w:val="28"/>
        </w:rPr>
        <w:t>Терпрограмма</w:t>
      </w:r>
      <w:proofErr w:type="spellEnd"/>
      <w:r w:rsidRPr="00467F9C">
        <w:rPr>
          <w:sz w:val="28"/>
          <w:szCs w:val="28"/>
        </w:rPr>
        <w:t xml:space="preserve"> ОМС реализуется в рамках подпрограммы «Финансовое обеспечение оказания гарантированной медицинской помощи населению Чукотского автономного округа» Государственной программы «Развитие здравоохранения Чукотского автономного округа»</w:t>
      </w:r>
      <w:r w:rsidRPr="00467F9C">
        <w:rPr>
          <w:rStyle w:val="ab"/>
          <w:sz w:val="28"/>
          <w:szCs w:val="28"/>
        </w:rPr>
        <w:footnoteReference w:id="28"/>
      </w:r>
      <w:r w:rsidRPr="00467F9C">
        <w:rPr>
          <w:sz w:val="28"/>
          <w:szCs w:val="28"/>
        </w:rPr>
        <w:t>.</w:t>
      </w:r>
    </w:p>
    <w:p w:rsidR="005E541F" w:rsidRPr="00467F9C" w:rsidRDefault="005E541F" w:rsidP="00191861">
      <w:pPr>
        <w:ind w:firstLine="709"/>
        <w:jc w:val="both"/>
        <w:rPr>
          <w:sz w:val="28"/>
          <w:szCs w:val="28"/>
        </w:rPr>
      </w:pPr>
      <w:r w:rsidRPr="00467F9C">
        <w:rPr>
          <w:sz w:val="28"/>
          <w:szCs w:val="28"/>
        </w:rPr>
        <w:t xml:space="preserve">Фонд осуществляет управление средствами ОМС на территории Чукотского автономного округа, предназначенными для обеспечения гарантий бесплатного оказания застрахованным лицам медицинской помощи в рамках ОМС и в целях обеспечения финансовой устойчивости ОМС в регионе. </w:t>
      </w:r>
    </w:p>
    <w:p w:rsidR="005E541F" w:rsidRPr="00467F9C" w:rsidRDefault="005E541F" w:rsidP="00191861">
      <w:pPr>
        <w:autoSpaceDE w:val="0"/>
        <w:autoSpaceDN w:val="0"/>
        <w:adjustRightInd w:val="0"/>
        <w:ind w:firstLine="709"/>
        <w:jc w:val="both"/>
        <w:outlineLvl w:val="0"/>
        <w:rPr>
          <w:sz w:val="28"/>
          <w:szCs w:val="28"/>
        </w:rPr>
      </w:pPr>
      <w:r w:rsidRPr="00467F9C">
        <w:rPr>
          <w:sz w:val="28"/>
          <w:szCs w:val="28"/>
        </w:rPr>
        <w:t>В системе ОМС Чукотского автономного округа функции страховщика в отчетном периоде осуществляла страховая компания Чукотский филиал АО «Страховая компания «СОГАЗ-Мед»</w:t>
      </w:r>
      <w:r w:rsidRPr="00467F9C">
        <w:rPr>
          <w:rStyle w:val="ab"/>
          <w:sz w:val="28"/>
          <w:szCs w:val="28"/>
        </w:rPr>
        <w:footnoteReference w:id="29"/>
      </w:r>
      <w:r w:rsidRPr="00467F9C">
        <w:rPr>
          <w:sz w:val="28"/>
          <w:szCs w:val="28"/>
        </w:rPr>
        <w:t xml:space="preserve"> на основании договора о финансовом обеспечении ОМС, заключенного с Фондом. </w:t>
      </w:r>
    </w:p>
    <w:p w:rsidR="005E541F" w:rsidRPr="00467F9C" w:rsidRDefault="005E541F" w:rsidP="009D7EF8">
      <w:pPr>
        <w:autoSpaceDE w:val="0"/>
        <w:autoSpaceDN w:val="0"/>
        <w:adjustRightInd w:val="0"/>
        <w:ind w:firstLine="708"/>
        <w:jc w:val="both"/>
        <w:rPr>
          <w:sz w:val="28"/>
          <w:szCs w:val="28"/>
        </w:rPr>
      </w:pPr>
      <w:r w:rsidRPr="00467F9C">
        <w:rPr>
          <w:sz w:val="28"/>
          <w:szCs w:val="28"/>
        </w:rPr>
        <w:t xml:space="preserve">В соответствии с ТПГГ в реестре медицинских организаций, осуществляющих деятельность в сфере ОМС на территории Чукотского автономного округа в 2021 году, значились 3 медицинские организации,  в  том числе:  ГБУЗ «Чукотская окружная больница»; ФКУЗ «Медико-санитарная часть МВД РФ по Чукотскому автономному округу» и ФГБУЗ «Медико-санитарная часть №4 ФМБА России». </w:t>
      </w:r>
    </w:p>
    <w:p w:rsidR="005E541F" w:rsidRPr="00467F9C" w:rsidRDefault="005E541F" w:rsidP="00191861">
      <w:pPr>
        <w:autoSpaceDE w:val="0"/>
        <w:autoSpaceDN w:val="0"/>
        <w:adjustRightInd w:val="0"/>
        <w:ind w:firstLine="709"/>
        <w:jc w:val="both"/>
        <w:rPr>
          <w:sz w:val="28"/>
          <w:szCs w:val="28"/>
        </w:rPr>
      </w:pPr>
      <w:r w:rsidRPr="00467F9C">
        <w:rPr>
          <w:sz w:val="28"/>
          <w:szCs w:val="28"/>
        </w:rPr>
        <w:t>На основании статьи 39 Федерального закона №326-ФЗ между Фондом, СМО и указанными медицинскими организациями, заключены договоры на оказание и оплату медицинской помощи по ОМС в 2021 году.</w:t>
      </w:r>
    </w:p>
    <w:p w:rsidR="005E541F" w:rsidRPr="00467F9C" w:rsidRDefault="005E541F" w:rsidP="00191861">
      <w:pPr>
        <w:autoSpaceDE w:val="0"/>
        <w:autoSpaceDN w:val="0"/>
        <w:adjustRightInd w:val="0"/>
        <w:ind w:firstLine="708"/>
        <w:jc w:val="both"/>
        <w:rPr>
          <w:sz w:val="28"/>
          <w:szCs w:val="28"/>
        </w:rPr>
      </w:pPr>
      <w:r w:rsidRPr="00467F9C">
        <w:rPr>
          <w:sz w:val="28"/>
          <w:szCs w:val="28"/>
        </w:rPr>
        <w:lastRenderedPageBreak/>
        <w:t xml:space="preserve">В течение 2021 года счета за оказанную гражданам медицинскую помощь по ОМС представлялись Фонду только двумя учреждениями – ГБУЗ «Чукотская окружная больница» и ФГБУЗ «Медико-санитарная часть №4 ФМБА России». ФКУЗ «Медико-санитарная часть МВД РФ по Чукотскому автономному округу» в отчетном периоде не осуществляло деятельность в сфере ОМС (не оказывало гражданам медицинскую помощь, подлежащую оплате за счет средств ОМС). </w:t>
      </w:r>
    </w:p>
    <w:p w:rsidR="005E541F" w:rsidRPr="00467F9C" w:rsidRDefault="005E541F" w:rsidP="00191861">
      <w:pPr>
        <w:autoSpaceDE w:val="0"/>
        <w:autoSpaceDN w:val="0"/>
        <w:adjustRightInd w:val="0"/>
        <w:ind w:firstLine="709"/>
        <w:jc w:val="both"/>
        <w:outlineLvl w:val="0"/>
        <w:rPr>
          <w:sz w:val="28"/>
          <w:szCs w:val="28"/>
        </w:rPr>
      </w:pPr>
      <w:r w:rsidRPr="00467F9C">
        <w:rPr>
          <w:sz w:val="28"/>
          <w:szCs w:val="28"/>
        </w:rPr>
        <w:t xml:space="preserve">В соответствии с Законом о бюджете Фонда, Фонд является </w:t>
      </w:r>
      <w:r w:rsidRPr="00467F9C">
        <w:rPr>
          <w:bCs/>
          <w:sz w:val="28"/>
          <w:szCs w:val="28"/>
        </w:rPr>
        <w:t xml:space="preserve">главным администратором доходов бюджета Фонда, главным администратором источников финансирования дефицита бюджета Фонда </w:t>
      </w:r>
      <w:r w:rsidRPr="00467F9C">
        <w:rPr>
          <w:sz w:val="28"/>
          <w:szCs w:val="28"/>
        </w:rPr>
        <w:t>(код главного администратора – 395).</w:t>
      </w:r>
    </w:p>
    <w:p w:rsidR="005E541F" w:rsidRPr="00467F9C" w:rsidRDefault="005E541F" w:rsidP="00191861">
      <w:pPr>
        <w:pStyle w:val="Style61"/>
        <w:widowControl/>
        <w:tabs>
          <w:tab w:val="left" w:pos="878"/>
        </w:tabs>
        <w:spacing w:line="240" w:lineRule="auto"/>
        <w:ind w:firstLine="13"/>
        <w:rPr>
          <w:b/>
        </w:rPr>
      </w:pPr>
      <w:r w:rsidRPr="00467F9C">
        <w:rPr>
          <w:b/>
          <w:sz w:val="28"/>
          <w:szCs w:val="28"/>
        </w:rPr>
        <w:tab/>
      </w:r>
    </w:p>
    <w:p w:rsidR="005E541F" w:rsidRPr="00467F9C" w:rsidRDefault="005E541F" w:rsidP="00191861">
      <w:pPr>
        <w:pStyle w:val="Style61"/>
        <w:widowControl/>
        <w:tabs>
          <w:tab w:val="left" w:pos="878"/>
        </w:tabs>
        <w:spacing w:line="240" w:lineRule="auto"/>
        <w:ind w:firstLine="13"/>
        <w:rPr>
          <w:rStyle w:val="FontStyle70"/>
          <w:b/>
          <w:sz w:val="28"/>
          <w:szCs w:val="28"/>
        </w:rPr>
      </w:pPr>
      <w:r w:rsidRPr="00467F9C">
        <w:rPr>
          <w:b/>
          <w:sz w:val="28"/>
          <w:szCs w:val="28"/>
        </w:rPr>
        <w:tab/>
        <w:t xml:space="preserve">2. </w:t>
      </w:r>
      <w:r w:rsidRPr="00467F9C">
        <w:rPr>
          <w:rStyle w:val="FontStyle70"/>
          <w:b/>
          <w:sz w:val="28"/>
          <w:szCs w:val="28"/>
        </w:rPr>
        <w:t>Основные характеристики исполнения бюджета Фонда за 2021 год</w:t>
      </w:r>
    </w:p>
    <w:p w:rsidR="005E541F" w:rsidRPr="00467F9C" w:rsidRDefault="005E541F" w:rsidP="00191861">
      <w:pPr>
        <w:autoSpaceDE w:val="0"/>
        <w:autoSpaceDN w:val="0"/>
        <w:adjustRightInd w:val="0"/>
        <w:ind w:firstLine="708"/>
        <w:jc w:val="both"/>
        <w:rPr>
          <w:sz w:val="8"/>
          <w:szCs w:val="8"/>
        </w:rPr>
      </w:pPr>
    </w:p>
    <w:p w:rsidR="005E541F" w:rsidRPr="00467F9C" w:rsidRDefault="005E541F" w:rsidP="00191861">
      <w:pPr>
        <w:autoSpaceDE w:val="0"/>
        <w:autoSpaceDN w:val="0"/>
        <w:adjustRightInd w:val="0"/>
        <w:ind w:firstLine="708"/>
        <w:jc w:val="both"/>
        <w:rPr>
          <w:sz w:val="28"/>
          <w:szCs w:val="28"/>
        </w:rPr>
      </w:pPr>
      <w:r w:rsidRPr="00467F9C">
        <w:rPr>
          <w:sz w:val="28"/>
          <w:szCs w:val="28"/>
        </w:rPr>
        <w:t>Законом о бюджете Фонда на 2021 год бюджетные назначения по доходам и расходам первоначально утверждены в объеме 3 428 735,5</w:t>
      </w:r>
      <w:r w:rsidRPr="00467F9C">
        <w:rPr>
          <w:rFonts w:eastAsiaTheme="minorHAnsi"/>
          <w:sz w:val="28"/>
          <w:szCs w:val="28"/>
          <w:lang w:eastAsia="en-US"/>
        </w:rPr>
        <w:t xml:space="preserve"> </w:t>
      </w:r>
      <w:r w:rsidRPr="00467F9C">
        <w:rPr>
          <w:sz w:val="28"/>
          <w:szCs w:val="28"/>
        </w:rPr>
        <w:t xml:space="preserve">тыс. рублей. Бюджет Фонда сформирован с соблюдением принципа </w:t>
      </w:r>
      <w:r w:rsidRPr="00467F9C">
        <w:rPr>
          <w:rFonts w:eastAsia="Calibri"/>
          <w:sz w:val="28"/>
          <w:szCs w:val="28"/>
          <w:lang w:eastAsia="en-US"/>
        </w:rPr>
        <w:t>сбалансированности</w:t>
      </w:r>
      <w:r w:rsidRPr="00467F9C">
        <w:rPr>
          <w:sz w:val="28"/>
          <w:szCs w:val="28"/>
        </w:rPr>
        <w:t xml:space="preserve">, что соответствует требованиям статьи 33 Бюджетного кодекса. </w:t>
      </w:r>
    </w:p>
    <w:p w:rsidR="005E541F" w:rsidRPr="00467F9C" w:rsidRDefault="005E541F" w:rsidP="00191861">
      <w:pPr>
        <w:autoSpaceDE w:val="0"/>
        <w:autoSpaceDN w:val="0"/>
        <w:adjustRightInd w:val="0"/>
        <w:ind w:firstLine="708"/>
        <w:jc w:val="both"/>
        <w:rPr>
          <w:sz w:val="28"/>
          <w:szCs w:val="28"/>
        </w:rPr>
      </w:pPr>
      <w:r w:rsidRPr="00467F9C">
        <w:rPr>
          <w:sz w:val="28"/>
          <w:szCs w:val="28"/>
        </w:rPr>
        <w:t>В ходе исполнения бюджета Фонда, в Закон о бюджете Фонда изменения вносились 3 раза.  В результате внесенных изменений бюджетные ассигнования по доходам увеличены на 202 369,4 тыс. рублей и на дату последнего уточнения составили 3 631 092,9 тыс. рублей, расходы увеличены на 233 009,4 тыс. рублей и в окончательной редакции утверждены в сумме 3 661 732,9 тыс. рублей. По итогам внесенных изменений исполнение бюджета Фонда планировалось с дефицитом в объеме 30 640,0 тыс. рублей.</w:t>
      </w:r>
    </w:p>
    <w:p w:rsidR="005E541F" w:rsidRPr="00467F9C" w:rsidRDefault="005E541F" w:rsidP="00191861">
      <w:pPr>
        <w:autoSpaceDE w:val="0"/>
        <w:autoSpaceDN w:val="0"/>
        <w:adjustRightInd w:val="0"/>
        <w:ind w:firstLine="708"/>
        <w:jc w:val="both"/>
        <w:rPr>
          <w:sz w:val="28"/>
          <w:szCs w:val="28"/>
        </w:rPr>
      </w:pPr>
      <w:r w:rsidRPr="00467F9C">
        <w:rPr>
          <w:sz w:val="28"/>
          <w:szCs w:val="28"/>
        </w:rPr>
        <w:t>Данные по внесению изменений в Закон о бюджете Фонда на 2021 год приведены в таблице 1.</w:t>
      </w:r>
    </w:p>
    <w:p w:rsidR="005E541F" w:rsidRPr="00467F9C" w:rsidRDefault="005E541F" w:rsidP="00191861">
      <w:pPr>
        <w:autoSpaceDE w:val="0"/>
        <w:autoSpaceDN w:val="0"/>
        <w:adjustRightInd w:val="0"/>
        <w:ind w:firstLine="708"/>
        <w:jc w:val="right"/>
        <w:rPr>
          <w:sz w:val="20"/>
          <w:szCs w:val="20"/>
        </w:rPr>
      </w:pPr>
      <w:r w:rsidRPr="00467F9C">
        <w:rPr>
          <w:sz w:val="28"/>
          <w:szCs w:val="28"/>
        </w:rPr>
        <w:t>Таблица 1 (тыс. рублей)</w:t>
      </w:r>
    </w:p>
    <w:tbl>
      <w:tblPr>
        <w:tblW w:w="9918" w:type="dxa"/>
        <w:tblLayout w:type="fixed"/>
        <w:tblLook w:val="04A0" w:firstRow="1" w:lastRow="0" w:firstColumn="1" w:lastColumn="0" w:noHBand="0" w:noVBand="1"/>
      </w:tblPr>
      <w:tblGrid>
        <w:gridCol w:w="2972"/>
        <w:gridCol w:w="1134"/>
        <w:gridCol w:w="1134"/>
        <w:gridCol w:w="1134"/>
        <w:gridCol w:w="1134"/>
        <w:gridCol w:w="1322"/>
        <w:gridCol w:w="1088"/>
      </w:tblGrid>
      <w:tr w:rsidR="005E541F" w:rsidRPr="00467F9C" w:rsidTr="009D7EF8">
        <w:trPr>
          <w:trHeight w:val="323"/>
        </w:trPr>
        <w:tc>
          <w:tcPr>
            <w:tcW w:w="2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 xml:space="preserve">Наименование показателя </w:t>
            </w:r>
          </w:p>
        </w:tc>
        <w:tc>
          <w:tcPr>
            <w:tcW w:w="4536" w:type="dxa"/>
            <w:gridSpan w:val="4"/>
            <w:tcBorders>
              <w:top w:val="single" w:sz="4" w:space="0" w:color="auto"/>
              <w:left w:val="nil"/>
              <w:bottom w:val="single" w:sz="4" w:space="0" w:color="auto"/>
              <w:right w:val="single" w:sz="4" w:space="0" w:color="000000"/>
            </w:tcBorders>
            <w:shd w:val="clear" w:color="auto" w:fill="auto"/>
            <w:vAlign w:val="center"/>
            <w:hideMark/>
          </w:tcPr>
          <w:p w:rsidR="005E541F" w:rsidRPr="00467F9C" w:rsidRDefault="005E541F" w:rsidP="00191861">
            <w:pPr>
              <w:jc w:val="center"/>
              <w:rPr>
                <w:sz w:val="18"/>
                <w:szCs w:val="18"/>
              </w:rPr>
            </w:pPr>
            <w:r w:rsidRPr="00467F9C">
              <w:rPr>
                <w:sz w:val="18"/>
                <w:szCs w:val="18"/>
              </w:rPr>
              <w:t xml:space="preserve">Утверждено Законом о бюджете Фонда </w:t>
            </w:r>
          </w:p>
        </w:tc>
        <w:tc>
          <w:tcPr>
            <w:tcW w:w="13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541F" w:rsidRPr="00467F9C" w:rsidRDefault="005E541F" w:rsidP="009D7EF8">
            <w:pPr>
              <w:ind w:left="-109" w:right="-206"/>
              <w:jc w:val="center"/>
              <w:rPr>
                <w:sz w:val="18"/>
                <w:szCs w:val="18"/>
              </w:rPr>
            </w:pPr>
            <w:r w:rsidRPr="00467F9C">
              <w:rPr>
                <w:sz w:val="18"/>
                <w:szCs w:val="18"/>
              </w:rPr>
              <w:t>Отклонения (увеличение "+", снижение "-"), гр.5-гр.2</w:t>
            </w:r>
          </w:p>
        </w:tc>
        <w:tc>
          <w:tcPr>
            <w:tcW w:w="10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Темп роста, % (гр.5/гр.2)</w:t>
            </w:r>
          </w:p>
        </w:tc>
      </w:tr>
      <w:tr w:rsidR="005E541F" w:rsidRPr="00467F9C" w:rsidTr="009D7EF8">
        <w:trPr>
          <w:trHeight w:val="638"/>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5E541F" w:rsidRPr="00467F9C" w:rsidRDefault="005E541F" w:rsidP="00191861">
            <w:pPr>
              <w:rPr>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16.12.2020      №75-ОЗ</w:t>
            </w:r>
          </w:p>
        </w:tc>
        <w:tc>
          <w:tcPr>
            <w:tcW w:w="113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12.04.2021       №20-ОЗ</w:t>
            </w:r>
          </w:p>
        </w:tc>
        <w:tc>
          <w:tcPr>
            <w:tcW w:w="113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20.10.2021     №55-ОЗ</w:t>
            </w:r>
          </w:p>
        </w:tc>
        <w:tc>
          <w:tcPr>
            <w:tcW w:w="113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13.12.2021 №81-ОЗ</w:t>
            </w:r>
          </w:p>
        </w:tc>
        <w:tc>
          <w:tcPr>
            <w:tcW w:w="1322" w:type="dxa"/>
            <w:vMerge/>
            <w:tcBorders>
              <w:top w:val="single" w:sz="4" w:space="0" w:color="auto"/>
              <w:left w:val="single" w:sz="4" w:space="0" w:color="auto"/>
              <w:bottom w:val="single" w:sz="4" w:space="0" w:color="000000"/>
              <w:right w:val="single" w:sz="4" w:space="0" w:color="auto"/>
            </w:tcBorders>
            <w:vAlign w:val="center"/>
            <w:hideMark/>
          </w:tcPr>
          <w:p w:rsidR="005E541F" w:rsidRPr="00467F9C" w:rsidRDefault="005E541F" w:rsidP="00191861">
            <w:pPr>
              <w:rPr>
                <w:sz w:val="18"/>
                <w:szCs w:val="18"/>
              </w:rPr>
            </w:pPr>
          </w:p>
        </w:tc>
        <w:tc>
          <w:tcPr>
            <w:tcW w:w="1088" w:type="dxa"/>
            <w:vMerge/>
            <w:tcBorders>
              <w:top w:val="single" w:sz="4" w:space="0" w:color="auto"/>
              <w:left w:val="single" w:sz="4" w:space="0" w:color="auto"/>
              <w:bottom w:val="single" w:sz="4" w:space="0" w:color="000000"/>
              <w:right w:val="single" w:sz="4" w:space="0" w:color="auto"/>
            </w:tcBorders>
            <w:vAlign w:val="center"/>
            <w:hideMark/>
          </w:tcPr>
          <w:p w:rsidR="005E541F" w:rsidRPr="00467F9C" w:rsidRDefault="005E541F" w:rsidP="00191861">
            <w:pPr>
              <w:rPr>
                <w:sz w:val="18"/>
                <w:szCs w:val="18"/>
              </w:rPr>
            </w:pPr>
          </w:p>
        </w:tc>
      </w:tr>
      <w:tr w:rsidR="005E541F" w:rsidRPr="00467F9C" w:rsidTr="009D7EF8">
        <w:trPr>
          <w:trHeight w:val="240"/>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2</w:t>
            </w:r>
          </w:p>
        </w:tc>
        <w:tc>
          <w:tcPr>
            <w:tcW w:w="1134" w:type="dxa"/>
            <w:tcBorders>
              <w:top w:val="nil"/>
              <w:left w:val="nil"/>
              <w:bottom w:val="single" w:sz="4" w:space="0" w:color="auto"/>
              <w:right w:val="single" w:sz="4" w:space="0" w:color="auto"/>
            </w:tcBorders>
            <w:shd w:val="clear" w:color="auto" w:fill="auto"/>
            <w:noWrap/>
            <w:vAlign w:val="bottom"/>
            <w:hideMark/>
          </w:tcPr>
          <w:p w:rsidR="005E541F" w:rsidRPr="00467F9C" w:rsidRDefault="005E541F" w:rsidP="00191861">
            <w:pPr>
              <w:jc w:val="right"/>
              <w:rPr>
                <w:sz w:val="18"/>
                <w:szCs w:val="18"/>
              </w:rPr>
            </w:pPr>
            <w:r w:rsidRPr="00467F9C">
              <w:rPr>
                <w:sz w:val="18"/>
                <w:szCs w:val="18"/>
              </w:rPr>
              <w:t>3</w:t>
            </w:r>
          </w:p>
        </w:tc>
        <w:tc>
          <w:tcPr>
            <w:tcW w:w="113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5</w:t>
            </w:r>
          </w:p>
        </w:tc>
        <w:tc>
          <w:tcPr>
            <w:tcW w:w="1322"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6</w:t>
            </w:r>
          </w:p>
        </w:tc>
        <w:tc>
          <w:tcPr>
            <w:tcW w:w="1088"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7</w:t>
            </w:r>
          </w:p>
        </w:tc>
      </w:tr>
      <w:tr w:rsidR="005E541F" w:rsidRPr="00467F9C" w:rsidTr="009D7EF8">
        <w:trPr>
          <w:trHeight w:val="240"/>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rPr>
                <w:b/>
                <w:bCs/>
                <w:sz w:val="18"/>
                <w:szCs w:val="18"/>
              </w:rPr>
            </w:pPr>
            <w:r w:rsidRPr="00467F9C">
              <w:rPr>
                <w:b/>
                <w:bCs/>
                <w:sz w:val="18"/>
                <w:szCs w:val="18"/>
              </w:rPr>
              <w:t xml:space="preserve">Доходы </w:t>
            </w:r>
            <w:proofErr w:type="gramStart"/>
            <w:r w:rsidRPr="00467F9C">
              <w:rPr>
                <w:b/>
                <w:bCs/>
                <w:sz w:val="18"/>
                <w:szCs w:val="18"/>
              </w:rPr>
              <w:t xml:space="preserve">всего,  </w:t>
            </w:r>
            <w:r w:rsidRPr="00467F9C">
              <w:rPr>
                <w:sz w:val="18"/>
                <w:szCs w:val="18"/>
              </w:rPr>
              <w:t>в</w:t>
            </w:r>
            <w:proofErr w:type="gramEnd"/>
            <w:r w:rsidRPr="00467F9C">
              <w:rPr>
                <w:sz w:val="18"/>
                <w:szCs w:val="18"/>
              </w:rPr>
              <w:t xml:space="preserve"> том числе: </w:t>
            </w:r>
            <w:r w:rsidRPr="00467F9C">
              <w:rPr>
                <w:b/>
                <w:bCs/>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
                <w:bCs/>
                <w:sz w:val="18"/>
                <w:szCs w:val="18"/>
              </w:rPr>
            </w:pPr>
            <w:r w:rsidRPr="00467F9C">
              <w:rPr>
                <w:b/>
                <w:bCs/>
                <w:sz w:val="18"/>
                <w:szCs w:val="18"/>
              </w:rPr>
              <w:t>3 428 723,5</w:t>
            </w:r>
          </w:p>
        </w:tc>
        <w:tc>
          <w:tcPr>
            <w:tcW w:w="1134" w:type="dxa"/>
            <w:tcBorders>
              <w:top w:val="nil"/>
              <w:left w:val="nil"/>
              <w:bottom w:val="single" w:sz="4" w:space="0" w:color="auto"/>
              <w:right w:val="single" w:sz="4" w:space="0" w:color="auto"/>
            </w:tcBorders>
            <w:shd w:val="clear" w:color="auto" w:fill="auto"/>
            <w:noWrap/>
            <w:vAlign w:val="bottom"/>
            <w:hideMark/>
          </w:tcPr>
          <w:p w:rsidR="005E541F" w:rsidRPr="00467F9C" w:rsidRDefault="005E541F" w:rsidP="00191861">
            <w:pPr>
              <w:jc w:val="right"/>
              <w:rPr>
                <w:b/>
                <w:bCs/>
                <w:sz w:val="18"/>
                <w:szCs w:val="18"/>
              </w:rPr>
            </w:pPr>
            <w:r w:rsidRPr="00467F9C">
              <w:rPr>
                <w:b/>
                <w:bCs/>
                <w:sz w:val="18"/>
                <w:szCs w:val="18"/>
              </w:rPr>
              <w:t>3 517 015,2</w:t>
            </w:r>
          </w:p>
        </w:tc>
        <w:tc>
          <w:tcPr>
            <w:tcW w:w="113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
                <w:bCs/>
                <w:sz w:val="18"/>
                <w:szCs w:val="18"/>
              </w:rPr>
            </w:pPr>
            <w:r w:rsidRPr="00467F9C">
              <w:rPr>
                <w:b/>
                <w:bCs/>
                <w:sz w:val="18"/>
                <w:szCs w:val="18"/>
              </w:rPr>
              <w:t>3 637 883,0</w:t>
            </w:r>
          </w:p>
        </w:tc>
        <w:tc>
          <w:tcPr>
            <w:tcW w:w="113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
                <w:bCs/>
                <w:sz w:val="18"/>
                <w:szCs w:val="18"/>
              </w:rPr>
            </w:pPr>
            <w:r w:rsidRPr="00467F9C">
              <w:rPr>
                <w:b/>
                <w:bCs/>
                <w:sz w:val="18"/>
                <w:szCs w:val="18"/>
              </w:rPr>
              <w:t>3 631 092,9</w:t>
            </w:r>
          </w:p>
        </w:tc>
        <w:tc>
          <w:tcPr>
            <w:tcW w:w="1322"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
                <w:bCs/>
                <w:sz w:val="18"/>
                <w:szCs w:val="18"/>
              </w:rPr>
            </w:pPr>
            <w:r w:rsidRPr="00467F9C">
              <w:rPr>
                <w:b/>
                <w:bCs/>
                <w:sz w:val="18"/>
                <w:szCs w:val="18"/>
              </w:rPr>
              <w:t>202 369,4</w:t>
            </w:r>
          </w:p>
        </w:tc>
        <w:tc>
          <w:tcPr>
            <w:tcW w:w="1088"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
                <w:bCs/>
                <w:sz w:val="18"/>
                <w:szCs w:val="18"/>
              </w:rPr>
            </w:pPr>
            <w:r w:rsidRPr="00467F9C">
              <w:rPr>
                <w:b/>
                <w:bCs/>
                <w:sz w:val="18"/>
                <w:szCs w:val="18"/>
              </w:rPr>
              <w:t>1,1</w:t>
            </w:r>
          </w:p>
        </w:tc>
      </w:tr>
      <w:tr w:rsidR="005E541F" w:rsidRPr="00467F9C" w:rsidTr="009D7EF8">
        <w:trPr>
          <w:trHeight w:val="240"/>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rPr>
                <w:sz w:val="18"/>
                <w:szCs w:val="18"/>
              </w:rPr>
            </w:pPr>
            <w:r w:rsidRPr="00467F9C">
              <w:rPr>
                <w:sz w:val="18"/>
                <w:szCs w:val="18"/>
              </w:rPr>
              <w:t xml:space="preserve">Налоговые и неналоговые доходы </w:t>
            </w:r>
          </w:p>
        </w:tc>
        <w:tc>
          <w:tcPr>
            <w:tcW w:w="113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10 323,5</w:t>
            </w:r>
          </w:p>
        </w:tc>
        <w:tc>
          <w:tcPr>
            <w:tcW w:w="1134" w:type="dxa"/>
            <w:tcBorders>
              <w:top w:val="nil"/>
              <w:left w:val="nil"/>
              <w:bottom w:val="single" w:sz="4" w:space="0" w:color="auto"/>
              <w:right w:val="single" w:sz="4" w:space="0" w:color="auto"/>
            </w:tcBorders>
            <w:shd w:val="clear" w:color="auto" w:fill="auto"/>
            <w:noWrap/>
            <w:vAlign w:val="center"/>
            <w:hideMark/>
          </w:tcPr>
          <w:p w:rsidR="005E541F" w:rsidRPr="00467F9C" w:rsidRDefault="005E541F" w:rsidP="00191861">
            <w:pPr>
              <w:jc w:val="center"/>
              <w:rPr>
                <w:sz w:val="18"/>
                <w:szCs w:val="18"/>
              </w:rPr>
            </w:pPr>
            <w:r w:rsidRPr="00467F9C">
              <w:rPr>
                <w:sz w:val="18"/>
                <w:szCs w:val="18"/>
              </w:rPr>
              <w:t>12 738,1</w:t>
            </w:r>
          </w:p>
        </w:tc>
        <w:tc>
          <w:tcPr>
            <w:tcW w:w="113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14 900,0</w:t>
            </w:r>
          </w:p>
        </w:tc>
        <w:tc>
          <w:tcPr>
            <w:tcW w:w="113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20 604,4</w:t>
            </w:r>
          </w:p>
        </w:tc>
        <w:tc>
          <w:tcPr>
            <w:tcW w:w="1322"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Cs/>
                <w:sz w:val="18"/>
                <w:szCs w:val="18"/>
              </w:rPr>
            </w:pPr>
            <w:r w:rsidRPr="00467F9C">
              <w:rPr>
                <w:bCs/>
                <w:sz w:val="18"/>
                <w:szCs w:val="18"/>
              </w:rPr>
              <w:t>10 280,9</w:t>
            </w:r>
          </w:p>
        </w:tc>
        <w:tc>
          <w:tcPr>
            <w:tcW w:w="1088"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Cs/>
                <w:sz w:val="18"/>
                <w:szCs w:val="18"/>
              </w:rPr>
            </w:pPr>
            <w:r w:rsidRPr="00467F9C">
              <w:rPr>
                <w:bCs/>
                <w:sz w:val="18"/>
                <w:szCs w:val="18"/>
              </w:rPr>
              <w:t>2,0</w:t>
            </w:r>
          </w:p>
        </w:tc>
      </w:tr>
      <w:tr w:rsidR="005E541F" w:rsidRPr="00467F9C" w:rsidTr="009D7EF8">
        <w:trPr>
          <w:trHeight w:val="270"/>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rPr>
                <w:sz w:val="18"/>
                <w:szCs w:val="18"/>
              </w:rPr>
            </w:pPr>
            <w:r w:rsidRPr="00467F9C">
              <w:rPr>
                <w:sz w:val="18"/>
                <w:szCs w:val="18"/>
              </w:rPr>
              <w:t>Безвозмездные поступления</w:t>
            </w:r>
          </w:p>
        </w:tc>
        <w:tc>
          <w:tcPr>
            <w:tcW w:w="113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3 418 400,0</w:t>
            </w:r>
          </w:p>
        </w:tc>
        <w:tc>
          <w:tcPr>
            <w:tcW w:w="1134" w:type="dxa"/>
            <w:tcBorders>
              <w:top w:val="nil"/>
              <w:left w:val="nil"/>
              <w:bottom w:val="single" w:sz="4" w:space="0" w:color="auto"/>
              <w:right w:val="single" w:sz="4" w:space="0" w:color="auto"/>
            </w:tcBorders>
            <w:shd w:val="clear" w:color="auto" w:fill="auto"/>
            <w:noWrap/>
            <w:vAlign w:val="bottom"/>
            <w:hideMark/>
          </w:tcPr>
          <w:p w:rsidR="005E541F" w:rsidRPr="00467F9C" w:rsidRDefault="005E541F" w:rsidP="00191861">
            <w:pPr>
              <w:jc w:val="right"/>
              <w:rPr>
                <w:sz w:val="18"/>
                <w:szCs w:val="18"/>
              </w:rPr>
            </w:pPr>
            <w:r w:rsidRPr="00467F9C">
              <w:rPr>
                <w:sz w:val="18"/>
                <w:szCs w:val="18"/>
              </w:rPr>
              <w:t>3 504 277,7</w:t>
            </w:r>
          </w:p>
        </w:tc>
        <w:tc>
          <w:tcPr>
            <w:tcW w:w="113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3 619 739,9</w:t>
            </w:r>
          </w:p>
        </w:tc>
        <w:tc>
          <w:tcPr>
            <w:tcW w:w="113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3 610 488,5</w:t>
            </w:r>
          </w:p>
        </w:tc>
        <w:tc>
          <w:tcPr>
            <w:tcW w:w="1322"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Cs/>
                <w:sz w:val="18"/>
                <w:szCs w:val="18"/>
              </w:rPr>
            </w:pPr>
            <w:r w:rsidRPr="00467F9C">
              <w:rPr>
                <w:bCs/>
                <w:sz w:val="18"/>
                <w:szCs w:val="18"/>
              </w:rPr>
              <w:t>192 088,5</w:t>
            </w:r>
          </w:p>
        </w:tc>
        <w:tc>
          <w:tcPr>
            <w:tcW w:w="1088"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Cs/>
                <w:sz w:val="18"/>
                <w:szCs w:val="18"/>
              </w:rPr>
            </w:pPr>
            <w:r w:rsidRPr="00467F9C">
              <w:rPr>
                <w:bCs/>
                <w:sz w:val="18"/>
                <w:szCs w:val="18"/>
              </w:rPr>
              <w:t>1,1</w:t>
            </w:r>
          </w:p>
        </w:tc>
      </w:tr>
      <w:tr w:rsidR="005E541F" w:rsidRPr="00467F9C" w:rsidTr="009D7EF8">
        <w:trPr>
          <w:trHeight w:val="240"/>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rPr>
                <w:b/>
                <w:bCs/>
                <w:sz w:val="18"/>
                <w:szCs w:val="18"/>
              </w:rPr>
            </w:pPr>
            <w:r w:rsidRPr="00467F9C">
              <w:rPr>
                <w:b/>
                <w:bCs/>
                <w:sz w:val="18"/>
                <w:szCs w:val="18"/>
              </w:rPr>
              <w:t>Расходы</w:t>
            </w:r>
          </w:p>
        </w:tc>
        <w:tc>
          <w:tcPr>
            <w:tcW w:w="113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
                <w:bCs/>
                <w:sz w:val="18"/>
                <w:szCs w:val="18"/>
              </w:rPr>
            </w:pPr>
            <w:r w:rsidRPr="00467F9C">
              <w:rPr>
                <w:b/>
                <w:bCs/>
                <w:sz w:val="18"/>
                <w:szCs w:val="18"/>
              </w:rPr>
              <w:t>3 428 723,5</w:t>
            </w:r>
          </w:p>
        </w:tc>
        <w:tc>
          <w:tcPr>
            <w:tcW w:w="1134" w:type="dxa"/>
            <w:tcBorders>
              <w:top w:val="nil"/>
              <w:left w:val="nil"/>
              <w:bottom w:val="single" w:sz="4" w:space="0" w:color="auto"/>
              <w:right w:val="single" w:sz="4" w:space="0" w:color="auto"/>
            </w:tcBorders>
            <w:shd w:val="clear" w:color="auto" w:fill="auto"/>
            <w:noWrap/>
            <w:vAlign w:val="bottom"/>
            <w:hideMark/>
          </w:tcPr>
          <w:p w:rsidR="005E541F" w:rsidRPr="00467F9C" w:rsidRDefault="005E541F" w:rsidP="00191861">
            <w:pPr>
              <w:jc w:val="right"/>
              <w:rPr>
                <w:b/>
                <w:bCs/>
                <w:sz w:val="18"/>
                <w:szCs w:val="18"/>
              </w:rPr>
            </w:pPr>
            <w:r w:rsidRPr="00467F9C">
              <w:rPr>
                <w:b/>
                <w:bCs/>
                <w:sz w:val="18"/>
                <w:szCs w:val="18"/>
              </w:rPr>
              <w:t>3 547 655,2</w:t>
            </w:r>
          </w:p>
        </w:tc>
        <w:tc>
          <w:tcPr>
            <w:tcW w:w="113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
                <w:bCs/>
                <w:sz w:val="18"/>
                <w:szCs w:val="18"/>
              </w:rPr>
            </w:pPr>
            <w:r w:rsidRPr="00467F9C">
              <w:rPr>
                <w:b/>
                <w:bCs/>
                <w:sz w:val="18"/>
                <w:szCs w:val="18"/>
              </w:rPr>
              <w:t>3 668 523,0</w:t>
            </w:r>
          </w:p>
        </w:tc>
        <w:tc>
          <w:tcPr>
            <w:tcW w:w="113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
                <w:bCs/>
                <w:sz w:val="18"/>
                <w:szCs w:val="18"/>
              </w:rPr>
            </w:pPr>
            <w:r w:rsidRPr="00467F9C">
              <w:rPr>
                <w:b/>
                <w:bCs/>
                <w:sz w:val="18"/>
                <w:szCs w:val="18"/>
              </w:rPr>
              <w:t>3 661 732,9</w:t>
            </w:r>
          </w:p>
        </w:tc>
        <w:tc>
          <w:tcPr>
            <w:tcW w:w="1322"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
                <w:bCs/>
                <w:sz w:val="18"/>
                <w:szCs w:val="18"/>
              </w:rPr>
            </w:pPr>
            <w:r w:rsidRPr="00467F9C">
              <w:rPr>
                <w:b/>
                <w:bCs/>
                <w:sz w:val="18"/>
                <w:szCs w:val="18"/>
              </w:rPr>
              <w:t>233 009,4</w:t>
            </w:r>
          </w:p>
        </w:tc>
        <w:tc>
          <w:tcPr>
            <w:tcW w:w="1088"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
                <w:bCs/>
                <w:sz w:val="18"/>
                <w:szCs w:val="18"/>
              </w:rPr>
            </w:pPr>
            <w:r w:rsidRPr="00467F9C">
              <w:rPr>
                <w:b/>
                <w:bCs/>
                <w:sz w:val="18"/>
                <w:szCs w:val="18"/>
              </w:rPr>
              <w:t>1,1</w:t>
            </w:r>
          </w:p>
        </w:tc>
      </w:tr>
      <w:tr w:rsidR="005E541F" w:rsidRPr="00467F9C" w:rsidTr="009D7EF8">
        <w:trPr>
          <w:trHeight w:val="24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5E541F" w:rsidRPr="00467F9C" w:rsidRDefault="005E541F" w:rsidP="00191861">
            <w:pPr>
              <w:rPr>
                <w:sz w:val="18"/>
                <w:szCs w:val="18"/>
              </w:rPr>
            </w:pPr>
            <w:r w:rsidRPr="00467F9C">
              <w:rPr>
                <w:sz w:val="18"/>
                <w:szCs w:val="18"/>
              </w:rPr>
              <w:t>Общегосударственные вопросы</w:t>
            </w:r>
          </w:p>
        </w:tc>
        <w:tc>
          <w:tcPr>
            <w:tcW w:w="113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47 454,2</w:t>
            </w:r>
          </w:p>
        </w:tc>
        <w:tc>
          <w:tcPr>
            <w:tcW w:w="1134" w:type="dxa"/>
            <w:tcBorders>
              <w:top w:val="nil"/>
              <w:left w:val="nil"/>
              <w:bottom w:val="single" w:sz="4" w:space="0" w:color="auto"/>
              <w:right w:val="single" w:sz="4" w:space="0" w:color="auto"/>
            </w:tcBorders>
            <w:shd w:val="clear" w:color="auto" w:fill="auto"/>
            <w:noWrap/>
            <w:vAlign w:val="bottom"/>
            <w:hideMark/>
          </w:tcPr>
          <w:p w:rsidR="005E541F" w:rsidRPr="00467F9C" w:rsidRDefault="005E541F" w:rsidP="00191861">
            <w:pPr>
              <w:jc w:val="right"/>
              <w:rPr>
                <w:sz w:val="18"/>
                <w:szCs w:val="18"/>
              </w:rPr>
            </w:pPr>
            <w:r w:rsidRPr="00467F9C">
              <w:rPr>
                <w:sz w:val="18"/>
                <w:szCs w:val="18"/>
              </w:rPr>
              <w:t>47 454,2</w:t>
            </w:r>
          </w:p>
        </w:tc>
        <w:tc>
          <w:tcPr>
            <w:tcW w:w="113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47 454,2</w:t>
            </w:r>
          </w:p>
        </w:tc>
        <w:tc>
          <w:tcPr>
            <w:tcW w:w="113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47 454,2</w:t>
            </w:r>
          </w:p>
        </w:tc>
        <w:tc>
          <w:tcPr>
            <w:tcW w:w="1322"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Cs/>
                <w:sz w:val="18"/>
                <w:szCs w:val="18"/>
              </w:rPr>
            </w:pPr>
            <w:r w:rsidRPr="00467F9C">
              <w:rPr>
                <w:bCs/>
                <w:sz w:val="18"/>
                <w:szCs w:val="18"/>
              </w:rPr>
              <w:t>0,0</w:t>
            </w:r>
          </w:p>
        </w:tc>
        <w:tc>
          <w:tcPr>
            <w:tcW w:w="1088"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Cs/>
                <w:sz w:val="18"/>
                <w:szCs w:val="18"/>
              </w:rPr>
            </w:pPr>
            <w:r w:rsidRPr="00467F9C">
              <w:rPr>
                <w:bCs/>
                <w:sz w:val="18"/>
                <w:szCs w:val="18"/>
              </w:rPr>
              <w:t>1,0</w:t>
            </w:r>
          </w:p>
        </w:tc>
      </w:tr>
      <w:tr w:rsidR="005E541F" w:rsidRPr="00467F9C" w:rsidTr="009D7EF8">
        <w:trPr>
          <w:trHeight w:val="240"/>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rPr>
                <w:sz w:val="18"/>
                <w:szCs w:val="18"/>
              </w:rPr>
            </w:pPr>
            <w:r w:rsidRPr="00467F9C">
              <w:rPr>
                <w:sz w:val="18"/>
                <w:szCs w:val="18"/>
              </w:rPr>
              <w:t>Здравоохранение</w:t>
            </w:r>
          </w:p>
        </w:tc>
        <w:tc>
          <w:tcPr>
            <w:tcW w:w="113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3 381 269,3</w:t>
            </w:r>
          </w:p>
        </w:tc>
        <w:tc>
          <w:tcPr>
            <w:tcW w:w="1134" w:type="dxa"/>
            <w:tcBorders>
              <w:top w:val="nil"/>
              <w:left w:val="nil"/>
              <w:bottom w:val="single" w:sz="4" w:space="0" w:color="auto"/>
              <w:right w:val="single" w:sz="4" w:space="0" w:color="auto"/>
            </w:tcBorders>
            <w:shd w:val="clear" w:color="auto" w:fill="auto"/>
            <w:noWrap/>
            <w:vAlign w:val="bottom"/>
            <w:hideMark/>
          </w:tcPr>
          <w:p w:rsidR="005E541F" w:rsidRPr="00467F9C" w:rsidRDefault="005E541F" w:rsidP="00191861">
            <w:pPr>
              <w:jc w:val="right"/>
              <w:rPr>
                <w:sz w:val="18"/>
                <w:szCs w:val="18"/>
              </w:rPr>
            </w:pPr>
            <w:r w:rsidRPr="00467F9C">
              <w:rPr>
                <w:sz w:val="18"/>
                <w:szCs w:val="18"/>
              </w:rPr>
              <w:t>3 500 201,0</w:t>
            </w:r>
          </w:p>
        </w:tc>
        <w:tc>
          <w:tcPr>
            <w:tcW w:w="113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3 621 068,0</w:t>
            </w:r>
          </w:p>
        </w:tc>
        <w:tc>
          <w:tcPr>
            <w:tcW w:w="113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3 614 278,7</w:t>
            </w:r>
          </w:p>
        </w:tc>
        <w:tc>
          <w:tcPr>
            <w:tcW w:w="1322"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Cs/>
                <w:sz w:val="18"/>
                <w:szCs w:val="18"/>
              </w:rPr>
            </w:pPr>
            <w:r w:rsidRPr="00467F9C">
              <w:rPr>
                <w:bCs/>
                <w:sz w:val="18"/>
                <w:szCs w:val="18"/>
              </w:rPr>
              <w:t>233 009,4</w:t>
            </w:r>
          </w:p>
        </w:tc>
        <w:tc>
          <w:tcPr>
            <w:tcW w:w="1088"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Cs/>
                <w:sz w:val="18"/>
                <w:szCs w:val="18"/>
              </w:rPr>
            </w:pPr>
            <w:r w:rsidRPr="00467F9C">
              <w:rPr>
                <w:bCs/>
                <w:sz w:val="18"/>
                <w:szCs w:val="18"/>
              </w:rPr>
              <w:t>1,1</w:t>
            </w:r>
          </w:p>
        </w:tc>
      </w:tr>
      <w:tr w:rsidR="005E541F" w:rsidRPr="00467F9C" w:rsidTr="009D7EF8">
        <w:trPr>
          <w:trHeight w:val="240"/>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5E541F" w:rsidRDefault="005E541F" w:rsidP="00191861">
            <w:pPr>
              <w:rPr>
                <w:b/>
                <w:bCs/>
                <w:sz w:val="18"/>
                <w:szCs w:val="18"/>
              </w:rPr>
            </w:pPr>
            <w:r w:rsidRPr="00467F9C">
              <w:rPr>
                <w:b/>
                <w:bCs/>
                <w:sz w:val="18"/>
                <w:szCs w:val="18"/>
              </w:rPr>
              <w:t>Профицит"+" /Дефицит "-"</w:t>
            </w:r>
          </w:p>
          <w:p w:rsidR="009D7EF8" w:rsidRPr="009D7EF8" w:rsidRDefault="009D7EF8" w:rsidP="00191861">
            <w:pPr>
              <w:rPr>
                <w:b/>
                <w:bCs/>
                <w:sz w:val="4"/>
                <w:szCs w:val="4"/>
              </w:rPr>
            </w:pPr>
          </w:p>
        </w:tc>
        <w:tc>
          <w:tcPr>
            <w:tcW w:w="113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
                <w:bCs/>
                <w:sz w:val="18"/>
                <w:szCs w:val="18"/>
              </w:rPr>
            </w:pPr>
            <w:r w:rsidRPr="00467F9C">
              <w:rPr>
                <w:b/>
                <w:bCs/>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5E541F" w:rsidRPr="00467F9C" w:rsidRDefault="005E541F" w:rsidP="00191861">
            <w:pPr>
              <w:jc w:val="right"/>
              <w:rPr>
                <w:b/>
                <w:sz w:val="18"/>
                <w:szCs w:val="18"/>
              </w:rPr>
            </w:pPr>
            <w:r w:rsidRPr="00467F9C">
              <w:rPr>
                <w:b/>
                <w:sz w:val="18"/>
                <w:szCs w:val="18"/>
              </w:rPr>
              <w:t>-30 640,0</w:t>
            </w:r>
          </w:p>
        </w:tc>
        <w:tc>
          <w:tcPr>
            <w:tcW w:w="113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
                <w:bCs/>
                <w:sz w:val="18"/>
                <w:szCs w:val="18"/>
              </w:rPr>
            </w:pPr>
            <w:r w:rsidRPr="00467F9C">
              <w:rPr>
                <w:b/>
                <w:bCs/>
                <w:sz w:val="18"/>
                <w:szCs w:val="18"/>
              </w:rPr>
              <w:t>-30 640,0</w:t>
            </w:r>
          </w:p>
        </w:tc>
        <w:tc>
          <w:tcPr>
            <w:tcW w:w="113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
                <w:bCs/>
                <w:sz w:val="18"/>
                <w:szCs w:val="18"/>
              </w:rPr>
            </w:pPr>
            <w:r w:rsidRPr="00467F9C">
              <w:rPr>
                <w:b/>
                <w:bCs/>
                <w:sz w:val="18"/>
                <w:szCs w:val="18"/>
              </w:rPr>
              <w:t>-30 640,0</w:t>
            </w:r>
          </w:p>
        </w:tc>
        <w:tc>
          <w:tcPr>
            <w:tcW w:w="1322"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
                <w:bCs/>
                <w:sz w:val="18"/>
                <w:szCs w:val="18"/>
              </w:rPr>
            </w:pPr>
            <w:r w:rsidRPr="00467F9C">
              <w:rPr>
                <w:b/>
                <w:bCs/>
                <w:sz w:val="18"/>
                <w:szCs w:val="18"/>
              </w:rPr>
              <w:t>-30 640,0</w:t>
            </w:r>
          </w:p>
        </w:tc>
        <w:tc>
          <w:tcPr>
            <w:tcW w:w="1088"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
                <w:bCs/>
                <w:sz w:val="18"/>
                <w:szCs w:val="18"/>
              </w:rPr>
            </w:pPr>
            <w:r w:rsidRPr="00467F9C">
              <w:rPr>
                <w:b/>
                <w:bCs/>
                <w:sz w:val="18"/>
                <w:szCs w:val="18"/>
              </w:rPr>
              <w:t>Х</w:t>
            </w:r>
          </w:p>
        </w:tc>
      </w:tr>
    </w:tbl>
    <w:p w:rsidR="005E541F" w:rsidRPr="00467F9C" w:rsidRDefault="005E541F" w:rsidP="00191861">
      <w:pPr>
        <w:ind w:firstLine="708"/>
        <w:jc w:val="both"/>
        <w:rPr>
          <w:sz w:val="28"/>
          <w:szCs w:val="28"/>
        </w:rPr>
      </w:pPr>
    </w:p>
    <w:p w:rsidR="005E541F" w:rsidRPr="00467F9C" w:rsidRDefault="005E541F" w:rsidP="00191861">
      <w:pPr>
        <w:ind w:firstLine="708"/>
        <w:jc w:val="both"/>
        <w:rPr>
          <w:sz w:val="28"/>
          <w:szCs w:val="28"/>
        </w:rPr>
      </w:pPr>
      <w:r w:rsidRPr="00467F9C">
        <w:rPr>
          <w:sz w:val="28"/>
          <w:szCs w:val="28"/>
        </w:rPr>
        <w:t>Корректировка доходной части бюджета Фонда обусловлена:</w:t>
      </w:r>
    </w:p>
    <w:p w:rsidR="005E541F" w:rsidRPr="00467F9C" w:rsidRDefault="005E541F" w:rsidP="00191861">
      <w:pPr>
        <w:ind w:firstLine="708"/>
        <w:jc w:val="both"/>
        <w:rPr>
          <w:bCs/>
          <w:sz w:val="28"/>
          <w:szCs w:val="28"/>
        </w:rPr>
      </w:pPr>
      <w:r w:rsidRPr="00467F9C">
        <w:rPr>
          <w:sz w:val="28"/>
          <w:szCs w:val="28"/>
        </w:rPr>
        <w:t>- увеличением налоговых и неналоговых доходов (</w:t>
      </w:r>
      <w:r w:rsidRPr="00467F9C">
        <w:rPr>
          <w:bCs/>
          <w:sz w:val="28"/>
          <w:szCs w:val="28"/>
        </w:rPr>
        <w:t xml:space="preserve">доходы от компенсации затрат бюджетов территориальных фондов ОМС и применения санкций) </w:t>
      </w:r>
      <w:r w:rsidRPr="00467F9C">
        <w:rPr>
          <w:sz w:val="28"/>
          <w:szCs w:val="28"/>
        </w:rPr>
        <w:t>на 10 280,9 тыс. рублей</w:t>
      </w:r>
      <w:r w:rsidRPr="00467F9C">
        <w:rPr>
          <w:bCs/>
          <w:sz w:val="28"/>
          <w:szCs w:val="28"/>
        </w:rPr>
        <w:t>;</w:t>
      </w:r>
    </w:p>
    <w:p w:rsidR="005E541F" w:rsidRPr="00467F9C" w:rsidRDefault="005E541F" w:rsidP="00191861">
      <w:pPr>
        <w:autoSpaceDE w:val="0"/>
        <w:autoSpaceDN w:val="0"/>
        <w:adjustRightInd w:val="0"/>
        <w:ind w:firstLine="708"/>
        <w:jc w:val="both"/>
        <w:rPr>
          <w:bCs/>
          <w:sz w:val="28"/>
          <w:szCs w:val="28"/>
        </w:rPr>
      </w:pPr>
      <w:r w:rsidRPr="00467F9C">
        <w:rPr>
          <w:bCs/>
          <w:sz w:val="28"/>
          <w:szCs w:val="28"/>
        </w:rPr>
        <w:t>- увеличением</w:t>
      </w:r>
      <w:r w:rsidRPr="00467F9C">
        <w:rPr>
          <w:sz w:val="28"/>
          <w:szCs w:val="28"/>
        </w:rPr>
        <w:t xml:space="preserve"> безвозмездных поступлений в общей сумме                                    192 088,5 тыс. рублей, в том числе </w:t>
      </w:r>
      <w:r w:rsidRPr="00467F9C">
        <w:rPr>
          <w:bCs/>
          <w:sz w:val="28"/>
          <w:szCs w:val="28"/>
        </w:rPr>
        <w:t>межбюджетных трансфертов, передаваемых бюджетам государственных внебюджетных фондов:</w:t>
      </w:r>
    </w:p>
    <w:p w:rsidR="005E541F" w:rsidRPr="00467F9C" w:rsidRDefault="005E541F" w:rsidP="00191861">
      <w:pPr>
        <w:autoSpaceDE w:val="0"/>
        <w:autoSpaceDN w:val="0"/>
        <w:adjustRightInd w:val="0"/>
        <w:ind w:firstLine="708"/>
        <w:jc w:val="both"/>
        <w:rPr>
          <w:bCs/>
          <w:sz w:val="28"/>
          <w:szCs w:val="28"/>
        </w:rPr>
      </w:pPr>
      <w:r w:rsidRPr="00467F9C">
        <w:rPr>
          <w:bCs/>
          <w:sz w:val="28"/>
          <w:szCs w:val="28"/>
        </w:rPr>
        <w:t>в связи с увеличением расходов на оплату медицинской помощи, оказанной за пределами округа, лицам, застрахованным по ОМС в Чукотском автономном округе;</w:t>
      </w:r>
    </w:p>
    <w:p w:rsidR="005E541F" w:rsidRPr="00467F9C" w:rsidRDefault="005E541F" w:rsidP="00191861">
      <w:pPr>
        <w:autoSpaceDE w:val="0"/>
        <w:autoSpaceDN w:val="0"/>
        <w:adjustRightInd w:val="0"/>
        <w:ind w:firstLine="708"/>
        <w:jc w:val="both"/>
        <w:rPr>
          <w:sz w:val="28"/>
          <w:szCs w:val="28"/>
        </w:rPr>
      </w:pPr>
      <w:r w:rsidRPr="00467F9C">
        <w:rPr>
          <w:sz w:val="28"/>
          <w:szCs w:val="28"/>
        </w:rPr>
        <w:lastRenderedPageBreak/>
        <w:t xml:space="preserve">на финансовое обеспечение формирования НСЗ в целях </w:t>
      </w:r>
      <w:proofErr w:type="spellStart"/>
      <w:r w:rsidRPr="00467F9C">
        <w:rPr>
          <w:sz w:val="28"/>
          <w:szCs w:val="28"/>
        </w:rPr>
        <w:t>софинансирования</w:t>
      </w:r>
      <w:proofErr w:type="spellEnd"/>
      <w:r w:rsidRPr="00467F9C">
        <w:rPr>
          <w:sz w:val="28"/>
          <w:szCs w:val="28"/>
        </w:rPr>
        <w:t xml:space="preserve"> расходов медицинских организаций на оплату труда врачей и среднего медицинского персонала;</w:t>
      </w:r>
    </w:p>
    <w:p w:rsidR="005E541F" w:rsidRPr="00467F9C" w:rsidRDefault="005E541F" w:rsidP="00191861">
      <w:pPr>
        <w:autoSpaceDE w:val="0"/>
        <w:autoSpaceDN w:val="0"/>
        <w:adjustRightInd w:val="0"/>
        <w:ind w:firstLine="708"/>
        <w:jc w:val="both"/>
        <w:rPr>
          <w:sz w:val="28"/>
          <w:szCs w:val="28"/>
        </w:rPr>
      </w:pPr>
      <w:r w:rsidRPr="00467F9C">
        <w:rPr>
          <w:sz w:val="28"/>
          <w:szCs w:val="28"/>
        </w:rPr>
        <w:t xml:space="preserve">на дополнительное финансовое обеспечение оказания медицинской помощи, лицам застрахованным по ОМС, с заболеванием и (или) подозрением на заболевание новой </w:t>
      </w:r>
      <w:proofErr w:type="spellStart"/>
      <w:r w:rsidRPr="00467F9C">
        <w:rPr>
          <w:sz w:val="28"/>
          <w:szCs w:val="28"/>
        </w:rPr>
        <w:t>коронавирусной</w:t>
      </w:r>
      <w:proofErr w:type="spellEnd"/>
      <w:r w:rsidRPr="00467F9C">
        <w:rPr>
          <w:sz w:val="28"/>
          <w:szCs w:val="28"/>
        </w:rPr>
        <w:t xml:space="preserve"> инфекцией, в рамках Территориальной программы ОМС, а также на проведение углубленной диспансеризации застрахованных по ОМС лиц, перенесших </w:t>
      </w:r>
      <w:r w:rsidRPr="00467F9C">
        <w:rPr>
          <w:sz w:val="28"/>
          <w:szCs w:val="28"/>
          <w:lang w:val="en-US"/>
        </w:rPr>
        <w:t>COVID</w:t>
      </w:r>
      <w:r w:rsidRPr="00467F9C">
        <w:rPr>
          <w:sz w:val="28"/>
          <w:szCs w:val="28"/>
        </w:rPr>
        <w:t>-19.</w:t>
      </w:r>
    </w:p>
    <w:p w:rsidR="005E541F" w:rsidRPr="00467F9C" w:rsidRDefault="005E541F" w:rsidP="00191861">
      <w:pPr>
        <w:ind w:firstLine="720"/>
        <w:jc w:val="both"/>
        <w:rPr>
          <w:sz w:val="28"/>
          <w:szCs w:val="28"/>
        </w:rPr>
      </w:pPr>
      <w:r w:rsidRPr="00467F9C">
        <w:rPr>
          <w:sz w:val="28"/>
          <w:szCs w:val="28"/>
        </w:rPr>
        <w:t xml:space="preserve">Увеличение расходной части бюджета Фонда в сумме                                          233 009,0 тыс. рублей обусловлено поступлением межбюджетных трансфертов на соответствующие направления расходов. </w:t>
      </w:r>
    </w:p>
    <w:p w:rsidR="005E541F" w:rsidRPr="00467F9C" w:rsidRDefault="005E541F" w:rsidP="00191861">
      <w:pPr>
        <w:autoSpaceDE w:val="0"/>
        <w:autoSpaceDN w:val="0"/>
        <w:adjustRightInd w:val="0"/>
        <w:ind w:firstLine="708"/>
        <w:jc w:val="both"/>
        <w:rPr>
          <w:sz w:val="28"/>
          <w:szCs w:val="28"/>
          <w:highlight w:val="cyan"/>
        </w:rPr>
      </w:pPr>
      <w:r w:rsidRPr="00467F9C">
        <w:rPr>
          <w:sz w:val="28"/>
          <w:szCs w:val="28"/>
        </w:rPr>
        <w:t>В ходе исполнения бюджета нормированный страховой запас</w:t>
      </w:r>
      <w:r w:rsidRPr="00467F9C">
        <w:rPr>
          <w:rStyle w:val="ab"/>
          <w:sz w:val="28"/>
          <w:szCs w:val="28"/>
        </w:rPr>
        <w:footnoteReference w:id="30"/>
      </w:r>
      <w:r w:rsidRPr="00467F9C">
        <w:rPr>
          <w:sz w:val="28"/>
          <w:szCs w:val="28"/>
        </w:rPr>
        <w:t xml:space="preserve"> для обеспечения финансовой устойчивости системы ОМС на территории Чукотского автономного округа, установленный на 2021 год в размере 89 617,7 тыс. рублей увеличился на 173 593,9 тыс. рублей и составил 263 211,6 тыс. рублей.</w:t>
      </w:r>
      <w:r w:rsidRPr="00467F9C">
        <w:rPr>
          <w:sz w:val="28"/>
          <w:szCs w:val="28"/>
          <w:highlight w:val="cyan"/>
        </w:rPr>
        <w:t xml:space="preserve"> </w:t>
      </w:r>
    </w:p>
    <w:p w:rsidR="005E541F" w:rsidRPr="00467F9C" w:rsidRDefault="005E541F" w:rsidP="00191861">
      <w:pPr>
        <w:autoSpaceDE w:val="0"/>
        <w:autoSpaceDN w:val="0"/>
        <w:adjustRightInd w:val="0"/>
        <w:ind w:firstLine="708"/>
        <w:jc w:val="both"/>
        <w:rPr>
          <w:sz w:val="28"/>
          <w:szCs w:val="28"/>
        </w:rPr>
      </w:pPr>
      <w:r w:rsidRPr="00467F9C">
        <w:rPr>
          <w:sz w:val="28"/>
          <w:szCs w:val="28"/>
        </w:rPr>
        <w:t xml:space="preserve">Бюджет Фонда за 2021 год исполнен по доходам в сумме 3 602 921,3 тыс. рублей, по расходам в сумме 3 488 740,5 тыс. рублей, с профицитом                                                   114 180,8 тыс. рублей при запланированном дефиците 30 640,0 тыс. рублей. </w:t>
      </w:r>
    </w:p>
    <w:p w:rsidR="005E541F" w:rsidRPr="00467F9C" w:rsidRDefault="005E541F" w:rsidP="00191861">
      <w:pPr>
        <w:autoSpaceDE w:val="0"/>
        <w:autoSpaceDN w:val="0"/>
        <w:adjustRightInd w:val="0"/>
        <w:ind w:firstLine="708"/>
        <w:jc w:val="both"/>
        <w:rPr>
          <w:sz w:val="28"/>
          <w:szCs w:val="28"/>
        </w:rPr>
      </w:pPr>
      <w:r w:rsidRPr="00467F9C">
        <w:rPr>
          <w:sz w:val="28"/>
          <w:szCs w:val="28"/>
        </w:rPr>
        <w:t xml:space="preserve"> </w:t>
      </w:r>
    </w:p>
    <w:p w:rsidR="005E541F" w:rsidRPr="00467F9C" w:rsidRDefault="005E541F" w:rsidP="00191861">
      <w:pPr>
        <w:tabs>
          <w:tab w:val="left" w:pos="720"/>
          <w:tab w:val="left" w:pos="2700"/>
          <w:tab w:val="left" w:pos="3060"/>
        </w:tabs>
        <w:ind w:firstLine="709"/>
        <w:jc w:val="both"/>
        <w:rPr>
          <w:rStyle w:val="FontStyle70"/>
          <w:b/>
          <w:sz w:val="28"/>
          <w:szCs w:val="28"/>
        </w:rPr>
      </w:pPr>
      <w:r w:rsidRPr="00467F9C">
        <w:rPr>
          <w:b/>
          <w:sz w:val="28"/>
          <w:szCs w:val="28"/>
        </w:rPr>
        <w:t>2.1. А</w:t>
      </w:r>
      <w:r w:rsidRPr="00467F9C">
        <w:rPr>
          <w:rStyle w:val="FontStyle70"/>
          <w:b/>
          <w:sz w:val="28"/>
          <w:szCs w:val="28"/>
        </w:rPr>
        <w:t>нализ исполнения бюджета Фонда за 2021 год по доходам</w:t>
      </w:r>
    </w:p>
    <w:p w:rsidR="005E541F" w:rsidRPr="00467F9C" w:rsidRDefault="005E541F" w:rsidP="00191861">
      <w:pPr>
        <w:tabs>
          <w:tab w:val="left" w:pos="720"/>
          <w:tab w:val="left" w:pos="2700"/>
          <w:tab w:val="left" w:pos="3060"/>
        </w:tabs>
        <w:ind w:firstLine="709"/>
        <w:jc w:val="both"/>
        <w:rPr>
          <w:b/>
          <w:sz w:val="10"/>
          <w:szCs w:val="10"/>
        </w:rPr>
      </w:pPr>
    </w:p>
    <w:p w:rsidR="005E541F" w:rsidRPr="00467F9C" w:rsidRDefault="005E541F" w:rsidP="00191861">
      <w:pPr>
        <w:widowControl w:val="0"/>
        <w:autoSpaceDE w:val="0"/>
        <w:autoSpaceDN w:val="0"/>
        <w:adjustRightInd w:val="0"/>
        <w:ind w:firstLine="709"/>
        <w:jc w:val="both"/>
        <w:rPr>
          <w:sz w:val="28"/>
          <w:szCs w:val="28"/>
        </w:rPr>
      </w:pPr>
      <w:r w:rsidRPr="00467F9C">
        <w:rPr>
          <w:sz w:val="28"/>
          <w:szCs w:val="28"/>
        </w:rPr>
        <w:t xml:space="preserve">В бюджет Фонда за 2021 год поступили доходы в объеме                                                   3 602 921,3 тыс. рублей и относительно доходов предыдущего года                                         </w:t>
      </w:r>
      <w:proofErr w:type="gramStart"/>
      <w:r w:rsidRPr="00467F9C">
        <w:rPr>
          <w:sz w:val="28"/>
          <w:szCs w:val="28"/>
        </w:rPr>
        <w:t xml:space="preserve">   (</w:t>
      </w:r>
      <w:proofErr w:type="gramEnd"/>
      <w:r w:rsidRPr="00467F9C">
        <w:rPr>
          <w:sz w:val="28"/>
          <w:szCs w:val="28"/>
        </w:rPr>
        <w:t>2 818 914,3 тыс. рублей) увеличились на  784 007,0 тыс. рублей или 27,8%, доходы исполнены на 99,2% от годовых бюджетных назначений.</w:t>
      </w:r>
    </w:p>
    <w:p w:rsidR="005E541F" w:rsidRPr="00467F9C" w:rsidRDefault="005E541F" w:rsidP="00191861">
      <w:pPr>
        <w:pStyle w:val="a3"/>
        <w:tabs>
          <w:tab w:val="left" w:pos="720"/>
          <w:tab w:val="left" w:pos="2700"/>
          <w:tab w:val="left" w:pos="3060"/>
        </w:tabs>
        <w:ind w:firstLine="709"/>
        <w:jc w:val="both"/>
      </w:pPr>
      <w:r w:rsidRPr="00467F9C">
        <w:t xml:space="preserve">В ходе структурного анализа показателей установлено, что основная часть доходов бюджета Фонда (99,3%) сформирована за счет безвозмездных поступлений, объем которых за отчетный период (с учетом возврата остатков субсидий, субвенций и иных межбюджетных трансфертов, имеющих целевое назначение, прошлых лет) составил  3 576 819,6  тыс. рублей (99,1% от годовых бюджетных назначений),  рост по отношению к 2020 году составил 773 910,7 тыс. рублей или 27,6%. </w:t>
      </w:r>
    </w:p>
    <w:p w:rsidR="005E541F" w:rsidRPr="009D7EF8" w:rsidRDefault="005E541F" w:rsidP="00191861">
      <w:pPr>
        <w:pStyle w:val="a3"/>
        <w:tabs>
          <w:tab w:val="left" w:pos="720"/>
          <w:tab w:val="left" w:pos="2700"/>
          <w:tab w:val="left" w:pos="3060"/>
        </w:tabs>
        <w:ind w:firstLine="709"/>
        <w:jc w:val="both"/>
        <w:rPr>
          <w:sz w:val="6"/>
          <w:szCs w:val="6"/>
        </w:rPr>
      </w:pPr>
    </w:p>
    <w:p w:rsidR="005E541F" w:rsidRPr="00467F9C" w:rsidRDefault="005E541F" w:rsidP="00191861">
      <w:pPr>
        <w:pStyle w:val="a3"/>
        <w:tabs>
          <w:tab w:val="left" w:pos="720"/>
          <w:tab w:val="left" w:pos="2700"/>
          <w:tab w:val="left" w:pos="3060"/>
        </w:tabs>
        <w:ind w:firstLine="709"/>
        <w:jc w:val="both"/>
      </w:pPr>
      <w:r w:rsidRPr="00467F9C">
        <w:t xml:space="preserve">Анализ исполнения доходной части бюджета Фонда за 2021 год приведен в таблице 2. </w:t>
      </w:r>
    </w:p>
    <w:p w:rsidR="005E541F" w:rsidRPr="00467F9C" w:rsidRDefault="005E541F" w:rsidP="00191861">
      <w:pPr>
        <w:pStyle w:val="af8"/>
        <w:ind w:firstLine="709"/>
        <w:jc w:val="right"/>
        <w:rPr>
          <w:sz w:val="28"/>
          <w:szCs w:val="28"/>
        </w:rPr>
      </w:pPr>
      <w:r w:rsidRPr="00467F9C">
        <w:rPr>
          <w:sz w:val="28"/>
          <w:szCs w:val="28"/>
        </w:rPr>
        <w:t>Таблица 2 (тыс. рублей)</w:t>
      </w:r>
    </w:p>
    <w:tbl>
      <w:tblPr>
        <w:tblW w:w="10065" w:type="dxa"/>
        <w:tblInd w:w="-147" w:type="dxa"/>
        <w:tblLook w:val="04A0" w:firstRow="1" w:lastRow="0" w:firstColumn="1" w:lastColumn="0" w:noHBand="0" w:noVBand="1"/>
      </w:tblPr>
      <w:tblGrid>
        <w:gridCol w:w="5246"/>
        <w:gridCol w:w="1226"/>
        <w:gridCol w:w="1150"/>
        <w:gridCol w:w="1081"/>
        <w:gridCol w:w="1362"/>
      </w:tblGrid>
      <w:tr w:rsidR="005E541F" w:rsidRPr="00467F9C" w:rsidTr="009D7EF8">
        <w:trPr>
          <w:trHeight w:val="209"/>
          <w:tblHeader/>
        </w:trPr>
        <w:tc>
          <w:tcPr>
            <w:tcW w:w="52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Наименование показателя</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541F" w:rsidRDefault="005E541F" w:rsidP="00191861">
            <w:pPr>
              <w:jc w:val="center"/>
              <w:rPr>
                <w:sz w:val="18"/>
                <w:szCs w:val="18"/>
              </w:rPr>
            </w:pPr>
            <w:r w:rsidRPr="00467F9C">
              <w:rPr>
                <w:sz w:val="18"/>
                <w:szCs w:val="18"/>
              </w:rPr>
              <w:t>Утверждено бюджетных назначений</w:t>
            </w:r>
          </w:p>
          <w:p w:rsidR="009D7EF8" w:rsidRPr="009D7EF8" w:rsidRDefault="009D7EF8" w:rsidP="00191861">
            <w:pPr>
              <w:jc w:val="center"/>
              <w:rPr>
                <w:sz w:val="4"/>
                <w:szCs w:val="4"/>
              </w:rPr>
            </w:pPr>
          </w:p>
          <w:p w:rsidR="009D7EF8" w:rsidRPr="009D7EF8" w:rsidRDefault="009D7EF8" w:rsidP="00191861">
            <w:pPr>
              <w:jc w:val="center"/>
              <w:rPr>
                <w:sz w:val="4"/>
                <w:szCs w:val="4"/>
              </w:rPr>
            </w:pPr>
          </w:p>
        </w:tc>
        <w:tc>
          <w:tcPr>
            <w:tcW w:w="2271" w:type="dxa"/>
            <w:gridSpan w:val="2"/>
            <w:tcBorders>
              <w:top w:val="single" w:sz="4" w:space="0" w:color="auto"/>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Исполнение</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7EF8" w:rsidRDefault="005E541F" w:rsidP="009D7EF8">
            <w:pPr>
              <w:ind w:left="-86" w:right="-116"/>
              <w:jc w:val="center"/>
              <w:rPr>
                <w:sz w:val="18"/>
                <w:szCs w:val="18"/>
              </w:rPr>
            </w:pPr>
            <w:r w:rsidRPr="00467F9C">
              <w:rPr>
                <w:sz w:val="18"/>
                <w:szCs w:val="18"/>
              </w:rPr>
              <w:t xml:space="preserve">Неисполненные назначения </w:t>
            </w:r>
          </w:p>
          <w:p w:rsidR="005E541F" w:rsidRPr="00467F9C" w:rsidRDefault="005E541F" w:rsidP="009D7EF8">
            <w:pPr>
              <w:ind w:left="-86" w:right="-116"/>
              <w:jc w:val="center"/>
              <w:rPr>
                <w:sz w:val="18"/>
                <w:szCs w:val="18"/>
              </w:rPr>
            </w:pPr>
            <w:r w:rsidRPr="00467F9C">
              <w:rPr>
                <w:sz w:val="18"/>
                <w:szCs w:val="18"/>
              </w:rPr>
              <w:t>(гр.3-гр.2)</w:t>
            </w:r>
          </w:p>
        </w:tc>
      </w:tr>
      <w:tr w:rsidR="005E541F" w:rsidRPr="00467F9C" w:rsidTr="009D7EF8">
        <w:trPr>
          <w:trHeight w:val="411"/>
          <w:tblHeader/>
        </w:trPr>
        <w:tc>
          <w:tcPr>
            <w:tcW w:w="5246" w:type="dxa"/>
            <w:vMerge/>
            <w:tcBorders>
              <w:top w:val="single" w:sz="4" w:space="0" w:color="auto"/>
              <w:left w:val="single" w:sz="4" w:space="0" w:color="auto"/>
              <w:bottom w:val="single" w:sz="4" w:space="0" w:color="auto"/>
              <w:right w:val="single" w:sz="4" w:space="0" w:color="auto"/>
            </w:tcBorders>
            <w:vAlign w:val="center"/>
            <w:hideMark/>
          </w:tcPr>
          <w:p w:rsidR="005E541F" w:rsidRPr="00467F9C" w:rsidRDefault="005E541F" w:rsidP="00191861">
            <w:pPr>
              <w:rPr>
                <w:sz w:val="18"/>
                <w:szCs w:val="18"/>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5E541F" w:rsidRPr="00467F9C" w:rsidRDefault="005E541F" w:rsidP="00191861">
            <w:pPr>
              <w:rPr>
                <w:sz w:val="18"/>
                <w:szCs w:val="18"/>
              </w:rPr>
            </w:pPr>
          </w:p>
        </w:tc>
        <w:tc>
          <w:tcPr>
            <w:tcW w:w="1168"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Сумма</w:t>
            </w:r>
          </w:p>
        </w:tc>
        <w:tc>
          <w:tcPr>
            <w:tcW w:w="1103"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к плану, % (гр.3/гр.2)</w:t>
            </w:r>
          </w:p>
        </w:tc>
        <w:tc>
          <w:tcPr>
            <w:tcW w:w="1306" w:type="dxa"/>
            <w:vMerge/>
            <w:tcBorders>
              <w:top w:val="single" w:sz="4" w:space="0" w:color="auto"/>
              <w:left w:val="single" w:sz="4" w:space="0" w:color="auto"/>
              <w:bottom w:val="single" w:sz="4" w:space="0" w:color="auto"/>
              <w:right w:val="single" w:sz="4" w:space="0" w:color="auto"/>
            </w:tcBorders>
            <w:vAlign w:val="center"/>
            <w:hideMark/>
          </w:tcPr>
          <w:p w:rsidR="005E541F" w:rsidRPr="00467F9C" w:rsidRDefault="005E541F" w:rsidP="00191861">
            <w:pPr>
              <w:rPr>
                <w:sz w:val="18"/>
                <w:szCs w:val="18"/>
              </w:rPr>
            </w:pPr>
          </w:p>
        </w:tc>
      </w:tr>
      <w:tr w:rsidR="005E541F" w:rsidRPr="00467F9C" w:rsidTr="009D7EF8">
        <w:trPr>
          <w:trHeight w:val="185"/>
          <w:tblHeader/>
        </w:trPr>
        <w:tc>
          <w:tcPr>
            <w:tcW w:w="5246" w:type="dxa"/>
            <w:tcBorders>
              <w:top w:val="nil"/>
              <w:left w:val="single" w:sz="4" w:space="0" w:color="auto"/>
              <w:bottom w:val="single" w:sz="4" w:space="0" w:color="auto"/>
              <w:right w:val="single" w:sz="4" w:space="0" w:color="auto"/>
            </w:tcBorders>
            <w:shd w:val="clear" w:color="auto" w:fill="auto"/>
            <w:noWrap/>
            <w:vAlign w:val="center"/>
            <w:hideMark/>
          </w:tcPr>
          <w:p w:rsidR="005E541F" w:rsidRPr="00467F9C" w:rsidRDefault="005E541F" w:rsidP="00191861">
            <w:pPr>
              <w:jc w:val="center"/>
              <w:rPr>
                <w:sz w:val="16"/>
                <w:szCs w:val="16"/>
              </w:rPr>
            </w:pPr>
            <w:r w:rsidRPr="00467F9C">
              <w:rPr>
                <w:sz w:val="16"/>
                <w:szCs w:val="16"/>
              </w:rPr>
              <w:t>1</w:t>
            </w:r>
          </w:p>
        </w:tc>
        <w:tc>
          <w:tcPr>
            <w:tcW w:w="1242" w:type="dxa"/>
            <w:tcBorders>
              <w:top w:val="nil"/>
              <w:left w:val="nil"/>
              <w:bottom w:val="single" w:sz="4" w:space="0" w:color="auto"/>
              <w:right w:val="single" w:sz="4" w:space="0" w:color="auto"/>
            </w:tcBorders>
            <w:shd w:val="clear" w:color="000000" w:fill="FFFFFF"/>
            <w:vAlign w:val="center"/>
            <w:hideMark/>
          </w:tcPr>
          <w:p w:rsidR="005E541F" w:rsidRPr="00467F9C" w:rsidRDefault="005E541F" w:rsidP="00191861">
            <w:pPr>
              <w:jc w:val="center"/>
              <w:rPr>
                <w:sz w:val="16"/>
                <w:szCs w:val="16"/>
              </w:rPr>
            </w:pPr>
            <w:r w:rsidRPr="00467F9C">
              <w:rPr>
                <w:sz w:val="16"/>
                <w:szCs w:val="16"/>
              </w:rPr>
              <w:t>2</w:t>
            </w:r>
          </w:p>
        </w:tc>
        <w:tc>
          <w:tcPr>
            <w:tcW w:w="1168"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6"/>
                <w:szCs w:val="16"/>
              </w:rPr>
            </w:pPr>
            <w:r w:rsidRPr="00467F9C">
              <w:rPr>
                <w:sz w:val="16"/>
                <w:szCs w:val="16"/>
              </w:rPr>
              <w:t>3</w:t>
            </w:r>
          </w:p>
        </w:tc>
        <w:tc>
          <w:tcPr>
            <w:tcW w:w="1103"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6"/>
                <w:szCs w:val="16"/>
              </w:rPr>
            </w:pPr>
            <w:r w:rsidRPr="00467F9C">
              <w:rPr>
                <w:sz w:val="16"/>
                <w:szCs w:val="16"/>
              </w:rPr>
              <w:t>4</w:t>
            </w:r>
          </w:p>
        </w:tc>
        <w:tc>
          <w:tcPr>
            <w:tcW w:w="1306"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5</w:t>
            </w:r>
          </w:p>
        </w:tc>
      </w:tr>
      <w:tr w:rsidR="005E541F" w:rsidRPr="00467F9C" w:rsidTr="009D7EF8">
        <w:trPr>
          <w:trHeight w:val="95"/>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rPr>
                <w:b/>
                <w:bCs/>
                <w:sz w:val="18"/>
                <w:szCs w:val="18"/>
              </w:rPr>
            </w:pPr>
            <w:r w:rsidRPr="00467F9C">
              <w:rPr>
                <w:b/>
                <w:bCs/>
                <w:sz w:val="18"/>
                <w:szCs w:val="18"/>
              </w:rPr>
              <w:t>ДОХОДЫ</w:t>
            </w:r>
          </w:p>
        </w:tc>
        <w:tc>
          <w:tcPr>
            <w:tcW w:w="1242"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
                <w:bCs/>
                <w:sz w:val="18"/>
                <w:szCs w:val="18"/>
              </w:rPr>
            </w:pPr>
            <w:r w:rsidRPr="00467F9C">
              <w:rPr>
                <w:b/>
                <w:bCs/>
                <w:sz w:val="18"/>
                <w:szCs w:val="18"/>
              </w:rPr>
              <w:t>3 631 092,9</w:t>
            </w:r>
          </w:p>
        </w:tc>
        <w:tc>
          <w:tcPr>
            <w:tcW w:w="1168"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
                <w:bCs/>
                <w:sz w:val="18"/>
                <w:szCs w:val="18"/>
              </w:rPr>
            </w:pPr>
            <w:r w:rsidRPr="00467F9C">
              <w:rPr>
                <w:b/>
                <w:bCs/>
                <w:sz w:val="18"/>
                <w:szCs w:val="18"/>
              </w:rPr>
              <w:t>3 602 921,3</w:t>
            </w:r>
          </w:p>
        </w:tc>
        <w:tc>
          <w:tcPr>
            <w:tcW w:w="1103"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
                <w:bCs/>
                <w:sz w:val="18"/>
                <w:szCs w:val="18"/>
              </w:rPr>
            </w:pPr>
            <w:r w:rsidRPr="00467F9C">
              <w:rPr>
                <w:b/>
                <w:bCs/>
                <w:sz w:val="18"/>
                <w:szCs w:val="18"/>
              </w:rPr>
              <w:t>99,2</w:t>
            </w:r>
          </w:p>
        </w:tc>
        <w:tc>
          <w:tcPr>
            <w:tcW w:w="1306"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
                <w:bCs/>
                <w:sz w:val="18"/>
                <w:szCs w:val="18"/>
              </w:rPr>
            </w:pPr>
            <w:r w:rsidRPr="00467F9C">
              <w:rPr>
                <w:b/>
                <w:bCs/>
                <w:sz w:val="18"/>
                <w:szCs w:val="18"/>
              </w:rPr>
              <w:t>- 28 171,6</w:t>
            </w:r>
          </w:p>
        </w:tc>
      </w:tr>
      <w:tr w:rsidR="005E541F" w:rsidRPr="00467F9C" w:rsidTr="009D7EF8">
        <w:trPr>
          <w:trHeight w:val="169"/>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rPr>
                <w:b/>
                <w:bCs/>
                <w:sz w:val="18"/>
                <w:szCs w:val="18"/>
              </w:rPr>
            </w:pPr>
            <w:r w:rsidRPr="00467F9C">
              <w:rPr>
                <w:b/>
                <w:bCs/>
                <w:sz w:val="18"/>
                <w:szCs w:val="18"/>
              </w:rPr>
              <w:t>Налоговые и неналоговые доходы</w:t>
            </w:r>
          </w:p>
        </w:tc>
        <w:tc>
          <w:tcPr>
            <w:tcW w:w="1242"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
                <w:bCs/>
                <w:sz w:val="18"/>
                <w:szCs w:val="18"/>
              </w:rPr>
            </w:pPr>
            <w:r w:rsidRPr="00467F9C">
              <w:rPr>
                <w:b/>
                <w:bCs/>
                <w:sz w:val="18"/>
                <w:szCs w:val="18"/>
              </w:rPr>
              <w:t>20 604,4</w:t>
            </w:r>
          </w:p>
        </w:tc>
        <w:tc>
          <w:tcPr>
            <w:tcW w:w="1168"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
                <w:bCs/>
                <w:sz w:val="18"/>
                <w:szCs w:val="18"/>
              </w:rPr>
            </w:pPr>
            <w:r w:rsidRPr="00467F9C">
              <w:rPr>
                <w:b/>
                <w:bCs/>
                <w:sz w:val="18"/>
                <w:szCs w:val="18"/>
              </w:rPr>
              <w:t>26 101,7</w:t>
            </w:r>
          </w:p>
        </w:tc>
        <w:tc>
          <w:tcPr>
            <w:tcW w:w="1103"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
                <w:bCs/>
                <w:sz w:val="18"/>
                <w:szCs w:val="18"/>
              </w:rPr>
            </w:pPr>
            <w:r w:rsidRPr="00467F9C">
              <w:rPr>
                <w:b/>
                <w:bCs/>
                <w:sz w:val="18"/>
                <w:szCs w:val="18"/>
              </w:rPr>
              <w:t>126,7</w:t>
            </w:r>
          </w:p>
        </w:tc>
        <w:tc>
          <w:tcPr>
            <w:tcW w:w="1306" w:type="dxa"/>
            <w:tcBorders>
              <w:top w:val="nil"/>
              <w:left w:val="nil"/>
              <w:bottom w:val="single" w:sz="4" w:space="0" w:color="auto"/>
              <w:right w:val="single" w:sz="4" w:space="0" w:color="auto"/>
            </w:tcBorders>
            <w:shd w:val="clear" w:color="auto" w:fill="auto"/>
            <w:vAlign w:val="center"/>
          </w:tcPr>
          <w:p w:rsidR="005E541F" w:rsidRPr="00467F9C" w:rsidRDefault="005E541F" w:rsidP="00191861">
            <w:pPr>
              <w:jc w:val="center"/>
              <w:rPr>
                <w:b/>
                <w:bCs/>
                <w:sz w:val="18"/>
                <w:szCs w:val="18"/>
              </w:rPr>
            </w:pPr>
            <w:r w:rsidRPr="00467F9C">
              <w:rPr>
                <w:b/>
                <w:bCs/>
                <w:sz w:val="18"/>
                <w:szCs w:val="18"/>
              </w:rPr>
              <w:t>5 497,3</w:t>
            </w:r>
          </w:p>
        </w:tc>
      </w:tr>
      <w:tr w:rsidR="005E541F" w:rsidRPr="00467F9C" w:rsidTr="009D7EF8">
        <w:trPr>
          <w:trHeight w:val="371"/>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jc w:val="both"/>
              <w:rPr>
                <w:sz w:val="18"/>
                <w:szCs w:val="18"/>
              </w:rPr>
            </w:pPr>
            <w:r w:rsidRPr="00467F9C">
              <w:rPr>
                <w:sz w:val="18"/>
                <w:szCs w:val="18"/>
              </w:rPr>
              <w:t xml:space="preserve">Доходы от оказания платных услуг и компенсации затрат государства  </w:t>
            </w:r>
          </w:p>
        </w:tc>
        <w:tc>
          <w:tcPr>
            <w:tcW w:w="1242"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16 436,0</w:t>
            </w:r>
          </w:p>
        </w:tc>
        <w:tc>
          <w:tcPr>
            <w:tcW w:w="1168"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21 274,1</w:t>
            </w:r>
          </w:p>
        </w:tc>
        <w:tc>
          <w:tcPr>
            <w:tcW w:w="1103"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129,4</w:t>
            </w:r>
          </w:p>
        </w:tc>
        <w:tc>
          <w:tcPr>
            <w:tcW w:w="1306"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4 838,1</w:t>
            </w:r>
          </w:p>
        </w:tc>
      </w:tr>
      <w:tr w:rsidR="005E541F" w:rsidRPr="00467F9C" w:rsidTr="009D7EF8">
        <w:trPr>
          <w:trHeight w:val="235"/>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jc w:val="both"/>
              <w:rPr>
                <w:sz w:val="18"/>
                <w:szCs w:val="18"/>
              </w:rPr>
            </w:pPr>
            <w:r w:rsidRPr="00467F9C">
              <w:rPr>
                <w:sz w:val="18"/>
                <w:szCs w:val="18"/>
              </w:rPr>
              <w:t xml:space="preserve">Штрафы, санкции, возмещение ущерба  </w:t>
            </w:r>
          </w:p>
        </w:tc>
        <w:tc>
          <w:tcPr>
            <w:tcW w:w="1242"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4 168,4</w:t>
            </w:r>
          </w:p>
        </w:tc>
        <w:tc>
          <w:tcPr>
            <w:tcW w:w="1168"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4 827,6</w:t>
            </w:r>
          </w:p>
        </w:tc>
        <w:tc>
          <w:tcPr>
            <w:tcW w:w="1103"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115,8</w:t>
            </w:r>
          </w:p>
        </w:tc>
        <w:tc>
          <w:tcPr>
            <w:tcW w:w="1306"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659,2</w:t>
            </w:r>
          </w:p>
        </w:tc>
      </w:tr>
      <w:tr w:rsidR="005E541F" w:rsidRPr="00467F9C" w:rsidTr="009D7EF8">
        <w:trPr>
          <w:trHeight w:val="125"/>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jc w:val="both"/>
              <w:rPr>
                <w:b/>
                <w:bCs/>
                <w:sz w:val="18"/>
                <w:szCs w:val="18"/>
              </w:rPr>
            </w:pPr>
            <w:r w:rsidRPr="00467F9C">
              <w:rPr>
                <w:b/>
                <w:bCs/>
                <w:sz w:val="18"/>
                <w:szCs w:val="18"/>
              </w:rPr>
              <w:t xml:space="preserve">Безвозмездные поступления </w:t>
            </w:r>
          </w:p>
        </w:tc>
        <w:tc>
          <w:tcPr>
            <w:tcW w:w="1242"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
                <w:bCs/>
                <w:sz w:val="18"/>
                <w:szCs w:val="18"/>
              </w:rPr>
            </w:pPr>
            <w:r w:rsidRPr="00467F9C">
              <w:rPr>
                <w:b/>
                <w:bCs/>
                <w:sz w:val="18"/>
                <w:szCs w:val="18"/>
              </w:rPr>
              <w:t>3 610 488,5</w:t>
            </w:r>
          </w:p>
        </w:tc>
        <w:tc>
          <w:tcPr>
            <w:tcW w:w="1168"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
                <w:bCs/>
                <w:sz w:val="18"/>
                <w:szCs w:val="18"/>
              </w:rPr>
            </w:pPr>
            <w:r w:rsidRPr="00467F9C">
              <w:rPr>
                <w:b/>
                <w:bCs/>
                <w:sz w:val="18"/>
                <w:szCs w:val="18"/>
              </w:rPr>
              <w:t>3 576 819,6</w:t>
            </w:r>
          </w:p>
        </w:tc>
        <w:tc>
          <w:tcPr>
            <w:tcW w:w="1103"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
                <w:bCs/>
                <w:sz w:val="18"/>
                <w:szCs w:val="18"/>
              </w:rPr>
            </w:pPr>
            <w:r w:rsidRPr="00467F9C">
              <w:rPr>
                <w:b/>
                <w:bCs/>
                <w:sz w:val="18"/>
                <w:szCs w:val="18"/>
              </w:rPr>
              <w:t>99,1</w:t>
            </w:r>
          </w:p>
        </w:tc>
        <w:tc>
          <w:tcPr>
            <w:tcW w:w="1306"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- 33 668,9</w:t>
            </w:r>
          </w:p>
        </w:tc>
      </w:tr>
      <w:tr w:rsidR="005E541F" w:rsidRPr="00467F9C" w:rsidTr="009D7EF8">
        <w:trPr>
          <w:trHeight w:val="207"/>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jc w:val="both"/>
              <w:rPr>
                <w:sz w:val="18"/>
                <w:szCs w:val="18"/>
              </w:rPr>
            </w:pPr>
            <w:r w:rsidRPr="00467F9C">
              <w:rPr>
                <w:sz w:val="18"/>
                <w:szCs w:val="18"/>
              </w:rPr>
              <w:t xml:space="preserve">Безвозмездные поступления от других бюджетов бюджетной системы РФ  </w:t>
            </w:r>
          </w:p>
        </w:tc>
        <w:tc>
          <w:tcPr>
            <w:tcW w:w="1242"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3 630 728,4</w:t>
            </w:r>
          </w:p>
        </w:tc>
        <w:tc>
          <w:tcPr>
            <w:tcW w:w="1168"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3 596 384,5</w:t>
            </w:r>
          </w:p>
        </w:tc>
        <w:tc>
          <w:tcPr>
            <w:tcW w:w="1103"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99,1</w:t>
            </w:r>
          </w:p>
        </w:tc>
        <w:tc>
          <w:tcPr>
            <w:tcW w:w="1306"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w:t>
            </w:r>
            <w:r w:rsidRPr="00467F9C">
              <w:t xml:space="preserve"> </w:t>
            </w:r>
            <w:r w:rsidRPr="00467F9C">
              <w:rPr>
                <w:sz w:val="18"/>
                <w:szCs w:val="18"/>
              </w:rPr>
              <w:t>34 343,9</w:t>
            </w:r>
          </w:p>
        </w:tc>
      </w:tr>
      <w:tr w:rsidR="005E541F" w:rsidRPr="00467F9C" w:rsidTr="009D7EF8">
        <w:trPr>
          <w:trHeight w:val="185"/>
        </w:trPr>
        <w:tc>
          <w:tcPr>
            <w:tcW w:w="5246" w:type="dxa"/>
            <w:tcBorders>
              <w:top w:val="nil"/>
              <w:left w:val="single" w:sz="4" w:space="0" w:color="auto"/>
              <w:bottom w:val="single" w:sz="4" w:space="0" w:color="auto"/>
              <w:right w:val="single" w:sz="4" w:space="0" w:color="auto"/>
            </w:tcBorders>
            <w:shd w:val="clear" w:color="auto" w:fill="auto"/>
            <w:vAlign w:val="center"/>
          </w:tcPr>
          <w:p w:rsidR="005E541F" w:rsidRPr="00467F9C" w:rsidRDefault="005E541F" w:rsidP="00191861">
            <w:pPr>
              <w:jc w:val="both"/>
              <w:rPr>
                <w:sz w:val="18"/>
                <w:szCs w:val="18"/>
              </w:rPr>
            </w:pPr>
            <w:r w:rsidRPr="00467F9C">
              <w:rPr>
                <w:sz w:val="18"/>
                <w:szCs w:val="18"/>
              </w:rPr>
              <w:lastRenderedPageBreak/>
              <w:t>Межбюджетные трансферты за счет средств окружного бюджета, в том числе:</w:t>
            </w:r>
          </w:p>
        </w:tc>
        <w:tc>
          <w:tcPr>
            <w:tcW w:w="1242" w:type="dxa"/>
            <w:tcBorders>
              <w:top w:val="nil"/>
              <w:left w:val="nil"/>
              <w:bottom w:val="single" w:sz="4" w:space="0" w:color="auto"/>
              <w:right w:val="single" w:sz="4" w:space="0" w:color="auto"/>
            </w:tcBorders>
            <w:shd w:val="clear" w:color="auto" w:fill="auto"/>
            <w:vAlign w:val="center"/>
          </w:tcPr>
          <w:p w:rsidR="005E541F" w:rsidRPr="00467F9C" w:rsidRDefault="005E541F" w:rsidP="00191861">
            <w:pPr>
              <w:jc w:val="center"/>
              <w:rPr>
                <w:sz w:val="18"/>
                <w:szCs w:val="18"/>
              </w:rPr>
            </w:pPr>
            <w:r w:rsidRPr="00467F9C">
              <w:rPr>
                <w:sz w:val="18"/>
                <w:szCs w:val="18"/>
              </w:rPr>
              <w:t>1 314 808,6</w:t>
            </w:r>
          </w:p>
        </w:tc>
        <w:tc>
          <w:tcPr>
            <w:tcW w:w="1168" w:type="dxa"/>
            <w:tcBorders>
              <w:top w:val="nil"/>
              <w:left w:val="nil"/>
              <w:bottom w:val="single" w:sz="4" w:space="0" w:color="auto"/>
              <w:right w:val="single" w:sz="4" w:space="0" w:color="auto"/>
            </w:tcBorders>
            <w:shd w:val="clear" w:color="auto" w:fill="auto"/>
            <w:vAlign w:val="center"/>
          </w:tcPr>
          <w:p w:rsidR="005E541F" w:rsidRPr="00467F9C" w:rsidRDefault="005E541F" w:rsidP="00191861">
            <w:pPr>
              <w:jc w:val="center"/>
              <w:rPr>
                <w:sz w:val="18"/>
                <w:szCs w:val="18"/>
              </w:rPr>
            </w:pPr>
            <w:r w:rsidRPr="00467F9C">
              <w:rPr>
                <w:sz w:val="18"/>
                <w:szCs w:val="18"/>
              </w:rPr>
              <w:t>1 314 808,6</w:t>
            </w:r>
          </w:p>
        </w:tc>
        <w:tc>
          <w:tcPr>
            <w:tcW w:w="1103" w:type="dxa"/>
            <w:tcBorders>
              <w:top w:val="nil"/>
              <w:left w:val="nil"/>
              <w:bottom w:val="single" w:sz="4" w:space="0" w:color="auto"/>
              <w:right w:val="single" w:sz="4" w:space="0" w:color="auto"/>
            </w:tcBorders>
            <w:shd w:val="clear" w:color="auto" w:fill="auto"/>
            <w:vAlign w:val="center"/>
          </w:tcPr>
          <w:p w:rsidR="005E541F" w:rsidRPr="00467F9C" w:rsidRDefault="005E541F" w:rsidP="00191861">
            <w:pPr>
              <w:jc w:val="center"/>
              <w:rPr>
                <w:sz w:val="18"/>
                <w:szCs w:val="18"/>
              </w:rPr>
            </w:pPr>
            <w:r w:rsidRPr="00467F9C">
              <w:rPr>
                <w:sz w:val="18"/>
                <w:szCs w:val="18"/>
              </w:rPr>
              <w:t>100,0</w:t>
            </w:r>
          </w:p>
        </w:tc>
        <w:tc>
          <w:tcPr>
            <w:tcW w:w="1306" w:type="dxa"/>
            <w:tcBorders>
              <w:top w:val="nil"/>
              <w:left w:val="nil"/>
              <w:bottom w:val="single" w:sz="4" w:space="0" w:color="auto"/>
              <w:right w:val="single" w:sz="4" w:space="0" w:color="auto"/>
            </w:tcBorders>
            <w:shd w:val="clear" w:color="auto" w:fill="auto"/>
            <w:vAlign w:val="center"/>
          </w:tcPr>
          <w:p w:rsidR="005E541F" w:rsidRPr="00467F9C" w:rsidRDefault="005E541F" w:rsidP="00191861">
            <w:pPr>
              <w:jc w:val="center"/>
              <w:rPr>
                <w:sz w:val="18"/>
                <w:szCs w:val="18"/>
              </w:rPr>
            </w:pPr>
            <w:r w:rsidRPr="00467F9C">
              <w:rPr>
                <w:sz w:val="18"/>
                <w:szCs w:val="18"/>
              </w:rPr>
              <w:t>0,0</w:t>
            </w:r>
          </w:p>
        </w:tc>
      </w:tr>
      <w:tr w:rsidR="005E541F" w:rsidRPr="00467F9C" w:rsidTr="009D7EF8">
        <w:trPr>
          <w:trHeight w:val="815"/>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jc w:val="both"/>
              <w:rPr>
                <w:i/>
                <w:sz w:val="18"/>
                <w:szCs w:val="18"/>
              </w:rPr>
            </w:pPr>
            <w:r w:rsidRPr="00467F9C">
              <w:rPr>
                <w:i/>
                <w:sz w:val="18"/>
                <w:szCs w:val="18"/>
              </w:rPr>
              <w:t xml:space="preserve">Межбюджетные трансферты из бюджетов субъектов РФ, передаваемые </w:t>
            </w:r>
            <w:proofErr w:type="spellStart"/>
            <w:r w:rsidRPr="00467F9C">
              <w:rPr>
                <w:i/>
                <w:sz w:val="18"/>
                <w:szCs w:val="18"/>
              </w:rPr>
              <w:t>терфондам</w:t>
            </w:r>
            <w:proofErr w:type="spellEnd"/>
            <w:r w:rsidRPr="00467F9C">
              <w:rPr>
                <w:i/>
                <w:sz w:val="18"/>
                <w:szCs w:val="18"/>
              </w:rPr>
              <w:t xml:space="preserve"> ОМС на дополнительное финансовое обеспечение реализации </w:t>
            </w:r>
            <w:proofErr w:type="spellStart"/>
            <w:r w:rsidRPr="00467F9C">
              <w:rPr>
                <w:i/>
                <w:sz w:val="18"/>
                <w:szCs w:val="18"/>
              </w:rPr>
              <w:t>терпрограммы</w:t>
            </w:r>
            <w:proofErr w:type="spellEnd"/>
            <w:r w:rsidRPr="00467F9C">
              <w:rPr>
                <w:i/>
                <w:sz w:val="18"/>
                <w:szCs w:val="18"/>
              </w:rPr>
              <w:t xml:space="preserve"> ОМС в части базовой программы ОМС</w:t>
            </w:r>
          </w:p>
        </w:tc>
        <w:tc>
          <w:tcPr>
            <w:tcW w:w="1242"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i/>
                <w:sz w:val="18"/>
                <w:szCs w:val="18"/>
              </w:rPr>
            </w:pPr>
            <w:r w:rsidRPr="00467F9C">
              <w:rPr>
                <w:i/>
                <w:sz w:val="18"/>
                <w:szCs w:val="18"/>
              </w:rPr>
              <w:t>58 475,3</w:t>
            </w:r>
          </w:p>
        </w:tc>
        <w:tc>
          <w:tcPr>
            <w:tcW w:w="1168"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i/>
                <w:sz w:val="18"/>
                <w:szCs w:val="18"/>
              </w:rPr>
            </w:pPr>
            <w:r w:rsidRPr="00467F9C">
              <w:rPr>
                <w:i/>
                <w:sz w:val="18"/>
                <w:szCs w:val="18"/>
              </w:rPr>
              <w:t>58 475,30</w:t>
            </w:r>
          </w:p>
        </w:tc>
        <w:tc>
          <w:tcPr>
            <w:tcW w:w="1103"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i/>
                <w:sz w:val="18"/>
                <w:szCs w:val="18"/>
              </w:rPr>
            </w:pPr>
            <w:r w:rsidRPr="00467F9C">
              <w:rPr>
                <w:i/>
                <w:sz w:val="18"/>
                <w:szCs w:val="18"/>
              </w:rPr>
              <w:t>100,0</w:t>
            </w:r>
          </w:p>
        </w:tc>
        <w:tc>
          <w:tcPr>
            <w:tcW w:w="1306"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i/>
                <w:sz w:val="18"/>
                <w:szCs w:val="18"/>
              </w:rPr>
            </w:pPr>
            <w:r w:rsidRPr="00467F9C">
              <w:rPr>
                <w:i/>
                <w:sz w:val="18"/>
                <w:szCs w:val="18"/>
              </w:rPr>
              <w:t>0,0</w:t>
            </w:r>
          </w:p>
        </w:tc>
      </w:tr>
      <w:tr w:rsidR="005E541F" w:rsidRPr="00467F9C" w:rsidTr="009D7EF8">
        <w:trPr>
          <w:trHeight w:val="843"/>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jc w:val="both"/>
              <w:rPr>
                <w:i/>
                <w:sz w:val="18"/>
                <w:szCs w:val="18"/>
              </w:rPr>
            </w:pPr>
            <w:r w:rsidRPr="00467F9C">
              <w:rPr>
                <w:i/>
                <w:sz w:val="18"/>
                <w:szCs w:val="18"/>
              </w:rPr>
              <w:t xml:space="preserve">Межбюджетные трансферты из бюджетов субъектов РФ, передаваемые </w:t>
            </w:r>
            <w:proofErr w:type="spellStart"/>
            <w:r w:rsidRPr="00467F9C">
              <w:rPr>
                <w:i/>
                <w:sz w:val="18"/>
                <w:szCs w:val="18"/>
              </w:rPr>
              <w:t>терфондам</w:t>
            </w:r>
            <w:proofErr w:type="spellEnd"/>
            <w:r w:rsidRPr="00467F9C">
              <w:rPr>
                <w:i/>
                <w:sz w:val="18"/>
                <w:szCs w:val="18"/>
              </w:rPr>
              <w:t xml:space="preserve"> ОМС на финансовое обеспечение дополнительных видов и условий оказания медицинской помощи, не установленных базовой программой ОМС</w:t>
            </w:r>
          </w:p>
        </w:tc>
        <w:tc>
          <w:tcPr>
            <w:tcW w:w="1242"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i/>
                <w:sz w:val="18"/>
                <w:szCs w:val="18"/>
              </w:rPr>
            </w:pPr>
            <w:r w:rsidRPr="00467F9C">
              <w:rPr>
                <w:i/>
                <w:sz w:val="18"/>
                <w:szCs w:val="18"/>
              </w:rPr>
              <w:t>1 256 333,3</w:t>
            </w:r>
          </w:p>
        </w:tc>
        <w:tc>
          <w:tcPr>
            <w:tcW w:w="1168"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i/>
                <w:sz w:val="18"/>
                <w:szCs w:val="18"/>
              </w:rPr>
            </w:pPr>
            <w:r w:rsidRPr="00467F9C">
              <w:rPr>
                <w:i/>
                <w:sz w:val="18"/>
                <w:szCs w:val="18"/>
              </w:rPr>
              <w:t>1 256 333,3</w:t>
            </w:r>
          </w:p>
        </w:tc>
        <w:tc>
          <w:tcPr>
            <w:tcW w:w="1103"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i/>
                <w:sz w:val="18"/>
                <w:szCs w:val="18"/>
              </w:rPr>
            </w:pPr>
            <w:r w:rsidRPr="00467F9C">
              <w:rPr>
                <w:i/>
                <w:sz w:val="18"/>
                <w:szCs w:val="18"/>
              </w:rPr>
              <w:t>100,0</w:t>
            </w:r>
          </w:p>
        </w:tc>
        <w:tc>
          <w:tcPr>
            <w:tcW w:w="1306"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i/>
                <w:sz w:val="18"/>
                <w:szCs w:val="18"/>
              </w:rPr>
            </w:pPr>
            <w:r w:rsidRPr="00467F9C">
              <w:rPr>
                <w:i/>
                <w:sz w:val="18"/>
                <w:szCs w:val="18"/>
              </w:rPr>
              <w:t>0,0</w:t>
            </w:r>
          </w:p>
        </w:tc>
      </w:tr>
      <w:tr w:rsidR="005E541F" w:rsidRPr="00467F9C" w:rsidTr="009D7EF8">
        <w:trPr>
          <w:trHeight w:val="413"/>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jc w:val="both"/>
              <w:rPr>
                <w:sz w:val="18"/>
                <w:szCs w:val="18"/>
              </w:rPr>
            </w:pPr>
            <w:r w:rsidRPr="00467F9C">
              <w:rPr>
                <w:sz w:val="18"/>
                <w:szCs w:val="18"/>
              </w:rPr>
              <w:t xml:space="preserve">Субвенции бюджетам </w:t>
            </w:r>
            <w:proofErr w:type="spellStart"/>
            <w:r w:rsidRPr="00467F9C">
              <w:rPr>
                <w:sz w:val="18"/>
                <w:szCs w:val="18"/>
              </w:rPr>
              <w:t>терфондов</w:t>
            </w:r>
            <w:proofErr w:type="spellEnd"/>
            <w:r w:rsidRPr="00467F9C">
              <w:rPr>
                <w:sz w:val="18"/>
                <w:szCs w:val="18"/>
              </w:rPr>
              <w:t xml:space="preserve"> ОМС на финансовое обеспечение организации ОМС на территориях субъектов РФ</w:t>
            </w:r>
          </w:p>
        </w:tc>
        <w:tc>
          <w:tcPr>
            <w:tcW w:w="1242"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2 080 176,2</w:t>
            </w:r>
          </w:p>
        </w:tc>
        <w:tc>
          <w:tcPr>
            <w:tcW w:w="1168"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2 080 176,2</w:t>
            </w:r>
          </w:p>
        </w:tc>
        <w:tc>
          <w:tcPr>
            <w:tcW w:w="1103"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100,0</w:t>
            </w:r>
          </w:p>
        </w:tc>
        <w:tc>
          <w:tcPr>
            <w:tcW w:w="1306"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0,0</w:t>
            </w:r>
          </w:p>
        </w:tc>
      </w:tr>
      <w:tr w:rsidR="005E541F" w:rsidRPr="00467F9C" w:rsidTr="009D7EF8">
        <w:trPr>
          <w:trHeight w:val="1398"/>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jc w:val="both"/>
              <w:rPr>
                <w:sz w:val="18"/>
                <w:szCs w:val="18"/>
              </w:rPr>
            </w:pPr>
            <w:r w:rsidRPr="00467F9C">
              <w:rPr>
                <w:sz w:val="18"/>
                <w:szCs w:val="18"/>
              </w:rPr>
              <w:t xml:space="preserve">Межбюджетные трансферты, передаваемые бюджетам </w:t>
            </w:r>
            <w:proofErr w:type="spellStart"/>
            <w:r w:rsidRPr="00467F9C">
              <w:rPr>
                <w:sz w:val="18"/>
                <w:szCs w:val="18"/>
              </w:rPr>
              <w:t>терфондов</w:t>
            </w:r>
            <w:proofErr w:type="spellEnd"/>
            <w:r w:rsidRPr="00467F9C">
              <w:rPr>
                <w:sz w:val="18"/>
                <w:szCs w:val="18"/>
              </w:rPr>
              <w:t xml:space="preserve"> ОМС субъектов РФ на доп. финансовое обеспечение оказания медицинской помощи лицам, застрахованным по ОМС, в том числе с заболеванием и (или) подозрением на заболевание новой </w:t>
            </w:r>
            <w:proofErr w:type="spellStart"/>
            <w:r w:rsidRPr="00467F9C">
              <w:rPr>
                <w:sz w:val="18"/>
                <w:szCs w:val="18"/>
              </w:rPr>
              <w:t>коронавирусной</w:t>
            </w:r>
            <w:proofErr w:type="spellEnd"/>
            <w:r w:rsidRPr="00467F9C">
              <w:rPr>
                <w:sz w:val="18"/>
                <w:szCs w:val="18"/>
              </w:rPr>
              <w:t xml:space="preserve"> инфекцией, в рамках реализации </w:t>
            </w:r>
            <w:proofErr w:type="spellStart"/>
            <w:r w:rsidRPr="00467F9C">
              <w:rPr>
                <w:sz w:val="18"/>
                <w:szCs w:val="18"/>
              </w:rPr>
              <w:t>терпрограммы</w:t>
            </w:r>
            <w:proofErr w:type="spellEnd"/>
            <w:r w:rsidRPr="00467F9C">
              <w:rPr>
                <w:sz w:val="18"/>
                <w:szCs w:val="18"/>
              </w:rPr>
              <w:t xml:space="preserve"> ОМС</w:t>
            </w:r>
          </w:p>
        </w:tc>
        <w:tc>
          <w:tcPr>
            <w:tcW w:w="1242" w:type="dxa"/>
            <w:tcBorders>
              <w:top w:val="nil"/>
              <w:left w:val="nil"/>
              <w:bottom w:val="single" w:sz="4" w:space="0" w:color="auto"/>
              <w:right w:val="single" w:sz="4" w:space="0" w:color="auto"/>
            </w:tcBorders>
            <w:shd w:val="clear" w:color="000000" w:fill="FFFFFF"/>
            <w:vAlign w:val="center"/>
            <w:hideMark/>
          </w:tcPr>
          <w:p w:rsidR="005E541F" w:rsidRPr="00467F9C" w:rsidRDefault="005E541F" w:rsidP="00191861">
            <w:pPr>
              <w:jc w:val="center"/>
              <w:rPr>
                <w:sz w:val="18"/>
                <w:szCs w:val="18"/>
              </w:rPr>
            </w:pPr>
            <w:r w:rsidRPr="00467F9C">
              <w:rPr>
                <w:sz w:val="18"/>
                <w:szCs w:val="18"/>
              </w:rPr>
              <w:t>13 583,8</w:t>
            </w:r>
          </w:p>
        </w:tc>
        <w:tc>
          <w:tcPr>
            <w:tcW w:w="1168"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13 583,8</w:t>
            </w:r>
          </w:p>
        </w:tc>
        <w:tc>
          <w:tcPr>
            <w:tcW w:w="1103"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100,0</w:t>
            </w:r>
          </w:p>
        </w:tc>
        <w:tc>
          <w:tcPr>
            <w:tcW w:w="1306"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0,0</w:t>
            </w:r>
          </w:p>
        </w:tc>
      </w:tr>
      <w:tr w:rsidR="005E541F" w:rsidRPr="00467F9C" w:rsidTr="009D7EF8">
        <w:trPr>
          <w:trHeight w:val="537"/>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jc w:val="both"/>
              <w:rPr>
                <w:sz w:val="18"/>
                <w:szCs w:val="18"/>
              </w:rPr>
            </w:pPr>
            <w:r w:rsidRPr="00467F9C">
              <w:rPr>
                <w:sz w:val="18"/>
                <w:szCs w:val="18"/>
              </w:rPr>
              <w:t xml:space="preserve">Межбюджетные трансферты, передаваемые бюджетам </w:t>
            </w:r>
            <w:proofErr w:type="spellStart"/>
            <w:r w:rsidRPr="00467F9C">
              <w:rPr>
                <w:sz w:val="18"/>
                <w:szCs w:val="18"/>
              </w:rPr>
              <w:t>терфондов</w:t>
            </w:r>
            <w:proofErr w:type="spellEnd"/>
            <w:r w:rsidRPr="00467F9C">
              <w:rPr>
                <w:sz w:val="18"/>
                <w:szCs w:val="18"/>
              </w:rPr>
              <w:t xml:space="preserve"> ОМС на финансовое обеспечение формирования НСЗ </w:t>
            </w:r>
            <w:proofErr w:type="spellStart"/>
            <w:r w:rsidRPr="00467F9C">
              <w:rPr>
                <w:sz w:val="18"/>
                <w:szCs w:val="18"/>
              </w:rPr>
              <w:t>терфонда</w:t>
            </w:r>
            <w:proofErr w:type="spellEnd"/>
            <w:r w:rsidRPr="00467F9C">
              <w:rPr>
                <w:sz w:val="18"/>
                <w:szCs w:val="18"/>
              </w:rPr>
              <w:t xml:space="preserve"> ОМС </w:t>
            </w:r>
          </w:p>
        </w:tc>
        <w:tc>
          <w:tcPr>
            <w:tcW w:w="1242" w:type="dxa"/>
            <w:tcBorders>
              <w:top w:val="nil"/>
              <w:left w:val="nil"/>
              <w:bottom w:val="single" w:sz="4" w:space="0" w:color="auto"/>
              <w:right w:val="single" w:sz="4" w:space="0" w:color="auto"/>
            </w:tcBorders>
            <w:shd w:val="clear" w:color="000000" w:fill="FFFFFF"/>
            <w:vAlign w:val="center"/>
            <w:hideMark/>
          </w:tcPr>
          <w:p w:rsidR="005E541F" w:rsidRPr="00467F9C" w:rsidRDefault="005E541F" w:rsidP="00191861">
            <w:pPr>
              <w:jc w:val="center"/>
              <w:rPr>
                <w:sz w:val="18"/>
                <w:szCs w:val="18"/>
              </w:rPr>
            </w:pPr>
            <w:r w:rsidRPr="00467F9C">
              <w:rPr>
                <w:sz w:val="18"/>
                <w:szCs w:val="18"/>
              </w:rPr>
              <w:t>50 944,6</w:t>
            </w:r>
          </w:p>
        </w:tc>
        <w:tc>
          <w:tcPr>
            <w:tcW w:w="1168"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50 944,6</w:t>
            </w:r>
          </w:p>
        </w:tc>
        <w:tc>
          <w:tcPr>
            <w:tcW w:w="1103"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100,0</w:t>
            </w:r>
          </w:p>
        </w:tc>
        <w:tc>
          <w:tcPr>
            <w:tcW w:w="1306"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0,0</w:t>
            </w:r>
          </w:p>
        </w:tc>
      </w:tr>
      <w:tr w:rsidR="005E541F" w:rsidRPr="00467F9C" w:rsidTr="009D7EF8">
        <w:trPr>
          <w:trHeight w:val="1048"/>
        </w:trPr>
        <w:tc>
          <w:tcPr>
            <w:tcW w:w="52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541F" w:rsidRPr="00467F9C" w:rsidRDefault="005E541F" w:rsidP="00191861">
            <w:pPr>
              <w:jc w:val="both"/>
              <w:rPr>
                <w:sz w:val="18"/>
                <w:szCs w:val="18"/>
              </w:rPr>
            </w:pPr>
            <w:r w:rsidRPr="00467F9C">
              <w:rPr>
                <w:sz w:val="18"/>
                <w:szCs w:val="18"/>
              </w:rPr>
              <w:t xml:space="preserve">Межбюджетные трансферты, передаваемые бюджетам </w:t>
            </w:r>
            <w:proofErr w:type="spellStart"/>
            <w:r w:rsidRPr="00467F9C">
              <w:rPr>
                <w:sz w:val="18"/>
                <w:szCs w:val="18"/>
              </w:rPr>
              <w:t>терфондов</w:t>
            </w:r>
            <w:proofErr w:type="spellEnd"/>
            <w:r w:rsidRPr="00467F9C">
              <w:rPr>
                <w:sz w:val="18"/>
                <w:szCs w:val="18"/>
              </w:rPr>
              <w:t xml:space="preserve"> ОМС на финансовое обеспечение осуществления денежных выплат стимулирующего характера медработникам за выявление онкологических заболеваний в ходе проведения диспансеризации и профилактических медосмотров населения</w:t>
            </w:r>
          </w:p>
        </w:tc>
        <w:tc>
          <w:tcPr>
            <w:tcW w:w="1242" w:type="dxa"/>
            <w:tcBorders>
              <w:top w:val="single" w:sz="8" w:space="0" w:color="auto"/>
              <w:left w:val="nil"/>
              <w:bottom w:val="single" w:sz="8" w:space="0" w:color="auto"/>
              <w:right w:val="single" w:sz="8"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663,0</w:t>
            </w:r>
          </w:p>
        </w:tc>
        <w:tc>
          <w:tcPr>
            <w:tcW w:w="1168"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331,8</w:t>
            </w:r>
          </w:p>
        </w:tc>
        <w:tc>
          <w:tcPr>
            <w:tcW w:w="1103"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50,0</w:t>
            </w:r>
          </w:p>
        </w:tc>
        <w:tc>
          <w:tcPr>
            <w:tcW w:w="1306"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- 331,2</w:t>
            </w:r>
          </w:p>
        </w:tc>
      </w:tr>
      <w:tr w:rsidR="005E541F" w:rsidRPr="00467F9C" w:rsidTr="009D7EF8">
        <w:trPr>
          <w:trHeight w:val="836"/>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jc w:val="both"/>
              <w:rPr>
                <w:sz w:val="18"/>
                <w:szCs w:val="18"/>
              </w:rPr>
            </w:pPr>
            <w:r w:rsidRPr="00467F9C">
              <w:rPr>
                <w:sz w:val="18"/>
                <w:szCs w:val="18"/>
              </w:rPr>
              <w:t xml:space="preserve">Межбюджетные трансферты, передаваемые бюджетам </w:t>
            </w:r>
            <w:proofErr w:type="spellStart"/>
            <w:r w:rsidRPr="00467F9C">
              <w:rPr>
                <w:sz w:val="18"/>
                <w:szCs w:val="18"/>
              </w:rPr>
              <w:t>терфондов</w:t>
            </w:r>
            <w:proofErr w:type="spellEnd"/>
            <w:r w:rsidRPr="00467F9C">
              <w:rPr>
                <w:sz w:val="18"/>
                <w:szCs w:val="18"/>
              </w:rPr>
              <w:t xml:space="preserve"> ОМС на финансовое обеспечение проведения углубленной </w:t>
            </w:r>
            <w:proofErr w:type="gramStart"/>
            <w:r w:rsidRPr="00467F9C">
              <w:rPr>
                <w:sz w:val="18"/>
                <w:szCs w:val="18"/>
              </w:rPr>
              <w:t>диспансеризации  застрахованным</w:t>
            </w:r>
            <w:proofErr w:type="gramEnd"/>
            <w:r w:rsidRPr="00467F9C">
              <w:rPr>
                <w:sz w:val="18"/>
                <w:szCs w:val="18"/>
              </w:rPr>
              <w:t xml:space="preserve"> по ОМС лиц, перенесших новую </w:t>
            </w:r>
            <w:proofErr w:type="spellStart"/>
            <w:r w:rsidRPr="00467F9C">
              <w:rPr>
                <w:sz w:val="18"/>
                <w:szCs w:val="18"/>
              </w:rPr>
              <w:t>коронавирусную</w:t>
            </w:r>
            <w:proofErr w:type="spellEnd"/>
            <w:r w:rsidRPr="00467F9C">
              <w:rPr>
                <w:sz w:val="18"/>
                <w:szCs w:val="18"/>
              </w:rPr>
              <w:t xml:space="preserve"> инфекцию (COVID-19)</w:t>
            </w:r>
          </w:p>
        </w:tc>
        <w:tc>
          <w:tcPr>
            <w:tcW w:w="1242" w:type="dxa"/>
            <w:tcBorders>
              <w:top w:val="single" w:sz="4" w:space="0" w:color="auto"/>
              <w:left w:val="nil"/>
              <w:bottom w:val="single" w:sz="4" w:space="0" w:color="auto"/>
              <w:right w:val="single" w:sz="4" w:space="0" w:color="auto"/>
            </w:tcBorders>
            <w:shd w:val="clear" w:color="000000" w:fill="FFFFFF"/>
            <w:vAlign w:val="center"/>
            <w:hideMark/>
          </w:tcPr>
          <w:p w:rsidR="005E541F" w:rsidRPr="00467F9C" w:rsidRDefault="005E541F" w:rsidP="00191861">
            <w:pPr>
              <w:jc w:val="center"/>
              <w:rPr>
                <w:sz w:val="18"/>
                <w:szCs w:val="18"/>
              </w:rPr>
            </w:pPr>
            <w:r w:rsidRPr="00467F9C">
              <w:rPr>
                <w:sz w:val="18"/>
                <w:szCs w:val="18"/>
              </w:rPr>
              <w:t>1 475,2</w:t>
            </w:r>
          </w:p>
        </w:tc>
        <w:tc>
          <w:tcPr>
            <w:tcW w:w="1168"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208,4</w:t>
            </w:r>
          </w:p>
        </w:tc>
        <w:tc>
          <w:tcPr>
            <w:tcW w:w="1103"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14,1</w:t>
            </w:r>
          </w:p>
        </w:tc>
        <w:tc>
          <w:tcPr>
            <w:tcW w:w="1306"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- 1 266,8</w:t>
            </w:r>
          </w:p>
        </w:tc>
      </w:tr>
      <w:tr w:rsidR="005E541F" w:rsidRPr="00467F9C" w:rsidTr="009D7EF8">
        <w:trPr>
          <w:trHeight w:val="1348"/>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jc w:val="both"/>
              <w:rPr>
                <w:sz w:val="18"/>
                <w:szCs w:val="18"/>
              </w:rPr>
            </w:pPr>
            <w:r w:rsidRPr="00467F9C">
              <w:rPr>
                <w:sz w:val="18"/>
                <w:szCs w:val="18"/>
              </w:rPr>
              <w:t xml:space="preserve">Межбюджетные трансферты, передаваемые бюджетам </w:t>
            </w:r>
            <w:proofErr w:type="spellStart"/>
            <w:r w:rsidRPr="00467F9C">
              <w:rPr>
                <w:sz w:val="18"/>
                <w:szCs w:val="18"/>
              </w:rPr>
              <w:t>терфондов</w:t>
            </w:r>
            <w:proofErr w:type="spellEnd"/>
            <w:r w:rsidRPr="00467F9C">
              <w:rPr>
                <w:sz w:val="18"/>
                <w:szCs w:val="18"/>
              </w:rPr>
              <w:t xml:space="preserve"> ОМС субъектов РФ на доп. финансовое обеспечение оказания медицинской помощи лицам, застрахованным по ОМС, в том числе с заболеванием и (или) подозрением на заболевание новой </w:t>
            </w:r>
            <w:proofErr w:type="spellStart"/>
            <w:r w:rsidRPr="00467F9C">
              <w:rPr>
                <w:sz w:val="18"/>
                <w:szCs w:val="18"/>
              </w:rPr>
              <w:t>коронавирусной</w:t>
            </w:r>
            <w:proofErr w:type="spellEnd"/>
            <w:r w:rsidRPr="00467F9C">
              <w:rPr>
                <w:sz w:val="18"/>
                <w:szCs w:val="18"/>
              </w:rPr>
              <w:t xml:space="preserve"> инфекцией (COVID-19), в рамках реализации </w:t>
            </w:r>
            <w:proofErr w:type="spellStart"/>
            <w:r w:rsidRPr="00467F9C">
              <w:rPr>
                <w:sz w:val="18"/>
                <w:szCs w:val="18"/>
              </w:rPr>
              <w:t>терпрограммы</w:t>
            </w:r>
            <w:proofErr w:type="spellEnd"/>
            <w:r w:rsidRPr="00467F9C">
              <w:rPr>
                <w:sz w:val="18"/>
                <w:szCs w:val="18"/>
              </w:rPr>
              <w:t xml:space="preserve"> ОМС</w:t>
            </w:r>
          </w:p>
        </w:tc>
        <w:tc>
          <w:tcPr>
            <w:tcW w:w="1242" w:type="dxa"/>
            <w:tcBorders>
              <w:top w:val="nil"/>
              <w:left w:val="nil"/>
              <w:bottom w:val="single" w:sz="4" w:space="0" w:color="auto"/>
              <w:right w:val="single" w:sz="4" w:space="0" w:color="auto"/>
            </w:tcBorders>
            <w:shd w:val="clear" w:color="000000" w:fill="FFFFFF"/>
            <w:vAlign w:val="center"/>
            <w:hideMark/>
          </w:tcPr>
          <w:p w:rsidR="005E541F" w:rsidRPr="00467F9C" w:rsidRDefault="005E541F" w:rsidP="00191861">
            <w:pPr>
              <w:jc w:val="center"/>
              <w:rPr>
                <w:sz w:val="18"/>
                <w:szCs w:val="18"/>
              </w:rPr>
            </w:pPr>
            <w:r w:rsidRPr="00467F9C">
              <w:rPr>
                <w:sz w:val="18"/>
                <w:szCs w:val="18"/>
              </w:rPr>
              <w:t>44 710,2</w:t>
            </w:r>
          </w:p>
        </w:tc>
        <w:tc>
          <w:tcPr>
            <w:tcW w:w="1168"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59 470,3</w:t>
            </w:r>
          </w:p>
        </w:tc>
        <w:tc>
          <w:tcPr>
            <w:tcW w:w="1103"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133,0</w:t>
            </w:r>
          </w:p>
        </w:tc>
        <w:tc>
          <w:tcPr>
            <w:tcW w:w="1306"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14 760,1</w:t>
            </w:r>
          </w:p>
        </w:tc>
      </w:tr>
      <w:tr w:rsidR="005E541F" w:rsidRPr="00467F9C" w:rsidTr="009D7EF8">
        <w:trPr>
          <w:trHeight w:val="309"/>
        </w:trPr>
        <w:tc>
          <w:tcPr>
            <w:tcW w:w="52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541F" w:rsidRPr="00467F9C" w:rsidRDefault="005E541F" w:rsidP="00191861">
            <w:pPr>
              <w:jc w:val="both"/>
              <w:rPr>
                <w:sz w:val="18"/>
                <w:szCs w:val="18"/>
              </w:rPr>
            </w:pPr>
            <w:r w:rsidRPr="00467F9C">
              <w:rPr>
                <w:sz w:val="18"/>
                <w:szCs w:val="18"/>
              </w:rPr>
              <w:t xml:space="preserve">Прочие межбюджетные трансферты, передаваемые бюджетам </w:t>
            </w:r>
            <w:proofErr w:type="spellStart"/>
            <w:r w:rsidRPr="00467F9C">
              <w:rPr>
                <w:sz w:val="18"/>
                <w:szCs w:val="18"/>
              </w:rPr>
              <w:t>терфондов</w:t>
            </w:r>
            <w:proofErr w:type="spellEnd"/>
            <w:r w:rsidRPr="00467F9C">
              <w:rPr>
                <w:sz w:val="18"/>
                <w:szCs w:val="18"/>
              </w:rPr>
              <w:t xml:space="preserve"> ОМС  </w:t>
            </w:r>
          </w:p>
        </w:tc>
        <w:tc>
          <w:tcPr>
            <w:tcW w:w="1242" w:type="dxa"/>
            <w:tcBorders>
              <w:top w:val="single" w:sz="8" w:space="0" w:color="auto"/>
              <w:left w:val="nil"/>
              <w:bottom w:val="single" w:sz="8" w:space="0" w:color="auto"/>
              <w:right w:val="single" w:sz="8"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124 366,8</w:t>
            </w:r>
          </w:p>
        </w:tc>
        <w:tc>
          <w:tcPr>
            <w:tcW w:w="1168"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76 860,8</w:t>
            </w:r>
          </w:p>
        </w:tc>
        <w:tc>
          <w:tcPr>
            <w:tcW w:w="1103"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61,8</w:t>
            </w:r>
          </w:p>
        </w:tc>
        <w:tc>
          <w:tcPr>
            <w:tcW w:w="1306"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- 47 506,0</w:t>
            </w:r>
          </w:p>
        </w:tc>
      </w:tr>
      <w:tr w:rsidR="005E541F" w:rsidRPr="00467F9C" w:rsidTr="009D7EF8">
        <w:trPr>
          <w:trHeight w:val="726"/>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jc w:val="both"/>
              <w:rPr>
                <w:sz w:val="18"/>
                <w:szCs w:val="18"/>
              </w:rPr>
            </w:pPr>
            <w:r w:rsidRPr="00467F9C">
              <w:rPr>
                <w:sz w:val="18"/>
                <w:szCs w:val="18"/>
              </w:rPr>
              <w:t xml:space="preserve">Доходы бюджетов субъектов РФ от </w:t>
            </w:r>
            <w:proofErr w:type="gramStart"/>
            <w:r w:rsidRPr="00467F9C">
              <w:rPr>
                <w:sz w:val="18"/>
                <w:szCs w:val="18"/>
              </w:rPr>
              <w:t>возврата  бюджетами</w:t>
            </w:r>
            <w:proofErr w:type="gramEnd"/>
            <w:r w:rsidRPr="00467F9C">
              <w:rPr>
                <w:sz w:val="18"/>
                <w:szCs w:val="18"/>
              </w:rPr>
              <w:t xml:space="preserve"> бюджетной системы РФ остатков субсидий, субвенций и иных межбюджетных трансфертов, имеющих целевое назначение, прошлых лет  </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147,4</w:t>
            </w:r>
          </w:p>
        </w:tc>
        <w:tc>
          <w:tcPr>
            <w:tcW w:w="1168"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147,4</w:t>
            </w:r>
          </w:p>
        </w:tc>
        <w:tc>
          <w:tcPr>
            <w:tcW w:w="1103"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100,0</w:t>
            </w:r>
          </w:p>
        </w:tc>
        <w:tc>
          <w:tcPr>
            <w:tcW w:w="1306"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0,0</w:t>
            </w:r>
          </w:p>
        </w:tc>
      </w:tr>
      <w:tr w:rsidR="005E541F" w:rsidRPr="00467F9C" w:rsidTr="009D7EF8">
        <w:trPr>
          <w:trHeight w:val="471"/>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5E541F" w:rsidRPr="00467F9C" w:rsidRDefault="005E541F" w:rsidP="00191861">
            <w:pPr>
              <w:jc w:val="both"/>
              <w:rPr>
                <w:sz w:val="18"/>
                <w:szCs w:val="18"/>
              </w:rPr>
            </w:pPr>
            <w:r w:rsidRPr="00467F9C">
              <w:rPr>
                <w:sz w:val="18"/>
                <w:szCs w:val="18"/>
              </w:rPr>
              <w:t xml:space="preserve">Возврат остатков субсидий, субвенций и иных межбюджетных трансфертов, имеющих целевое назначение, прошлых лет  </w:t>
            </w:r>
          </w:p>
        </w:tc>
        <w:tc>
          <w:tcPr>
            <w:tcW w:w="1242"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-20 387,3</w:t>
            </w:r>
          </w:p>
        </w:tc>
        <w:tc>
          <w:tcPr>
            <w:tcW w:w="1168"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-19 712,3</w:t>
            </w:r>
          </w:p>
        </w:tc>
        <w:tc>
          <w:tcPr>
            <w:tcW w:w="1103"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96,7</w:t>
            </w:r>
          </w:p>
        </w:tc>
        <w:tc>
          <w:tcPr>
            <w:tcW w:w="1306"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18"/>
                <w:szCs w:val="18"/>
              </w:rPr>
            </w:pPr>
            <w:r w:rsidRPr="00467F9C">
              <w:rPr>
                <w:sz w:val="18"/>
                <w:szCs w:val="18"/>
              </w:rPr>
              <w:t>675,0</w:t>
            </w:r>
          </w:p>
        </w:tc>
      </w:tr>
    </w:tbl>
    <w:p w:rsidR="009D7EF8" w:rsidRPr="009D7EF8" w:rsidRDefault="009D7EF8" w:rsidP="00191861">
      <w:pPr>
        <w:ind w:firstLine="708"/>
        <w:jc w:val="both"/>
        <w:rPr>
          <w:b/>
          <w:i/>
          <w:sz w:val="6"/>
          <w:szCs w:val="6"/>
        </w:rPr>
      </w:pPr>
    </w:p>
    <w:p w:rsidR="005E541F" w:rsidRPr="00467F9C" w:rsidRDefault="005E541F" w:rsidP="00191861">
      <w:pPr>
        <w:ind w:firstLine="708"/>
        <w:jc w:val="both"/>
        <w:rPr>
          <w:sz w:val="28"/>
          <w:szCs w:val="28"/>
        </w:rPr>
      </w:pPr>
      <w:r w:rsidRPr="00467F9C">
        <w:rPr>
          <w:b/>
          <w:i/>
          <w:sz w:val="28"/>
          <w:szCs w:val="28"/>
        </w:rPr>
        <w:t xml:space="preserve">Межбюджетные трансферты из окружного бюджета на </w:t>
      </w:r>
      <w:r w:rsidRPr="00467F9C">
        <w:rPr>
          <w:b/>
          <w:i/>
          <w:iCs/>
          <w:sz w:val="28"/>
          <w:szCs w:val="28"/>
        </w:rPr>
        <w:t>дополнительное финансовое обеспечение реализации территориальной программы ОМС в части базовой и сверх базовой программы ОМС</w:t>
      </w:r>
      <w:r w:rsidRPr="00467F9C">
        <w:rPr>
          <w:sz w:val="28"/>
          <w:szCs w:val="28"/>
        </w:rPr>
        <w:t xml:space="preserve"> поступили в сумме   1 314 808,6 тыс. рублей (100% от годовых бюджетных назначений), что на 618 954,8 тыс. рублей или 1,9 раза больше объема трансфертов, поступивших в предыдущем году (</w:t>
      </w:r>
      <w:r w:rsidRPr="00467F9C">
        <w:rPr>
          <w:bCs/>
          <w:sz w:val="28"/>
          <w:szCs w:val="28"/>
        </w:rPr>
        <w:t>695 853,8</w:t>
      </w:r>
      <w:r w:rsidRPr="00467F9C">
        <w:rPr>
          <w:sz w:val="28"/>
          <w:szCs w:val="28"/>
        </w:rPr>
        <w:t xml:space="preserve"> тыс. рублей). </w:t>
      </w:r>
    </w:p>
    <w:p w:rsidR="005E541F" w:rsidRPr="00467F9C" w:rsidRDefault="005E541F" w:rsidP="00191861">
      <w:pPr>
        <w:ind w:firstLine="708"/>
        <w:jc w:val="both"/>
        <w:rPr>
          <w:sz w:val="28"/>
          <w:szCs w:val="28"/>
        </w:rPr>
      </w:pPr>
      <w:r w:rsidRPr="00467F9C">
        <w:rPr>
          <w:b/>
          <w:i/>
          <w:sz w:val="28"/>
          <w:szCs w:val="28"/>
        </w:rPr>
        <w:t>Субвенции из ФФ ОМС бюджетам территориальных фондов ОМС на финансовое обеспечение организации ОМС на территориях субъектов РФ</w:t>
      </w:r>
      <w:r w:rsidRPr="00467F9C">
        <w:rPr>
          <w:sz w:val="28"/>
          <w:szCs w:val="28"/>
        </w:rPr>
        <w:t xml:space="preserve"> поступили в объеме 2 080 176,2 тыс. рублей (100% от годовых бюджетных назначений). В отчетном периоде, несмотря на сокращение численности застрахованных по ОМС лиц на 882 человека, отмечается рост объема субвенции из ФФ ОМС на 21 701,9 тыс. рублей или 1,1% по сравнению с объемом </w:t>
      </w:r>
      <w:r w:rsidRPr="00467F9C">
        <w:rPr>
          <w:sz w:val="28"/>
          <w:szCs w:val="28"/>
        </w:rPr>
        <w:lastRenderedPageBreak/>
        <w:t xml:space="preserve">трансфертов, поступивших в 2020 году (2 058 474,3 тыс. рублей), что обусловлено ростом на 3%  </w:t>
      </w:r>
      <w:proofErr w:type="spellStart"/>
      <w:r w:rsidRPr="00467F9C">
        <w:rPr>
          <w:sz w:val="28"/>
          <w:szCs w:val="28"/>
        </w:rPr>
        <w:t>подушевого</w:t>
      </w:r>
      <w:proofErr w:type="spellEnd"/>
      <w:r w:rsidRPr="00467F9C">
        <w:rPr>
          <w:sz w:val="28"/>
          <w:szCs w:val="28"/>
        </w:rPr>
        <w:t xml:space="preserve"> норматива финансирования оказания медицинской помощи, применяемого для расчета субвенции в 2021 году.</w:t>
      </w:r>
    </w:p>
    <w:p w:rsidR="005E541F" w:rsidRPr="00467F9C" w:rsidRDefault="005E541F" w:rsidP="00191861">
      <w:pPr>
        <w:ind w:firstLine="708"/>
        <w:jc w:val="both"/>
        <w:rPr>
          <w:sz w:val="28"/>
          <w:szCs w:val="28"/>
        </w:rPr>
      </w:pPr>
      <w:r w:rsidRPr="00467F9C">
        <w:rPr>
          <w:sz w:val="28"/>
          <w:szCs w:val="28"/>
        </w:rPr>
        <w:t>Анализ расчета субвенции из ФФ ОМС приведен в таблице 3.</w:t>
      </w:r>
    </w:p>
    <w:p w:rsidR="005E541F" w:rsidRPr="00467F9C" w:rsidRDefault="005E541F" w:rsidP="00191861">
      <w:pPr>
        <w:ind w:firstLine="709"/>
        <w:jc w:val="right"/>
        <w:rPr>
          <w:sz w:val="28"/>
          <w:szCs w:val="28"/>
        </w:rPr>
      </w:pPr>
      <w:r w:rsidRPr="00467F9C">
        <w:rPr>
          <w:sz w:val="28"/>
          <w:szCs w:val="28"/>
        </w:rPr>
        <w:t>Таблица 3</w:t>
      </w:r>
    </w:p>
    <w:tbl>
      <w:tblPr>
        <w:tblStyle w:val="af5"/>
        <w:tblW w:w="9940" w:type="dxa"/>
        <w:tblLook w:val="04A0" w:firstRow="1" w:lastRow="0" w:firstColumn="1" w:lastColumn="0" w:noHBand="0" w:noVBand="1"/>
      </w:tblPr>
      <w:tblGrid>
        <w:gridCol w:w="4815"/>
        <w:gridCol w:w="1270"/>
        <w:gridCol w:w="1270"/>
        <w:gridCol w:w="1321"/>
        <w:gridCol w:w="1264"/>
      </w:tblGrid>
      <w:tr w:rsidR="005E541F" w:rsidRPr="00467F9C" w:rsidTr="007569A1">
        <w:tc>
          <w:tcPr>
            <w:tcW w:w="4815" w:type="dxa"/>
            <w:vAlign w:val="center"/>
          </w:tcPr>
          <w:p w:rsidR="005E541F" w:rsidRPr="00467F9C" w:rsidRDefault="005E541F" w:rsidP="00191861">
            <w:pPr>
              <w:jc w:val="center"/>
              <w:rPr>
                <w:b/>
                <w:bCs/>
                <w:sz w:val="20"/>
                <w:szCs w:val="20"/>
              </w:rPr>
            </w:pPr>
            <w:r w:rsidRPr="00467F9C">
              <w:rPr>
                <w:b/>
                <w:bCs/>
                <w:sz w:val="20"/>
                <w:szCs w:val="20"/>
              </w:rPr>
              <w:t>Наименование показателя</w:t>
            </w:r>
          </w:p>
        </w:tc>
        <w:tc>
          <w:tcPr>
            <w:tcW w:w="1270" w:type="dxa"/>
            <w:vAlign w:val="center"/>
          </w:tcPr>
          <w:p w:rsidR="005E541F" w:rsidRPr="00467F9C" w:rsidRDefault="005E541F" w:rsidP="00191861">
            <w:pPr>
              <w:jc w:val="center"/>
              <w:rPr>
                <w:b/>
                <w:bCs/>
                <w:sz w:val="20"/>
                <w:szCs w:val="20"/>
              </w:rPr>
            </w:pPr>
            <w:r w:rsidRPr="00467F9C">
              <w:rPr>
                <w:b/>
                <w:bCs/>
                <w:sz w:val="20"/>
                <w:szCs w:val="20"/>
              </w:rPr>
              <w:t>2020 год</w:t>
            </w:r>
          </w:p>
        </w:tc>
        <w:tc>
          <w:tcPr>
            <w:tcW w:w="1270" w:type="dxa"/>
            <w:vAlign w:val="center"/>
          </w:tcPr>
          <w:p w:rsidR="005E541F" w:rsidRPr="00467F9C" w:rsidRDefault="005E541F" w:rsidP="00191861">
            <w:pPr>
              <w:jc w:val="center"/>
              <w:rPr>
                <w:b/>
                <w:bCs/>
                <w:sz w:val="20"/>
                <w:szCs w:val="20"/>
              </w:rPr>
            </w:pPr>
            <w:r w:rsidRPr="00467F9C">
              <w:rPr>
                <w:b/>
                <w:bCs/>
                <w:sz w:val="20"/>
                <w:szCs w:val="20"/>
              </w:rPr>
              <w:t>2021</w:t>
            </w:r>
          </w:p>
        </w:tc>
        <w:tc>
          <w:tcPr>
            <w:tcW w:w="1321" w:type="dxa"/>
          </w:tcPr>
          <w:p w:rsidR="005E541F" w:rsidRPr="00467F9C" w:rsidRDefault="005E541F" w:rsidP="00191861">
            <w:pPr>
              <w:jc w:val="center"/>
              <w:rPr>
                <w:b/>
                <w:bCs/>
                <w:sz w:val="20"/>
                <w:szCs w:val="20"/>
              </w:rPr>
            </w:pPr>
            <w:r w:rsidRPr="00467F9C">
              <w:rPr>
                <w:b/>
                <w:bCs/>
                <w:sz w:val="20"/>
                <w:szCs w:val="20"/>
              </w:rPr>
              <w:t>Отклонение</w:t>
            </w:r>
          </w:p>
          <w:p w:rsidR="005E541F" w:rsidRPr="00467F9C" w:rsidRDefault="005E541F" w:rsidP="00191861">
            <w:pPr>
              <w:jc w:val="center"/>
              <w:rPr>
                <w:b/>
                <w:bCs/>
                <w:sz w:val="20"/>
                <w:szCs w:val="20"/>
              </w:rPr>
            </w:pPr>
            <w:r w:rsidRPr="00467F9C">
              <w:rPr>
                <w:b/>
                <w:bCs/>
                <w:sz w:val="20"/>
                <w:szCs w:val="20"/>
              </w:rPr>
              <w:t>(гр.3-гр.2)</w:t>
            </w:r>
          </w:p>
        </w:tc>
        <w:tc>
          <w:tcPr>
            <w:tcW w:w="1264" w:type="dxa"/>
          </w:tcPr>
          <w:p w:rsidR="005E541F" w:rsidRPr="00467F9C" w:rsidRDefault="005E541F" w:rsidP="00191861">
            <w:pPr>
              <w:jc w:val="center"/>
              <w:rPr>
                <w:b/>
                <w:bCs/>
                <w:sz w:val="20"/>
                <w:szCs w:val="20"/>
              </w:rPr>
            </w:pPr>
            <w:proofErr w:type="gramStart"/>
            <w:r w:rsidRPr="00467F9C">
              <w:rPr>
                <w:b/>
                <w:bCs/>
                <w:sz w:val="20"/>
                <w:szCs w:val="20"/>
              </w:rPr>
              <w:t>Рост.%</w:t>
            </w:r>
            <w:proofErr w:type="gramEnd"/>
            <w:r w:rsidRPr="00467F9C">
              <w:rPr>
                <w:b/>
                <w:bCs/>
                <w:sz w:val="20"/>
                <w:szCs w:val="20"/>
              </w:rPr>
              <w:t xml:space="preserve"> (гр.3/гр.2)</w:t>
            </w:r>
          </w:p>
        </w:tc>
      </w:tr>
      <w:tr w:rsidR="005E541F" w:rsidRPr="00467F9C" w:rsidTr="007569A1">
        <w:tc>
          <w:tcPr>
            <w:tcW w:w="4815" w:type="dxa"/>
          </w:tcPr>
          <w:p w:rsidR="005E541F" w:rsidRPr="00467F9C" w:rsidRDefault="005E541F" w:rsidP="00191861">
            <w:pPr>
              <w:jc w:val="center"/>
              <w:rPr>
                <w:bCs/>
                <w:sz w:val="16"/>
                <w:szCs w:val="16"/>
              </w:rPr>
            </w:pPr>
            <w:r w:rsidRPr="00467F9C">
              <w:rPr>
                <w:bCs/>
                <w:sz w:val="16"/>
                <w:szCs w:val="16"/>
              </w:rPr>
              <w:t>1</w:t>
            </w:r>
          </w:p>
        </w:tc>
        <w:tc>
          <w:tcPr>
            <w:tcW w:w="1270" w:type="dxa"/>
          </w:tcPr>
          <w:p w:rsidR="005E541F" w:rsidRPr="00467F9C" w:rsidRDefault="005E541F" w:rsidP="00191861">
            <w:pPr>
              <w:jc w:val="center"/>
              <w:rPr>
                <w:bCs/>
                <w:sz w:val="16"/>
                <w:szCs w:val="16"/>
              </w:rPr>
            </w:pPr>
            <w:r w:rsidRPr="00467F9C">
              <w:rPr>
                <w:bCs/>
                <w:sz w:val="16"/>
                <w:szCs w:val="16"/>
              </w:rPr>
              <w:t>2</w:t>
            </w:r>
          </w:p>
        </w:tc>
        <w:tc>
          <w:tcPr>
            <w:tcW w:w="1270" w:type="dxa"/>
          </w:tcPr>
          <w:p w:rsidR="005E541F" w:rsidRPr="00467F9C" w:rsidRDefault="005E541F" w:rsidP="00191861">
            <w:pPr>
              <w:jc w:val="center"/>
              <w:rPr>
                <w:bCs/>
                <w:sz w:val="16"/>
                <w:szCs w:val="16"/>
              </w:rPr>
            </w:pPr>
            <w:r w:rsidRPr="00467F9C">
              <w:rPr>
                <w:bCs/>
                <w:sz w:val="16"/>
                <w:szCs w:val="16"/>
              </w:rPr>
              <w:t>3</w:t>
            </w:r>
          </w:p>
        </w:tc>
        <w:tc>
          <w:tcPr>
            <w:tcW w:w="1321" w:type="dxa"/>
          </w:tcPr>
          <w:p w:rsidR="005E541F" w:rsidRPr="00467F9C" w:rsidRDefault="005E541F" w:rsidP="00191861">
            <w:pPr>
              <w:jc w:val="center"/>
              <w:rPr>
                <w:bCs/>
                <w:sz w:val="16"/>
                <w:szCs w:val="16"/>
              </w:rPr>
            </w:pPr>
            <w:r w:rsidRPr="00467F9C">
              <w:rPr>
                <w:bCs/>
                <w:sz w:val="16"/>
                <w:szCs w:val="16"/>
              </w:rPr>
              <w:t>4</w:t>
            </w:r>
          </w:p>
        </w:tc>
        <w:tc>
          <w:tcPr>
            <w:tcW w:w="1264" w:type="dxa"/>
          </w:tcPr>
          <w:p w:rsidR="005E541F" w:rsidRPr="00467F9C" w:rsidRDefault="005E541F" w:rsidP="00191861">
            <w:pPr>
              <w:jc w:val="center"/>
              <w:rPr>
                <w:bCs/>
                <w:sz w:val="16"/>
                <w:szCs w:val="16"/>
              </w:rPr>
            </w:pPr>
            <w:r w:rsidRPr="00467F9C">
              <w:rPr>
                <w:bCs/>
                <w:sz w:val="16"/>
                <w:szCs w:val="16"/>
              </w:rPr>
              <w:t>5</w:t>
            </w:r>
          </w:p>
        </w:tc>
      </w:tr>
      <w:tr w:rsidR="005E541F" w:rsidRPr="00467F9C" w:rsidTr="007569A1">
        <w:tc>
          <w:tcPr>
            <w:tcW w:w="4815" w:type="dxa"/>
          </w:tcPr>
          <w:p w:rsidR="005E541F" w:rsidRPr="00467F9C" w:rsidRDefault="005E541F" w:rsidP="007569A1">
            <w:pPr>
              <w:ind w:right="-250"/>
              <w:jc w:val="both"/>
              <w:rPr>
                <w:bCs/>
                <w:sz w:val="20"/>
                <w:szCs w:val="20"/>
              </w:rPr>
            </w:pPr>
            <w:r w:rsidRPr="00467F9C">
              <w:rPr>
                <w:bCs/>
                <w:sz w:val="20"/>
                <w:szCs w:val="20"/>
              </w:rPr>
              <w:t>Субвенции из ФФ ОМС (тыс. рублей)</w:t>
            </w:r>
          </w:p>
        </w:tc>
        <w:tc>
          <w:tcPr>
            <w:tcW w:w="1270" w:type="dxa"/>
          </w:tcPr>
          <w:p w:rsidR="005E541F" w:rsidRPr="00467F9C" w:rsidRDefault="005E541F" w:rsidP="00191861">
            <w:pPr>
              <w:jc w:val="center"/>
              <w:rPr>
                <w:bCs/>
                <w:sz w:val="20"/>
                <w:szCs w:val="20"/>
              </w:rPr>
            </w:pPr>
            <w:r w:rsidRPr="00467F9C">
              <w:rPr>
                <w:bCs/>
                <w:sz w:val="20"/>
                <w:szCs w:val="20"/>
              </w:rPr>
              <w:t>2 058 474,3</w:t>
            </w:r>
          </w:p>
        </w:tc>
        <w:tc>
          <w:tcPr>
            <w:tcW w:w="1270" w:type="dxa"/>
          </w:tcPr>
          <w:p w:rsidR="005E541F" w:rsidRPr="00467F9C" w:rsidRDefault="005E541F" w:rsidP="00191861">
            <w:pPr>
              <w:jc w:val="center"/>
              <w:rPr>
                <w:bCs/>
                <w:sz w:val="20"/>
                <w:szCs w:val="20"/>
              </w:rPr>
            </w:pPr>
            <w:r w:rsidRPr="00467F9C">
              <w:rPr>
                <w:bCs/>
                <w:sz w:val="20"/>
                <w:szCs w:val="20"/>
              </w:rPr>
              <w:t>2 080 176,2</w:t>
            </w:r>
          </w:p>
        </w:tc>
        <w:tc>
          <w:tcPr>
            <w:tcW w:w="1321" w:type="dxa"/>
          </w:tcPr>
          <w:p w:rsidR="005E541F" w:rsidRPr="00467F9C" w:rsidRDefault="005E541F" w:rsidP="00191861">
            <w:pPr>
              <w:jc w:val="center"/>
              <w:rPr>
                <w:bCs/>
                <w:sz w:val="20"/>
                <w:szCs w:val="20"/>
              </w:rPr>
            </w:pPr>
            <w:r w:rsidRPr="00467F9C">
              <w:rPr>
                <w:bCs/>
                <w:sz w:val="20"/>
                <w:szCs w:val="20"/>
              </w:rPr>
              <w:t>21 701,9</w:t>
            </w:r>
          </w:p>
        </w:tc>
        <w:tc>
          <w:tcPr>
            <w:tcW w:w="1264" w:type="dxa"/>
          </w:tcPr>
          <w:p w:rsidR="005E541F" w:rsidRPr="00467F9C" w:rsidRDefault="005E541F" w:rsidP="00191861">
            <w:pPr>
              <w:jc w:val="center"/>
              <w:rPr>
                <w:bCs/>
                <w:sz w:val="20"/>
                <w:szCs w:val="20"/>
              </w:rPr>
            </w:pPr>
            <w:r w:rsidRPr="00467F9C">
              <w:rPr>
                <w:bCs/>
                <w:sz w:val="20"/>
                <w:szCs w:val="20"/>
              </w:rPr>
              <w:t>1,1</w:t>
            </w:r>
          </w:p>
        </w:tc>
      </w:tr>
      <w:tr w:rsidR="005E541F" w:rsidRPr="00467F9C" w:rsidTr="007569A1">
        <w:tc>
          <w:tcPr>
            <w:tcW w:w="4815" w:type="dxa"/>
          </w:tcPr>
          <w:p w:rsidR="005E541F" w:rsidRPr="00467F9C" w:rsidRDefault="005E541F" w:rsidP="007569A1">
            <w:pPr>
              <w:rPr>
                <w:bCs/>
                <w:sz w:val="20"/>
                <w:szCs w:val="20"/>
              </w:rPr>
            </w:pPr>
            <w:proofErr w:type="spellStart"/>
            <w:r w:rsidRPr="00467F9C">
              <w:rPr>
                <w:bCs/>
                <w:sz w:val="20"/>
                <w:szCs w:val="20"/>
              </w:rPr>
              <w:t>Подушевой</w:t>
            </w:r>
            <w:proofErr w:type="spellEnd"/>
            <w:r w:rsidRPr="00467F9C">
              <w:rPr>
                <w:bCs/>
                <w:sz w:val="20"/>
                <w:szCs w:val="20"/>
              </w:rPr>
              <w:t xml:space="preserve"> норматив финансирования, установленный в РФ (рублей)</w:t>
            </w:r>
          </w:p>
        </w:tc>
        <w:tc>
          <w:tcPr>
            <w:tcW w:w="1270" w:type="dxa"/>
            <w:vAlign w:val="center"/>
          </w:tcPr>
          <w:p w:rsidR="005E541F" w:rsidRPr="00467F9C" w:rsidRDefault="005E541F" w:rsidP="00191861">
            <w:pPr>
              <w:jc w:val="center"/>
              <w:rPr>
                <w:bCs/>
                <w:sz w:val="20"/>
                <w:szCs w:val="20"/>
              </w:rPr>
            </w:pPr>
            <w:r w:rsidRPr="00467F9C">
              <w:rPr>
                <w:bCs/>
                <w:sz w:val="20"/>
                <w:szCs w:val="20"/>
              </w:rPr>
              <w:t>12 699,2</w:t>
            </w:r>
          </w:p>
        </w:tc>
        <w:tc>
          <w:tcPr>
            <w:tcW w:w="1270" w:type="dxa"/>
            <w:vAlign w:val="center"/>
          </w:tcPr>
          <w:p w:rsidR="005E541F" w:rsidRPr="00467F9C" w:rsidRDefault="005E541F" w:rsidP="00191861">
            <w:pPr>
              <w:jc w:val="center"/>
              <w:rPr>
                <w:bCs/>
                <w:sz w:val="20"/>
                <w:szCs w:val="20"/>
              </w:rPr>
            </w:pPr>
            <w:r w:rsidRPr="00467F9C">
              <w:rPr>
                <w:bCs/>
                <w:sz w:val="20"/>
                <w:szCs w:val="20"/>
              </w:rPr>
              <w:t>13 078,6</w:t>
            </w:r>
          </w:p>
        </w:tc>
        <w:tc>
          <w:tcPr>
            <w:tcW w:w="1321" w:type="dxa"/>
            <w:vAlign w:val="center"/>
          </w:tcPr>
          <w:p w:rsidR="005E541F" w:rsidRPr="00467F9C" w:rsidRDefault="005E541F" w:rsidP="00191861">
            <w:pPr>
              <w:jc w:val="center"/>
              <w:rPr>
                <w:bCs/>
                <w:sz w:val="20"/>
                <w:szCs w:val="20"/>
              </w:rPr>
            </w:pPr>
            <w:r w:rsidRPr="00467F9C">
              <w:rPr>
                <w:bCs/>
                <w:sz w:val="20"/>
                <w:szCs w:val="20"/>
              </w:rPr>
              <w:t>379,4</w:t>
            </w:r>
          </w:p>
        </w:tc>
        <w:tc>
          <w:tcPr>
            <w:tcW w:w="1264" w:type="dxa"/>
            <w:vAlign w:val="center"/>
          </w:tcPr>
          <w:p w:rsidR="005E541F" w:rsidRPr="00467F9C" w:rsidRDefault="005E541F" w:rsidP="00191861">
            <w:pPr>
              <w:jc w:val="center"/>
              <w:rPr>
                <w:bCs/>
                <w:sz w:val="20"/>
                <w:szCs w:val="20"/>
              </w:rPr>
            </w:pPr>
            <w:r w:rsidRPr="00467F9C">
              <w:rPr>
                <w:bCs/>
                <w:sz w:val="20"/>
                <w:szCs w:val="20"/>
              </w:rPr>
              <w:t>3,0</w:t>
            </w:r>
          </w:p>
        </w:tc>
      </w:tr>
      <w:tr w:rsidR="005E541F" w:rsidRPr="00467F9C" w:rsidTr="007569A1">
        <w:tc>
          <w:tcPr>
            <w:tcW w:w="4815" w:type="dxa"/>
          </w:tcPr>
          <w:p w:rsidR="005E541F" w:rsidRPr="00467F9C" w:rsidRDefault="005E541F" w:rsidP="007569A1">
            <w:pPr>
              <w:rPr>
                <w:bCs/>
                <w:sz w:val="20"/>
                <w:szCs w:val="20"/>
              </w:rPr>
            </w:pPr>
            <w:r w:rsidRPr="00467F9C">
              <w:rPr>
                <w:bCs/>
                <w:sz w:val="20"/>
                <w:szCs w:val="20"/>
              </w:rPr>
              <w:t>Коэффициент дифференциации</w:t>
            </w:r>
          </w:p>
        </w:tc>
        <w:tc>
          <w:tcPr>
            <w:tcW w:w="1270" w:type="dxa"/>
          </w:tcPr>
          <w:p w:rsidR="005E541F" w:rsidRPr="00467F9C" w:rsidRDefault="005E541F" w:rsidP="00191861">
            <w:pPr>
              <w:jc w:val="center"/>
              <w:rPr>
                <w:bCs/>
                <w:sz w:val="20"/>
                <w:szCs w:val="20"/>
              </w:rPr>
            </w:pPr>
            <w:r w:rsidRPr="00467F9C">
              <w:rPr>
                <w:bCs/>
                <w:sz w:val="20"/>
                <w:szCs w:val="20"/>
              </w:rPr>
              <w:t>3,45</w:t>
            </w:r>
          </w:p>
        </w:tc>
        <w:tc>
          <w:tcPr>
            <w:tcW w:w="1270" w:type="dxa"/>
          </w:tcPr>
          <w:p w:rsidR="005E541F" w:rsidRPr="00467F9C" w:rsidRDefault="005E541F" w:rsidP="00191861">
            <w:pPr>
              <w:jc w:val="center"/>
              <w:rPr>
                <w:bCs/>
                <w:sz w:val="20"/>
                <w:szCs w:val="20"/>
              </w:rPr>
            </w:pPr>
            <w:r w:rsidRPr="00467F9C">
              <w:rPr>
                <w:bCs/>
                <w:sz w:val="20"/>
                <w:szCs w:val="20"/>
              </w:rPr>
              <w:t>3,45</w:t>
            </w:r>
          </w:p>
        </w:tc>
        <w:tc>
          <w:tcPr>
            <w:tcW w:w="1321" w:type="dxa"/>
          </w:tcPr>
          <w:p w:rsidR="005E541F" w:rsidRPr="00467F9C" w:rsidRDefault="005E541F" w:rsidP="00191861">
            <w:pPr>
              <w:jc w:val="center"/>
              <w:rPr>
                <w:bCs/>
                <w:sz w:val="20"/>
                <w:szCs w:val="20"/>
              </w:rPr>
            </w:pPr>
            <w:r w:rsidRPr="00467F9C">
              <w:rPr>
                <w:bCs/>
                <w:sz w:val="20"/>
                <w:szCs w:val="20"/>
              </w:rPr>
              <w:t>0,0</w:t>
            </w:r>
          </w:p>
        </w:tc>
        <w:tc>
          <w:tcPr>
            <w:tcW w:w="1264" w:type="dxa"/>
          </w:tcPr>
          <w:p w:rsidR="005E541F" w:rsidRPr="00467F9C" w:rsidRDefault="005E541F" w:rsidP="00191861">
            <w:pPr>
              <w:jc w:val="center"/>
              <w:rPr>
                <w:bCs/>
                <w:sz w:val="20"/>
                <w:szCs w:val="20"/>
              </w:rPr>
            </w:pPr>
            <w:r w:rsidRPr="00467F9C">
              <w:rPr>
                <w:bCs/>
                <w:sz w:val="20"/>
                <w:szCs w:val="20"/>
              </w:rPr>
              <w:t>0,0</w:t>
            </w:r>
          </w:p>
        </w:tc>
      </w:tr>
      <w:tr w:rsidR="005E541F" w:rsidRPr="00467F9C" w:rsidTr="007569A1">
        <w:tc>
          <w:tcPr>
            <w:tcW w:w="4815" w:type="dxa"/>
          </w:tcPr>
          <w:p w:rsidR="005E541F" w:rsidRPr="00467F9C" w:rsidRDefault="005E541F" w:rsidP="007569A1">
            <w:pPr>
              <w:rPr>
                <w:bCs/>
                <w:sz w:val="20"/>
                <w:szCs w:val="20"/>
              </w:rPr>
            </w:pPr>
            <w:proofErr w:type="spellStart"/>
            <w:r w:rsidRPr="00467F9C">
              <w:rPr>
                <w:bCs/>
                <w:sz w:val="20"/>
                <w:szCs w:val="20"/>
              </w:rPr>
              <w:t>Подушевой</w:t>
            </w:r>
            <w:proofErr w:type="spellEnd"/>
            <w:r w:rsidRPr="00467F9C">
              <w:rPr>
                <w:bCs/>
                <w:sz w:val="20"/>
                <w:szCs w:val="20"/>
              </w:rPr>
              <w:t xml:space="preserve"> норматив с учетом дифференциации (рублей)</w:t>
            </w:r>
          </w:p>
        </w:tc>
        <w:tc>
          <w:tcPr>
            <w:tcW w:w="1270" w:type="dxa"/>
            <w:vAlign w:val="center"/>
          </w:tcPr>
          <w:p w:rsidR="005E541F" w:rsidRPr="00467F9C" w:rsidRDefault="005E541F" w:rsidP="00191861">
            <w:pPr>
              <w:jc w:val="center"/>
              <w:rPr>
                <w:bCs/>
                <w:sz w:val="20"/>
                <w:szCs w:val="20"/>
              </w:rPr>
            </w:pPr>
            <w:r w:rsidRPr="00467F9C">
              <w:rPr>
                <w:bCs/>
                <w:sz w:val="20"/>
                <w:szCs w:val="20"/>
              </w:rPr>
              <w:t>43 812,24</w:t>
            </w:r>
          </w:p>
        </w:tc>
        <w:tc>
          <w:tcPr>
            <w:tcW w:w="1270" w:type="dxa"/>
            <w:vAlign w:val="center"/>
          </w:tcPr>
          <w:p w:rsidR="005E541F" w:rsidRPr="00467F9C" w:rsidRDefault="005E541F" w:rsidP="00191861">
            <w:pPr>
              <w:jc w:val="center"/>
              <w:rPr>
                <w:bCs/>
                <w:sz w:val="20"/>
                <w:szCs w:val="20"/>
              </w:rPr>
            </w:pPr>
            <w:r w:rsidRPr="00467F9C">
              <w:rPr>
                <w:bCs/>
                <w:sz w:val="20"/>
                <w:szCs w:val="20"/>
              </w:rPr>
              <w:t>45 121,17</w:t>
            </w:r>
          </w:p>
        </w:tc>
        <w:tc>
          <w:tcPr>
            <w:tcW w:w="1321" w:type="dxa"/>
            <w:vAlign w:val="center"/>
          </w:tcPr>
          <w:p w:rsidR="005E541F" w:rsidRPr="00467F9C" w:rsidRDefault="005E541F" w:rsidP="00191861">
            <w:pPr>
              <w:jc w:val="center"/>
              <w:rPr>
                <w:bCs/>
                <w:sz w:val="20"/>
                <w:szCs w:val="20"/>
              </w:rPr>
            </w:pPr>
            <w:r w:rsidRPr="00467F9C">
              <w:rPr>
                <w:bCs/>
                <w:sz w:val="20"/>
                <w:szCs w:val="20"/>
              </w:rPr>
              <w:t>1 308,9</w:t>
            </w:r>
          </w:p>
        </w:tc>
        <w:tc>
          <w:tcPr>
            <w:tcW w:w="1264" w:type="dxa"/>
            <w:vAlign w:val="center"/>
          </w:tcPr>
          <w:p w:rsidR="005E541F" w:rsidRPr="00467F9C" w:rsidRDefault="005E541F" w:rsidP="00191861">
            <w:pPr>
              <w:jc w:val="center"/>
              <w:rPr>
                <w:bCs/>
                <w:sz w:val="20"/>
                <w:szCs w:val="20"/>
              </w:rPr>
            </w:pPr>
            <w:r w:rsidRPr="00467F9C">
              <w:rPr>
                <w:bCs/>
                <w:sz w:val="20"/>
                <w:szCs w:val="20"/>
              </w:rPr>
              <w:t>3,0</w:t>
            </w:r>
          </w:p>
        </w:tc>
      </w:tr>
      <w:tr w:rsidR="005E541F" w:rsidRPr="00467F9C" w:rsidTr="007569A1">
        <w:tc>
          <w:tcPr>
            <w:tcW w:w="4815" w:type="dxa"/>
          </w:tcPr>
          <w:p w:rsidR="005E541F" w:rsidRPr="00467F9C" w:rsidRDefault="005E541F" w:rsidP="00191861">
            <w:pPr>
              <w:jc w:val="both"/>
              <w:rPr>
                <w:bCs/>
                <w:sz w:val="20"/>
                <w:szCs w:val="20"/>
              </w:rPr>
            </w:pPr>
            <w:r w:rsidRPr="00467F9C">
              <w:rPr>
                <w:bCs/>
                <w:sz w:val="20"/>
                <w:szCs w:val="20"/>
              </w:rPr>
              <w:t>Численность застрахованных лиц (человек)</w:t>
            </w:r>
          </w:p>
        </w:tc>
        <w:tc>
          <w:tcPr>
            <w:tcW w:w="1270" w:type="dxa"/>
          </w:tcPr>
          <w:p w:rsidR="005E541F" w:rsidRPr="00467F9C" w:rsidRDefault="005E541F" w:rsidP="00191861">
            <w:pPr>
              <w:jc w:val="center"/>
              <w:rPr>
                <w:bCs/>
                <w:sz w:val="20"/>
                <w:szCs w:val="20"/>
              </w:rPr>
            </w:pPr>
            <w:r w:rsidRPr="00467F9C">
              <w:rPr>
                <w:bCs/>
                <w:sz w:val="20"/>
                <w:szCs w:val="20"/>
              </w:rPr>
              <w:t>46 984</w:t>
            </w:r>
          </w:p>
        </w:tc>
        <w:tc>
          <w:tcPr>
            <w:tcW w:w="1270" w:type="dxa"/>
          </w:tcPr>
          <w:p w:rsidR="005E541F" w:rsidRPr="00467F9C" w:rsidRDefault="005E541F" w:rsidP="00191861">
            <w:pPr>
              <w:jc w:val="center"/>
              <w:rPr>
                <w:bCs/>
                <w:sz w:val="20"/>
                <w:szCs w:val="20"/>
              </w:rPr>
            </w:pPr>
            <w:r w:rsidRPr="00467F9C">
              <w:rPr>
                <w:bCs/>
                <w:sz w:val="20"/>
                <w:szCs w:val="20"/>
              </w:rPr>
              <w:t>46 102</w:t>
            </w:r>
          </w:p>
        </w:tc>
        <w:tc>
          <w:tcPr>
            <w:tcW w:w="1321" w:type="dxa"/>
          </w:tcPr>
          <w:p w:rsidR="005E541F" w:rsidRPr="00467F9C" w:rsidRDefault="005E541F" w:rsidP="00191861">
            <w:pPr>
              <w:jc w:val="center"/>
              <w:rPr>
                <w:bCs/>
                <w:sz w:val="20"/>
                <w:szCs w:val="20"/>
              </w:rPr>
            </w:pPr>
            <w:r w:rsidRPr="00467F9C">
              <w:rPr>
                <w:bCs/>
                <w:sz w:val="20"/>
                <w:szCs w:val="20"/>
              </w:rPr>
              <w:t>- 882</w:t>
            </w:r>
          </w:p>
        </w:tc>
        <w:tc>
          <w:tcPr>
            <w:tcW w:w="1264" w:type="dxa"/>
          </w:tcPr>
          <w:p w:rsidR="005E541F" w:rsidRPr="00467F9C" w:rsidRDefault="005E541F" w:rsidP="00191861">
            <w:pPr>
              <w:jc w:val="center"/>
              <w:rPr>
                <w:bCs/>
                <w:sz w:val="20"/>
                <w:szCs w:val="20"/>
              </w:rPr>
            </w:pPr>
            <w:r w:rsidRPr="00467F9C">
              <w:rPr>
                <w:bCs/>
                <w:sz w:val="20"/>
                <w:szCs w:val="20"/>
              </w:rPr>
              <w:t>- 1,9</w:t>
            </w:r>
          </w:p>
        </w:tc>
      </w:tr>
    </w:tbl>
    <w:p w:rsidR="005E541F" w:rsidRPr="00467F9C" w:rsidRDefault="005E541F" w:rsidP="00191861">
      <w:pPr>
        <w:ind w:firstLine="708"/>
        <w:jc w:val="both"/>
        <w:outlineLvl w:val="0"/>
        <w:rPr>
          <w:sz w:val="28"/>
          <w:szCs w:val="28"/>
        </w:rPr>
      </w:pPr>
    </w:p>
    <w:p w:rsidR="005E541F" w:rsidRPr="00467F9C" w:rsidRDefault="005E541F" w:rsidP="00191861">
      <w:pPr>
        <w:ind w:firstLine="708"/>
        <w:jc w:val="both"/>
        <w:outlineLvl w:val="0"/>
        <w:rPr>
          <w:sz w:val="28"/>
          <w:szCs w:val="28"/>
        </w:rPr>
      </w:pPr>
      <w:r w:rsidRPr="00467F9C">
        <w:rPr>
          <w:sz w:val="28"/>
          <w:szCs w:val="28"/>
        </w:rPr>
        <w:t xml:space="preserve">В объем поступившей субвенции из ФФ ОМС </w:t>
      </w:r>
      <w:proofErr w:type="gramStart"/>
      <w:r w:rsidRPr="00467F9C">
        <w:rPr>
          <w:sz w:val="28"/>
          <w:szCs w:val="28"/>
        </w:rPr>
        <w:t>включены  страховые</w:t>
      </w:r>
      <w:proofErr w:type="gramEnd"/>
      <w:r w:rsidRPr="00467F9C">
        <w:rPr>
          <w:sz w:val="28"/>
          <w:szCs w:val="28"/>
        </w:rPr>
        <w:t xml:space="preserve"> взносы на ОМС неработающего населения Чукотского автономного округа. </w:t>
      </w:r>
    </w:p>
    <w:p w:rsidR="005E541F" w:rsidRPr="00467F9C" w:rsidRDefault="005E541F" w:rsidP="00191861">
      <w:pPr>
        <w:ind w:firstLine="708"/>
        <w:jc w:val="both"/>
        <w:outlineLvl w:val="0"/>
        <w:rPr>
          <w:sz w:val="28"/>
          <w:szCs w:val="28"/>
        </w:rPr>
      </w:pPr>
      <w:r w:rsidRPr="00467F9C">
        <w:rPr>
          <w:sz w:val="28"/>
          <w:szCs w:val="28"/>
        </w:rPr>
        <w:t xml:space="preserve">Средства на ОМС неработающего населения округа в 2021 году предусмотрены по мероприятию «Страховые взносы на обязательное медицинское страхование неработающего населения» подпрограммы «Финансовое обеспечение оказания гарантированной медицинской помощи населению Чукотского автономного округа» Государственной программы «Развитие здравоохранения Чукотского автономного округа» в сумме                    452 798,8 тыс. рублей. Расходные обязательства окружного бюджета по финансированию ОМС неработающего населения округа исполнены в полном объеме, в соответствии с Федеральным законом №326-ФЗ, для обеспечения </w:t>
      </w:r>
      <w:proofErr w:type="gramStart"/>
      <w:r w:rsidRPr="00467F9C">
        <w:rPr>
          <w:sz w:val="28"/>
          <w:szCs w:val="28"/>
        </w:rPr>
        <w:t xml:space="preserve">реализации  </w:t>
      </w:r>
      <w:proofErr w:type="spellStart"/>
      <w:r w:rsidRPr="00467F9C">
        <w:rPr>
          <w:sz w:val="28"/>
          <w:szCs w:val="28"/>
        </w:rPr>
        <w:t>Терпрограммы</w:t>
      </w:r>
      <w:proofErr w:type="spellEnd"/>
      <w:proofErr w:type="gramEnd"/>
      <w:r w:rsidRPr="00467F9C">
        <w:rPr>
          <w:sz w:val="28"/>
          <w:szCs w:val="28"/>
        </w:rPr>
        <w:t xml:space="preserve"> ОМС в 2021 году, в бюджет ФФ ОМС направлены средства в объеме 452 798,8 тыс. рублей.</w:t>
      </w:r>
    </w:p>
    <w:p w:rsidR="005E541F" w:rsidRPr="00467F9C" w:rsidRDefault="005E541F" w:rsidP="00191861">
      <w:pPr>
        <w:ind w:firstLine="708"/>
        <w:jc w:val="both"/>
        <w:outlineLvl w:val="0"/>
        <w:rPr>
          <w:sz w:val="28"/>
          <w:szCs w:val="28"/>
        </w:rPr>
      </w:pPr>
      <w:r w:rsidRPr="00467F9C">
        <w:rPr>
          <w:sz w:val="28"/>
          <w:szCs w:val="28"/>
        </w:rPr>
        <w:t xml:space="preserve">Средства на ОМС неработающего населения округа предусмотрены в окружном </w:t>
      </w:r>
      <w:proofErr w:type="spellStart"/>
      <w:r w:rsidRPr="00467F9C">
        <w:rPr>
          <w:sz w:val="28"/>
          <w:szCs w:val="28"/>
        </w:rPr>
        <w:t>бюждете</w:t>
      </w:r>
      <w:proofErr w:type="spellEnd"/>
      <w:r w:rsidRPr="00467F9C">
        <w:rPr>
          <w:sz w:val="28"/>
          <w:szCs w:val="28"/>
        </w:rPr>
        <w:t xml:space="preserve"> на 2021 год в сумме 452 798,8 тыс. рублей. </w:t>
      </w:r>
    </w:p>
    <w:p w:rsidR="005E541F" w:rsidRPr="00467F9C" w:rsidRDefault="005E541F" w:rsidP="00191861">
      <w:pPr>
        <w:ind w:firstLine="708"/>
        <w:jc w:val="both"/>
        <w:rPr>
          <w:sz w:val="28"/>
          <w:szCs w:val="28"/>
        </w:rPr>
      </w:pPr>
      <w:r w:rsidRPr="00467F9C">
        <w:rPr>
          <w:b/>
          <w:i/>
          <w:sz w:val="28"/>
          <w:szCs w:val="28"/>
        </w:rPr>
        <w:t xml:space="preserve">Межбюджетные трансферты на дополнительное финансовое обеспечение оказания медицинской помощи лицам, застрахованным по ОМС, в том числе с заболеванием и (или) подозрением на заболевание новой </w:t>
      </w:r>
      <w:proofErr w:type="spellStart"/>
      <w:r w:rsidRPr="00467F9C">
        <w:rPr>
          <w:b/>
          <w:i/>
          <w:sz w:val="28"/>
          <w:szCs w:val="28"/>
        </w:rPr>
        <w:t>коронавирусной</w:t>
      </w:r>
      <w:proofErr w:type="spellEnd"/>
      <w:r w:rsidRPr="00467F9C">
        <w:rPr>
          <w:b/>
          <w:i/>
          <w:sz w:val="28"/>
          <w:szCs w:val="28"/>
        </w:rPr>
        <w:t xml:space="preserve"> инфекцией, в рамках реализации </w:t>
      </w:r>
      <w:proofErr w:type="spellStart"/>
      <w:r w:rsidRPr="00467F9C">
        <w:rPr>
          <w:b/>
          <w:i/>
          <w:sz w:val="28"/>
          <w:szCs w:val="28"/>
        </w:rPr>
        <w:t>Терпрограммы</w:t>
      </w:r>
      <w:proofErr w:type="spellEnd"/>
      <w:r w:rsidRPr="00467F9C">
        <w:rPr>
          <w:b/>
          <w:i/>
          <w:sz w:val="28"/>
          <w:szCs w:val="28"/>
        </w:rPr>
        <w:t xml:space="preserve"> ОМС </w:t>
      </w:r>
      <w:r w:rsidRPr="00467F9C">
        <w:rPr>
          <w:sz w:val="28"/>
          <w:szCs w:val="28"/>
        </w:rPr>
        <w:t>в объеме 13 583,8 тыс. рублей (100% от годовых бюджетных назначений).</w:t>
      </w:r>
    </w:p>
    <w:p w:rsidR="005E541F" w:rsidRPr="007569A1" w:rsidRDefault="005E541F" w:rsidP="00191861">
      <w:pPr>
        <w:pStyle w:val="af8"/>
        <w:ind w:firstLine="709"/>
        <w:jc w:val="both"/>
        <w:rPr>
          <w:b/>
          <w:i/>
          <w:sz w:val="6"/>
          <w:szCs w:val="6"/>
        </w:rPr>
      </w:pPr>
    </w:p>
    <w:p w:rsidR="005E541F" w:rsidRPr="00467F9C" w:rsidRDefault="005E541F" w:rsidP="00191861">
      <w:pPr>
        <w:pStyle w:val="af8"/>
        <w:ind w:firstLine="709"/>
        <w:jc w:val="both"/>
        <w:rPr>
          <w:sz w:val="28"/>
          <w:szCs w:val="28"/>
        </w:rPr>
      </w:pPr>
      <w:r w:rsidRPr="00467F9C">
        <w:rPr>
          <w:b/>
          <w:i/>
          <w:sz w:val="28"/>
          <w:szCs w:val="28"/>
        </w:rPr>
        <w:t xml:space="preserve">Межбюджетные трансферты на финансовое обеспечение </w:t>
      </w:r>
      <w:proofErr w:type="gramStart"/>
      <w:r w:rsidRPr="00467F9C">
        <w:rPr>
          <w:b/>
          <w:i/>
          <w:sz w:val="28"/>
          <w:szCs w:val="28"/>
        </w:rPr>
        <w:t xml:space="preserve">формирования </w:t>
      </w:r>
      <w:r w:rsidRPr="00467F9C">
        <w:rPr>
          <w:sz w:val="28"/>
          <w:szCs w:val="28"/>
        </w:rPr>
        <w:t> </w:t>
      </w:r>
      <w:r w:rsidRPr="00467F9C">
        <w:rPr>
          <w:b/>
          <w:i/>
          <w:sz w:val="28"/>
          <w:szCs w:val="28"/>
        </w:rPr>
        <w:t>НСЗ</w:t>
      </w:r>
      <w:proofErr w:type="gramEnd"/>
      <w:r w:rsidRPr="00467F9C">
        <w:rPr>
          <w:sz w:val="28"/>
          <w:szCs w:val="28"/>
        </w:rPr>
        <w:t xml:space="preserve"> для </w:t>
      </w:r>
      <w:proofErr w:type="spellStart"/>
      <w:r w:rsidRPr="00467F9C">
        <w:rPr>
          <w:sz w:val="28"/>
          <w:szCs w:val="28"/>
        </w:rPr>
        <w:t>софинансирования</w:t>
      </w:r>
      <w:proofErr w:type="spellEnd"/>
      <w:r w:rsidRPr="00467F9C">
        <w:rPr>
          <w:sz w:val="28"/>
          <w:szCs w:val="28"/>
        </w:rPr>
        <w:t xml:space="preserve"> расходов медицинских организаций на оплату труда врачей и среднего медицинского персонала поступили в объеме 50 944,6 тыс. рублей (100% от годовых бюджетных назначений). </w:t>
      </w:r>
    </w:p>
    <w:p w:rsidR="005E541F" w:rsidRPr="00467F9C" w:rsidRDefault="005E541F" w:rsidP="00191861">
      <w:pPr>
        <w:pStyle w:val="af8"/>
        <w:ind w:firstLine="709"/>
        <w:jc w:val="both"/>
        <w:rPr>
          <w:sz w:val="28"/>
          <w:szCs w:val="28"/>
        </w:rPr>
      </w:pPr>
      <w:r w:rsidRPr="00467F9C">
        <w:rPr>
          <w:b/>
          <w:i/>
          <w:sz w:val="28"/>
          <w:szCs w:val="28"/>
        </w:rPr>
        <w:t>Межбюджетные трансферты на финансовое обеспечение осуществления денежных выплат   стимулирующего характера</w:t>
      </w:r>
      <w:r w:rsidRPr="00467F9C">
        <w:rPr>
          <w:sz w:val="28"/>
          <w:szCs w:val="28"/>
        </w:rPr>
        <w:t xml:space="preserve"> медицинским работникам за выявление онкологических заболеваний в ходе проведения диспансеризации и профилактических осмотров населения поступили в сумме 331,8 тыс. рублей (50% от годовых бюджетных назначений).</w:t>
      </w:r>
    </w:p>
    <w:p w:rsidR="005E541F" w:rsidRPr="00467F9C" w:rsidRDefault="005E541F" w:rsidP="00191861">
      <w:pPr>
        <w:pStyle w:val="af8"/>
        <w:ind w:firstLine="709"/>
        <w:jc w:val="both"/>
        <w:rPr>
          <w:sz w:val="28"/>
          <w:szCs w:val="28"/>
        </w:rPr>
      </w:pPr>
      <w:r w:rsidRPr="00467F9C">
        <w:rPr>
          <w:sz w:val="28"/>
          <w:szCs w:val="28"/>
        </w:rPr>
        <w:lastRenderedPageBreak/>
        <w:t xml:space="preserve">В 2021 в бюджет Фонда поступали межбюджетные трансферты на финансовое обеспечение расходов, связанных с оказанием медицинской помощи лицам с заболеванием новой </w:t>
      </w:r>
      <w:proofErr w:type="spellStart"/>
      <w:r w:rsidRPr="00467F9C">
        <w:rPr>
          <w:sz w:val="28"/>
          <w:szCs w:val="28"/>
        </w:rPr>
        <w:t>коронавирусной</w:t>
      </w:r>
      <w:proofErr w:type="spellEnd"/>
      <w:r w:rsidRPr="00467F9C">
        <w:rPr>
          <w:sz w:val="28"/>
          <w:szCs w:val="28"/>
        </w:rPr>
        <w:t xml:space="preserve"> инфекцией (COVID-19)</w:t>
      </w:r>
      <w:r w:rsidRPr="00467F9C">
        <w:rPr>
          <w:rStyle w:val="ab"/>
          <w:sz w:val="28"/>
          <w:szCs w:val="28"/>
        </w:rPr>
        <w:footnoteReference w:id="31"/>
      </w:r>
      <w:r w:rsidRPr="00467F9C">
        <w:rPr>
          <w:sz w:val="28"/>
          <w:szCs w:val="28"/>
        </w:rPr>
        <w:t>:</w:t>
      </w:r>
    </w:p>
    <w:p w:rsidR="005E541F" w:rsidRPr="00467F9C" w:rsidRDefault="005E541F" w:rsidP="00191861">
      <w:pPr>
        <w:pStyle w:val="af8"/>
        <w:ind w:firstLine="709"/>
        <w:jc w:val="both"/>
        <w:rPr>
          <w:sz w:val="28"/>
          <w:szCs w:val="28"/>
        </w:rPr>
      </w:pPr>
      <w:r w:rsidRPr="00467F9C">
        <w:rPr>
          <w:b/>
          <w:i/>
          <w:sz w:val="28"/>
          <w:szCs w:val="28"/>
        </w:rPr>
        <w:t xml:space="preserve">межбюджетные трансферты, на финансовое обеспечение проведения углубленной </w:t>
      </w:r>
      <w:proofErr w:type="gramStart"/>
      <w:r w:rsidRPr="00467F9C">
        <w:rPr>
          <w:b/>
          <w:i/>
          <w:sz w:val="28"/>
          <w:szCs w:val="28"/>
        </w:rPr>
        <w:t>диспансеризации  застрахованным</w:t>
      </w:r>
      <w:proofErr w:type="gramEnd"/>
      <w:r w:rsidRPr="00467F9C">
        <w:rPr>
          <w:b/>
          <w:i/>
          <w:sz w:val="28"/>
          <w:szCs w:val="28"/>
        </w:rPr>
        <w:t xml:space="preserve"> по ОМС лиц, перенесших новую </w:t>
      </w:r>
      <w:proofErr w:type="spellStart"/>
      <w:r w:rsidRPr="00467F9C">
        <w:rPr>
          <w:b/>
          <w:i/>
          <w:sz w:val="28"/>
          <w:szCs w:val="28"/>
        </w:rPr>
        <w:t>коронавирусную</w:t>
      </w:r>
      <w:proofErr w:type="spellEnd"/>
      <w:r w:rsidRPr="00467F9C">
        <w:rPr>
          <w:b/>
          <w:i/>
          <w:sz w:val="28"/>
          <w:szCs w:val="28"/>
        </w:rPr>
        <w:t xml:space="preserve"> инфекцию (COVID-19)</w:t>
      </w:r>
      <w:r w:rsidRPr="00467F9C">
        <w:rPr>
          <w:sz w:val="28"/>
          <w:szCs w:val="28"/>
        </w:rPr>
        <w:t xml:space="preserve"> поступили в сумме                                   208,4 тыс. рублей (14,1% от годовых бюджетных назначений);</w:t>
      </w:r>
    </w:p>
    <w:p w:rsidR="005E541F" w:rsidRPr="00467F9C" w:rsidRDefault="005E541F" w:rsidP="00191861">
      <w:pPr>
        <w:pStyle w:val="af8"/>
        <w:ind w:firstLine="709"/>
        <w:jc w:val="both"/>
        <w:rPr>
          <w:sz w:val="28"/>
          <w:szCs w:val="28"/>
        </w:rPr>
      </w:pPr>
      <w:r w:rsidRPr="00467F9C">
        <w:rPr>
          <w:b/>
          <w:i/>
          <w:sz w:val="28"/>
          <w:szCs w:val="28"/>
        </w:rPr>
        <w:t xml:space="preserve">межбюджетные трансферты на дополнительное финансовое обеспечение оказания медицинской помощи лицам, застрахованным по ОМС, в том числе с заболеванием и (или) подозрением на заболевание новой </w:t>
      </w:r>
      <w:proofErr w:type="spellStart"/>
      <w:r w:rsidRPr="00467F9C">
        <w:rPr>
          <w:b/>
          <w:i/>
          <w:sz w:val="28"/>
          <w:szCs w:val="28"/>
        </w:rPr>
        <w:t>коронавирусной</w:t>
      </w:r>
      <w:proofErr w:type="spellEnd"/>
      <w:r w:rsidRPr="00467F9C">
        <w:rPr>
          <w:b/>
          <w:i/>
          <w:sz w:val="28"/>
          <w:szCs w:val="28"/>
        </w:rPr>
        <w:t xml:space="preserve"> инфекцией (COVID-19), в рамках реализации </w:t>
      </w:r>
      <w:proofErr w:type="spellStart"/>
      <w:r w:rsidRPr="00467F9C">
        <w:rPr>
          <w:b/>
          <w:i/>
          <w:sz w:val="28"/>
          <w:szCs w:val="28"/>
        </w:rPr>
        <w:t>терпрограммы</w:t>
      </w:r>
      <w:proofErr w:type="spellEnd"/>
      <w:r w:rsidRPr="00467F9C">
        <w:rPr>
          <w:b/>
          <w:i/>
          <w:sz w:val="28"/>
          <w:szCs w:val="28"/>
        </w:rPr>
        <w:t xml:space="preserve"> ОМС</w:t>
      </w:r>
      <w:r w:rsidRPr="00467F9C">
        <w:rPr>
          <w:sz w:val="28"/>
          <w:szCs w:val="28"/>
        </w:rPr>
        <w:t xml:space="preserve"> поступили в сумме 59 470,3 тыс. рублей (133,0% от годовых бюджетных назначений).</w:t>
      </w:r>
    </w:p>
    <w:p w:rsidR="005E541F" w:rsidRPr="00467F9C" w:rsidRDefault="005E541F" w:rsidP="00191861">
      <w:pPr>
        <w:pStyle w:val="af8"/>
        <w:ind w:firstLine="709"/>
        <w:jc w:val="both"/>
        <w:rPr>
          <w:sz w:val="28"/>
          <w:szCs w:val="28"/>
        </w:rPr>
      </w:pPr>
      <w:r w:rsidRPr="00467F9C">
        <w:rPr>
          <w:sz w:val="28"/>
          <w:szCs w:val="28"/>
        </w:rPr>
        <w:t xml:space="preserve">Объем </w:t>
      </w:r>
      <w:r w:rsidRPr="00467F9C">
        <w:rPr>
          <w:b/>
          <w:i/>
          <w:sz w:val="28"/>
          <w:szCs w:val="28"/>
        </w:rPr>
        <w:t>поступлений от других территориальных фондов ОМС в порядке межтерриториальных расчетов</w:t>
      </w:r>
      <w:r w:rsidRPr="00467F9C">
        <w:rPr>
          <w:sz w:val="28"/>
          <w:szCs w:val="28"/>
        </w:rPr>
        <w:t xml:space="preserve"> составил 76 860,8 тыс. рублей (61,8% от годовых бюджетных назначений), что в 2,3 раза больше объема указанных трансфертов, поступивших в 2020 году (33 299,1 тыс. рублей).</w:t>
      </w:r>
    </w:p>
    <w:p w:rsidR="005E541F" w:rsidRPr="00467F9C" w:rsidRDefault="005E541F" w:rsidP="00191861">
      <w:pPr>
        <w:pStyle w:val="af8"/>
        <w:ind w:firstLine="709"/>
        <w:jc w:val="both"/>
        <w:rPr>
          <w:sz w:val="28"/>
          <w:szCs w:val="28"/>
        </w:rPr>
      </w:pPr>
      <w:r w:rsidRPr="00467F9C">
        <w:rPr>
          <w:sz w:val="28"/>
          <w:szCs w:val="28"/>
        </w:rPr>
        <w:t>Кроме того, в бюджет Фонда поступили доходы от возврата остатков субсидий, субвенций и иных межбюджетных трансфертов, имеющих целевое назначение, прошлых лет, в общей сумме 147,4 тыс. рублей.</w:t>
      </w:r>
    </w:p>
    <w:p w:rsidR="005E541F" w:rsidRPr="00467F9C" w:rsidRDefault="005E541F" w:rsidP="00191861">
      <w:pPr>
        <w:pStyle w:val="a3"/>
        <w:tabs>
          <w:tab w:val="left" w:pos="720"/>
          <w:tab w:val="left" w:pos="2700"/>
          <w:tab w:val="left" w:pos="3060"/>
        </w:tabs>
        <w:ind w:firstLine="709"/>
        <w:jc w:val="both"/>
      </w:pPr>
      <w:r w:rsidRPr="00467F9C">
        <w:t>Налоговые и неналоговые доходы в структуре доходов бюджета Фонда составили 0,7%, по сравнению с предыдущим годом объем поступлений вырос на 10 096,2 тыс. рублей или 63,1% и составил 26 101,6 тыс. рублей (126,7% от годовых бюджетных назначений), в том числе:</w:t>
      </w:r>
    </w:p>
    <w:p w:rsidR="005E541F" w:rsidRPr="00467F9C" w:rsidRDefault="005E541F" w:rsidP="00191861">
      <w:pPr>
        <w:ind w:firstLine="709"/>
        <w:jc w:val="both"/>
        <w:rPr>
          <w:sz w:val="28"/>
          <w:szCs w:val="28"/>
        </w:rPr>
      </w:pPr>
      <w:r w:rsidRPr="00467F9C">
        <w:rPr>
          <w:sz w:val="28"/>
          <w:szCs w:val="28"/>
        </w:rPr>
        <w:t>- </w:t>
      </w:r>
      <w:r w:rsidRPr="00467F9C">
        <w:rPr>
          <w:b/>
          <w:i/>
          <w:sz w:val="28"/>
          <w:szCs w:val="28"/>
        </w:rPr>
        <w:t>доходы от оказания платных услуг и компенсации затрат государства</w:t>
      </w:r>
      <w:r w:rsidRPr="00467F9C">
        <w:rPr>
          <w:sz w:val="28"/>
          <w:szCs w:val="28"/>
        </w:rPr>
        <w:t xml:space="preserve"> превысили плановые бюджетные назначения по данному виду источников доходов на 4 838,0 тыс. рублей и поступили в бюджет Фонда в объеме </w:t>
      </w:r>
      <w:r w:rsidRPr="00467F9C">
        <w:rPr>
          <w:b/>
          <w:i/>
          <w:sz w:val="28"/>
          <w:szCs w:val="28"/>
        </w:rPr>
        <w:t>21 274,0 тыс. рублей</w:t>
      </w:r>
      <w:r w:rsidRPr="00467F9C">
        <w:rPr>
          <w:sz w:val="28"/>
          <w:szCs w:val="28"/>
        </w:rPr>
        <w:t>, из них:</w:t>
      </w:r>
    </w:p>
    <w:p w:rsidR="005E541F" w:rsidRPr="00467F9C" w:rsidRDefault="005E541F" w:rsidP="00191861">
      <w:pPr>
        <w:ind w:firstLine="709"/>
        <w:jc w:val="both"/>
        <w:rPr>
          <w:sz w:val="28"/>
          <w:szCs w:val="28"/>
        </w:rPr>
      </w:pPr>
      <w:r w:rsidRPr="00467F9C">
        <w:rPr>
          <w:sz w:val="28"/>
          <w:szCs w:val="28"/>
        </w:rPr>
        <w:t xml:space="preserve">99,1 тыс. рублей – по актам </w:t>
      </w:r>
      <w:proofErr w:type="spellStart"/>
      <w:r w:rsidRPr="00467F9C">
        <w:rPr>
          <w:sz w:val="28"/>
          <w:szCs w:val="28"/>
        </w:rPr>
        <w:t>реэкспертизы</w:t>
      </w:r>
      <w:proofErr w:type="spellEnd"/>
      <w:r w:rsidRPr="00467F9C">
        <w:rPr>
          <w:sz w:val="28"/>
          <w:szCs w:val="28"/>
        </w:rPr>
        <w:t xml:space="preserve"> в ходе проведения Фондом повторной экспертизы качества медицинской помощи. В 2021 году Фондом проведено </w:t>
      </w:r>
      <w:proofErr w:type="gramStart"/>
      <w:r w:rsidRPr="00467F9C">
        <w:rPr>
          <w:sz w:val="28"/>
          <w:szCs w:val="28"/>
        </w:rPr>
        <w:t xml:space="preserve">232  </w:t>
      </w:r>
      <w:proofErr w:type="spellStart"/>
      <w:r w:rsidRPr="00467F9C">
        <w:rPr>
          <w:sz w:val="28"/>
          <w:szCs w:val="28"/>
        </w:rPr>
        <w:t>реэкспертизы</w:t>
      </w:r>
      <w:proofErr w:type="spellEnd"/>
      <w:proofErr w:type="gramEnd"/>
      <w:r w:rsidRPr="00467F9C">
        <w:rPr>
          <w:sz w:val="28"/>
          <w:szCs w:val="28"/>
        </w:rPr>
        <w:t xml:space="preserve">; </w:t>
      </w:r>
    </w:p>
    <w:p w:rsidR="005E541F" w:rsidRPr="00467F9C" w:rsidRDefault="005E541F" w:rsidP="00191861">
      <w:pPr>
        <w:ind w:firstLine="709"/>
        <w:jc w:val="both"/>
        <w:rPr>
          <w:sz w:val="28"/>
          <w:szCs w:val="28"/>
        </w:rPr>
      </w:pPr>
      <w:r w:rsidRPr="00467F9C">
        <w:rPr>
          <w:sz w:val="28"/>
          <w:szCs w:val="28"/>
        </w:rPr>
        <w:t>20 866,7 тыс. рублей – средства от СМО и медицинских организаций, полученные при проведении экспертиз качества медицинской помощи (средства НСЗ);</w:t>
      </w:r>
    </w:p>
    <w:p w:rsidR="005E541F" w:rsidRPr="00467F9C" w:rsidRDefault="005E541F" w:rsidP="00191861">
      <w:pPr>
        <w:ind w:firstLine="709"/>
        <w:jc w:val="both"/>
        <w:rPr>
          <w:sz w:val="28"/>
          <w:szCs w:val="28"/>
        </w:rPr>
      </w:pPr>
      <w:r w:rsidRPr="00467F9C">
        <w:rPr>
          <w:sz w:val="28"/>
          <w:szCs w:val="28"/>
        </w:rPr>
        <w:t>308,3 тыс. рублей – возврат дебиторской задолженности прошлых лет;</w:t>
      </w:r>
    </w:p>
    <w:p w:rsidR="005E541F" w:rsidRPr="00467F9C" w:rsidRDefault="005E541F" w:rsidP="00191861">
      <w:pPr>
        <w:ind w:firstLine="709"/>
        <w:jc w:val="both"/>
        <w:rPr>
          <w:bCs/>
          <w:sz w:val="28"/>
          <w:szCs w:val="28"/>
        </w:rPr>
      </w:pPr>
      <w:r w:rsidRPr="00467F9C">
        <w:rPr>
          <w:sz w:val="28"/>
          <w:szCs w:val="28"/>
        </w:rPr>
        <w:t xml:space="preserve">- </w:t>
      </w:r>
      <w:r w:rsidRPr="00467F9C">
        <w:rPr>
          <w:b/>
          <w:i/>
          <w:sz w:val="28"/>
          <w:szCs w:val="28"/>
        </w:rPr>
        <w:t>доходы от штрафов, санкций, возмещения ущерба</w:t>
      </w:r>
      <w:r w:rsidRPr="00467F9C">
        <w:rPr>
          <w:sz w:val="28"/>
          <w:szCs w:val="28"/>
        </w:rPr>
        <w:t xml:space="preserve"> поступили в бюджет Фонда в объеме </w:t>
      </w:r>
      <w:r w:rsidRPr="00467F9C">
        <w:rPr>
          <w:b/>
          <w:i/>
          <w:sz w:val="28"/>
          <w:szCs w:val="28"/>
        </w:rPr>
        <w:t>4 827,5</w:t>
      </w:r>
      <w:r w:rsidRPr="00467F9C">
        <w:rPr>
          <w:b/>
          <w:i/>
          <w:sz w:val="18"/>
          <w:szCs w:val="18"/>
        </w:rPr>
        <w:t xml:space="preserve"> </w:t>
      </w:r>
      <w:r w:rsidRPr="00467F9C">
        <w:rPr>
          <w:b/>
          <w:i/>
          <w:sz w:val="28"/>
          <w:szCs w:val="28"/>
        </w:rPr>
        <w:t>тыс. рублей</w:t>
      </w:r>
      <w:r w:rsidRPr="00467F9C">
        <w:rPr>
          <w:sz w:val="28"/>
          <w:szCs w:val="28"/>
        </w:rPr>
        <w:t>, из них средства в сумме 276,7</w:t>
      </w:r>
      <w:r w:rsidRPr="00467F9C">
        <w:rPr>
          <w:bCs/>
          <w:sz w:val="28"/>
          <w:szCs w:val="28"/>
        </w:rPr>
        <w:t xml:space="preserve"> тыс. рублей, как использованные медицинскими организациями не по целевому назначению. </w:t>
      </w:r>
    </w:p>
    <w:p w:rsidR="005E541F" w:rsidRDefault="005E541F" w:rsidP="00191861">
      <w:pPr>
        <w:autoSpaceDE w:val="0"/>
        <w:autoSpaceDN w:val="0"/>
        <w:adjustRightInd w:val="0"/>
        <w:ind w:firstLine="708"/>
        <w:jc w:val="both"/>
        <w:rPr>
          <w:sz w:val="28"/>
          <w:szCs w:val="28"/>
        </w:rPr>
      </w:pPr>
      <w:r w:rsidRPr="00467F9C">
        <w:rPr>
          <w:sz w:val="28"/>
          <w:szCs w:val="28"/>
        </w:rPr>
        <w:t>В 2021 году Фондом, в соответствии со статьей 242 Бюджетного кодекса, возвращены в доход соответствующих бюджетов остатки субсидий, субвенций и иных межбюджетных трансфертов, имеющих целевое назначение, прошлых лет, в общем объеме 19 712,3 тыс. рублей.</w:t>
      </w:r>
    </w:p>
    <w:p w:rsidR="007569A1" w:rsidRPr="00467F9C" w:rsidRDefault="007569A1" w:rsidP="00191861">
      <w:pPr>
        <w:autoSpaceDE w:val="0"/>
        <w:autoSpaceDN w:val="0"/>
        <w:adjustRightInd w:val="0"/>
        <w:ind w:firstLine="708"/>
        <w:jc w:val="both"/>
        <w:rPr>
          <w:sz w:val="28"/>
          <w:szCs w:val="28"/>
        </w:rPr>
      </w:pPr>
    </w:p>
    <w:p w:rsidR="005E541F" w:rsidRPr="00467F9C" w:rsidRDefault="005E541F" w:rsidP="00191861">
      <w:pPr>
        <w:ind w:firstLine="709"/>
        <w:jc w:val="both"/>
        <w:rPr>
          <w:b/>
          <w:sz w:val="10"/>
          <w:szCs w:val="10"/>
        </w:rPr>
      </w:pPr>
    </w:p>
    <w:p w:rsidR="005E541F" w:rsidRPr="00467F9C" w:rsidRDefault="005E541F" w:rsidP="00191861">
      <w:pPr>
        <w:ind w:firstLine="709"/>
        <w:jc w:val="both"/>
        <w:rPr>
          <w:b/>
          <w:sz w:val="28"/>
          <w:szCs w:val="28"/>
          <w:highlight w:val="yellow"/>
        </w:rPr>
      </w:pPr>
      <w:r w:rsidRPr="00467F9C">
        <w:rPr>
          <w:b/>
          <w:sz w:val="28"/>
          <w:szCs w:val="28"/>
        </w:rPr>
        <w:lastRenderedPageBreak/>
        <w:t>2.2. А</w:t>
      </w:r>
      <w:r w:rsidRPr="00467F9C">
        <w:rPr>
          <w:rStyle w:val="FontStyle70"/>
          <w:b/>
          <w:sz w:val="28"/>
          <w:szCs w:val="28"/>
        </w:rPr>
        <w:t>нализ исполнения бюджета Фонда за 2021 год по расходам</w:t>
      </w:r>
    </w:p>
    <w:p w:rsidR="005E541F" w:rsidRPr="00467F9C" w:rsidRDefault="005E541F" w:rsidP="00191861">
      <w:pPr>
        <w:autoSpaceDE w:val="0"/>
        <w:autoSpaceDN w:val="0"/>
        <w:adjustRightInd w:val="0"/>
        <w:ind w:firstLine="709"/>
        <w:jc w:val="both"/>
        <w:rPr>
          <w:sz w:val="10"/>
          <w:szCs w:val="10"/>
        </w:rPr>
      </w:pPr>
    </w:p>
    <w:p w:rsidR="005E541F" w:rsidRPr="00467F9C" w:rsidRDefault="005E541F" w:rsidP="00191861">
      <w:pPr>
        <w:autoSpaceDE w:val="0"/>
        <w:autoSpaceDN w:val="0"/>
        <w:adjustRightInd w:val="0"/>
        <w:ind w:firstLine="709"/>
        <w:jc w:val="both"/>
        <w:rPr>
          <w:rFonts w:eastAsia="Calibri"/>
          <w:sz w:val="28"/>
          <w:szCs w:val="28"/>
          <w:lang w:eastAsia="en-US"/>
        </w:rPr>
      </w:pPr>
      <w:r w:rsidRPr="00467F9C">
        <w:rPr>
          <w:sz w:val="28"/>
          <w:szCs w:val="28"/>
        </w:rPr>
        <w:t>В соответствии с требованиями статьи 217 Бюджетного кодекса исполнение бюджета Фонда осуществляется на основе сводной бюджетной росписи бюджета Фонда.</w:t>
      </w:r>
      <w:r w:rsidRPr="00467F9C">
        <w:rPr>
          <w:rFonts w:eastAsia="Calibri"/>
          <w:sz w:val="28"/>
          <w:szCs w:val="28"/>
          <w:lang w:eastAsia="en-US"/>
        </w:rPr>
        <w:t xml:space="preserve">  </w:t>
      </w:r>
    </w:p>
    <w:p w:rsidR="005E541F" w:rsidRPr="00467F9C" w:rsidRDefault="005E541F" w:rsidP="00191861">
      <w:pPr>
        <w:ind w:firstLine="709"/>
        <w:jc w:val="both"/>
        <w:rPr>
          <w:sz w:val="28"/>
          <w:szCs w:val="28"/>
        </w:rPr>
      </w:pPr>
      <w:r w:rsidRPr="00467F9C">
        <w:rPr>
          <w:sz w:val="28"/>
          <w:szCs w:val="28"/>
        </w:rPr>
        <w:t>Законом о бюджете Фонда расходы на 2021 год утверждены в объеме                         3 661 732,9 тыс. рублей. Исполнены бюджетные назначения в сумме            3 488 740,5 тыс. рублей или 95,3% от утвержденных объемов, и по отношению к 2020 году увеличились на 659 022,0 тыс. рублей или 23,2%.  Неисполненные бюджетные назначения составили в общей сумме 172 992,4 тыс. рублей или 7% от утвержденных ассигнований, из них 171 050,7 тыс. рублей или 99,0% – по разделу «</w:t>
      </w:r>
      <w:r w:rsidRPr="00467F9C">
        <w:rPr>
          <w:bCs/>
          <w:sz w:val="28"/>
          <w:szCs w:val="28"/>
        </w:rPr>
        <w:t>Здравоохранение</w:t>
      </w:r>
      <w:r w:rsidRPr="00467F9C">
        <w:rPr>
          <w:sz w:val="28"/>
          <w:szCs w:val="28"/>
        </w:rPr>
        <w:t xml:space="preserve">». Анализ исполнения бюджета Фонда по расходам за 2021 </w:t>
      </w:r>
      <w:proofErr w:type="gramStart"/>
      <w:r w:rsidRPr="00467F9C">
        <w:rPr>
          <w:sz w:val="28"/>
          <w:szCs w:val="28"/>
        </w:rPr>
        <w:t>год  приведен</w:t>
      </w:r>
      <w:proofErr w:type="gramEnd"/>
      <w:r w:rsidRPr="00467F9C">
        <w:rPr>
          <w:sz w:val="28"/>
          <w:szCs w:val="28"/>
        </w:rPr>
        <w:t xml:space="preserve"> в таблице 4. </w:t>
      </w:r>
    </w:p>
    <w:p w:rsidR="005E541F" w:rsidRPr="00467F9C" w:rsidRDefault="005E541F" w:rsidP="00191861">
      <w:pPr>
        <w:pStyle w:val="af8"/>
        <w:ind w:firstLine="709"/>
        <w:jc w:val="right"/>
        <w:rPr>
          <w:sz w:val="28"/>
          <w:szCs w:val="28"/>
        </w:rPr>
      </w:pPr>
      <w:r w:rsidRPr="00467F9C">
        <w:rPr>
          <w:sz w:val="28"/>
          <w:szCs w:val="28"/>
        </w:rPr>
        <w:t>Таблица 4 (тыс. рублей)</w:t>
      </w:r>
    </w:p>
    <w:tbl>
      <w:tblPr>
        <w:tblW w:w="10064" w:type="dxa"/>
        <w:tblInd w:w="-5" w:type="dxa"/>
        <w:tblLook w:val="04A0" w:firstRow="1" w:lastRow="0" w:firstColumn="1" w:lastColumn="0" w:noHBand="0" w:noVBand="1"/>
      </w:tblPr>
      <w:tblGrid>
        <w:gridCol w:w="4820"/>
        <w:gridCol w:w="1309"/>
        <w:gridCol w:w="1276"/>
        <w:gridCol w:w="1444"/>
        <w:gridCol w:w="1215"/>
      </w:tblGrid>
      <w:tr w:rsidR="005E541F" w:rsidRPr="00467F9C" w:rsidTr="00A95989">
        <w:trPr>
          <w:trHeight w:val="517"/>
          <w:tblHeader/>
        </w:trPr>
        <w:tc>
          <w:tcPr>
            <w:tcW w:w="4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541F" w:rsidRPr="00467F9C" w:rsidRDefault="005E541F" w:rsidP="00191861">
            <w:pPr>
              <w:jc w:val="center"/>
              <w:rPr>
                <w:sz w:val="20"/>
                <w:szCs w:val="20"/>
              </w:rPr>
            </w:pPr>
            <w:r w:rsidRPr="00467F9C">
              <w:rPr>
                <w:sz w:val="20"/>
                <w:szCs w:val="20"/>
              </w:rPr>
              <w:t>Наименование   показателя</w:t>
            </w:r>
          </w:p>
        </w:tc>
        <w:tc>
          <w:tcPr>
            <w:tcW w:w="13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541F" w:rsidRPr="00467F9C" w:rsidRDefault="005E541F" w:rsidP="007569A1">
            <w:pPr>
              <w:ind w:left="-111" w:right="-79"/>
              <w:jc w:val="center"/>
              <w:rPr>
                <w:sz w:val="20"/>
                <w:szCs w:val="20"/>
              </w:rPr>
            </w:pPr>
            <w:r w:rsidRPr="00467F9C">
              <w:rPr>
                <w:sz w:val="20"/>
                <w:szCs w:val="20"/>
              </w:rPr>
              <w:t>Утверждены бюджетные назначения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541F" w:rsidRPr="00467F9C" w:rsidRDefault="005E541F" w:rsidP="007569A1">
            <w:pPr>
              <w:ind w:left="-145" w:right="-83"/>
              <w:jc w:val="center"/>
              <w:rPr>
                <w:sz w:val="20"/>
                <w:szCs w:val="20"/>
              </w:rPr>
            </w:pPr>
            <w:r w:rsidRPr="00467F9C">
              <w:rPr>
                <w:sz w:val="20"/>
                <w:szCs w:val="20"/>
              </w:rPr>
              <w:t>Исполнено</w:t>
            </w:r>
          </w:p>
        </w:tc>
        <w:tc>
          <w:tcPr>
            <w:tcW w:w="14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69A1" w:rsidRDefault="005E541F" w:rsidP="007569A1">
            <w:pPr>
              <w:ind w:left="-141" w:right="-101"/>
              <w:jc w:val="center"/>
              <w:rPr>
                <w:sz w:val="20"/>
                <w:szCs w:val="20"/>
              </w:rPr>
            </w:pPr>
            <w:r w:rsidRPr="00467F9C">
              <w:rPr>
                <w:sz w:val="20"/>
                <w:szCs w:val="20"/>
              </w:rPr>
              <w:t xml:space="preserve">Неисполненные назначения </w:t>
            </w:r>
          </w:p>
          <w:p w:rsidR="005E541F" w:rsidRPr="00467F9C" w:rsidRDefault="005E541F" w:rsidP="007569A1">
            <w:pPr>
              <w:ind w:left="-141" w:right="-101"/>
              <w:jc w:val="center"/>
              <w:rPr>
                <w:sz w:val="20"/>
                <w:szCs w:val="20"/>
              </w:rPr>
            </w:pPr>
            <w:r w:rsidRPr="00467F9C">
              <w:rPr>
                <w:sz w:val="20"/>
                <w:szCs w:val="20"/>
              </w:rPr>
              <w:t>(гр.3-гр.2)</w:t>
            </w:r>
          </w:p>
        </w:tc>
        <w:tc>
          <w:tcPr>
            <w:tcW w:w="12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541F" w:rsidRPr="00467F9C" w:rsidRDefault="00A95989" w:rsidP="007569A1">
            <w:pPr>
              <w:ind w:left="-163" w:right="-26"/>
              <w:jc w:val="center"/>
              <w:rPr>
                <w:sz w:val="20"/>
                <w:szCs w:val="20"/>
              </w:rPr>
            </w:pPr>
            <w:r>
              <w:rPr>
                <w:sz w:val="20"/>
                <w:szCs w:val="20"/>
              </w:rPr>
              <w:t xml:space="preserve"> </w:t>
            </w:r>
            <w:r w:rsidR="005E541F" w:rsidRPr="00467F9C">
              <w:rPr>
                <w:sz w:val="20"/>
                <w:szCs w:val="20"/>
              </w:rPr>
              <w:t>Исполнение, % (гр.3/гр.2)</w:t>
            </w:r>
          </w:p>
        </w:tc>
      </w:tr>
      <w:tr w:rsidR="005E541F" w:rsidRPr="00467F9C" w:rsidTr="00A95989">
        <w:trPr>
          <w:trHeight w:val="517"/>
          <w:tblHeader/>
        </w:trPr>
        <w:tc>
          <w:tcPr>
            <w:tcW w:w="4820" w:type="dxa"/>
            <w:vMerge/>
            <w:tcBorders>
              <w:top w:val="single" w:sz="4" w:space="0" w:color="auto"/>
              <w:left w:val="single" w:sz="4" w:space="0" w:color="auto"/>
              <w:bottom w:val="single" w:sz="4" w:space="0" w:color="000000"/>
              <w:right w:val="single" w:sz="4" w:space="0" w:color="auto"/>
            </w:tcBorders>
            <w:vAlign w:val="center"/>
            <w:hideMark/>
          </w:tcPr>
          <w:p w:rsidR="005E541F" w:rsidRPr="00467F9C" w:rsidRDefault="005E541F" w:rsidP="00191861">
            <w:pPr>
              <w:rPr>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rsidR="005E541F" w:rsidRPr="00467F9C" w:rsidRDefault="005E541F" w:rsidP="007569A1">
            <w:pPr>
              <w:ind w:left="-111" w:right="-79"/>
              <w:rPr>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E541F" w:rsidRPr="00467F9C" w:rsidRDefault="005E541F" w:rsidP="007569A1">
            <w:pPr>
              <w:ind w:left="-145" w:right="-83"/>
              <w:rPr>
                <w:sz w:val="20"/>
                <w:szCs w:val="20"/>
              </w:rPr>
            </w:pPr>
          </w:p>
        </w:tc>
        <w:tc>
          <w:tcPr>
            <w:tcW w:w="1444" w:type="dxa"/>
            <w:vMerge/>
            <w:tcBorders>
              <w:top w:val="single" w:sz="4" w:space="0" w:color="auto"/>
              <w:left w:val="single" w:sz="4" w:space="0" w:color="auto"/>
              <w:bottom w:val="single" w:sz="4" w:space="0" w:color="auto"/>
              <w:right w:val="single" w:sz="4" w:space="0" w:color="auto"/>
            </w:tcBorders>
            <w:vAlign w:val="center"/>
            <w:hideMark/>
          </w:tcPr>
          <w:p w:rsidR="005E541F" w:rsidRPr="00467F9C" w:rsidRDefault="005E541F" w:rsidP="00191861">
            <w:pPr>
              <w:rPr>
                <w:sz w:val="20"/>
                <w:szCs w:val="20"/>
              </w:rPr>
            </w:pPr>
          </w:p>
        </w:tc>
        <w:tc>
          <w:tcPr>
            <w:tcW w:w="1215" w:type="dxa"/>
            <w:vMerge/>
            <w:tcBorders>
              <w:top w:val="single" w:sz="4" w:space="0" w:color="auto"/>
              <w:left w:val="single" w:sz="4" w:space="0" w:color="auto"/>
              <w:bottom w:val="single" w:sz="4" w:space="0" w:color="000000"/>
              <w:right w:val="single" w:sz="4" w:space="0" w:color="auto"/>
            </w:tcBorders>
            <w:vAlign w:val="center"/>
            <w:hideMark/>
          </w:tcPr>
          <w:p w:rsidR="005E541F" w:rsidRPr="00467F9C" w:rsidRDefault="005E541F" w:rsidP="00191861">
            <w:pPr>
              <w:rPr>
                <w:sz w:val="20"/>
                <w:szCs w:val="20"/>
              </w:rPr>
            </w:pPr>
          </w:p>
        </w:tc>
      </w:tr>
      <w:tr w:rsidR="005E541F" w:rsidRPr="00467F9C" w:rsidTr="00A95989">
        <w:trPr>
          <w:trHeight w:val="109"/>
          <w:tblHeader/>
        </w:trPr>
        <w:tc>
          <w:tcPr>
            <w:tcW w:w="4820" w:type="dxa"/>
            <w:tcBorders>
              <w:top w:val="nil"/>
              <w:left w:val="single" w:sz="4" w:space="0" w:color="auto"/>
              <w:bottom w:val="single" w:sz="4" w:space="0" w:color="auto"/>
              <w:right w:val="single" w:sz="4" w:space="0" w:color="auto"/>
            </w:tcBorders>
            <w:shd w:val="clear" w:color="auto" w:fill="auto"/>
            <w:hideMark/>
          </w:tcPr>
          <w:p w:rsidR="005E541F" w:rsidRPr="00467F9C" w:rsidRDefault="005E541F" w:rsidP="00191861">
            <w:pPr>
              <w:jc w:val="center"/>
              <w:rPr>
                <w:sz w:val="20"/>
                <w:szCs w:val="20"/>
              </w:rPr>
            </w:pPr>
            <w:r w:rsidRPr="00467F9C">
              <w:rPr>
                <w:sz w:val="20"/>
                <w:szCs w:val="20"/>
              </w:rPr>
              <w:t>1</w:t>
            </w:r>
          </w:p>
        </w:tc>
        <w:tc>
          <w:tcPr>
            <w:tcW w:w="1309" w:type="dxa"/>
            <w:tcBorders>
              <w:top w:val="nil"/>
              <w:left w:val="nil"/>
              <w:bottom w:val="single" w:sz="4" w:space="0" w:color="auto"/>
              <w:right w:val="single" w:sz="4" w:space="0" w:color="auto"/>
            </w:tcBorders>
            <w:shd w:val="clear" w:color="auto" w:fill="auto"/>
            <w:hideMark/>
          </w:tcPr>
          <w:p w:rsidR="005E541F" w:rsidRPr="00467F9C" w:rsidRDefault="005E541F" w:rsidP="007569A1">
            <w:pPr>
              <w:ind w:left="-111" w:right="-79"/>
              <w:jc w:val="center"/>
              <w:rPr>
                <w:sz w:val="20"/>
                <w:szCs w:val="20"/>
              </w:rPr>
            </w:pPr>
            <w:r w:rsidRPr="00467F9C">
              <w:rPr>
                <w:sz w:val="20"/>
                <w:szCs w:val="20"/>
              </w:rPr>
              <w:t>2</w:t>
            </w:r>
          </w:p>
        </w:tc>
        <w:tc>
          <w:tcPr>
            <w:tcW w:w="1276" w:type="dxa"/>
            <w:tcBorders>
              <w:top w:val="nil"/>
              <w:left w:val="nil"/>
              <w:bottom w:val="single" w:sz="4" w:space="0" w:color="auto"/>
              <w:right w:val="single" w:sz="4" w:space="0" w:color="auto"/>
            </w:tcBorders>
            <w:shd w:val="clear" w:color="auto" w:fill="auto"/>
            <w:hideMark/>
          </w:tcPr>
          <w:p w:rsidR="005E541F" w:rsidRPr="00467F9C" w:rsidRDefault="005E541F" w:rsidP="007569A1">
            <w:pPr>
              <w:ind w:left="-145" w:right="-83"/>
              <w:jc w:val="center"/>
              <w:rPr>
                <w:sz w:val="20"/>
                <w:szCs w:val="20"/>
              </w:rPr>
            </w:pPr>
            <w:r w:rsidRPr="00467F9C">
              <w:rPr>
                <w:sz w:val="20"/>
                <w:szCs w:val="20"/>
              </w:rPr>
              <w:t>3</w:t>
            </w:r>
          </w:p>
        </w:tc>
        <w:tc>
          <w:tcPr>
            <w:tcW w:w="1444" w:type="dxa"/>
            <w:tcBorders>
              <w:top w:val="nil"/>
              <w:left w:val="nil"/>
              <w:bottom w:val="single" w:sz="4" w:space="0" w:color="auto"/>
              <w:right w:val="single" w:sz="4" w:space="0" w:color="auto"/>
            </w:tcBorders>
            <w:shd w:val="clear" w:color="auto" w:fill="auto"/>
            <w:hideMark/>
          </w:tcPr>
          <w:p w:rsidR="005E541F" w:rsidRPr="00467F9C" w:rsidRDefault="005E541F" w:rsidP="00191861">
            <w:pPr>
              <w:jc w:val="center"/>
              <w:rPr>
                <w:sz w:val="20"/>
                <w:szCs w:val="20"/>
              </w:rPr>
            </w:pPr>
            <w:r w:rsidRPr="00467F9C">
              <w:rPr>
                <w:sz w:val="20"/>
                <w:szCs w:val="20"/>
              </w:rPr>
              <w:t>4</w:t>
            </w:r>
          </w:p>
        </w:tc>
        <w:tc>
          <w:tcPr>
            <w:tcW w:w="1215" w:type="dxa"/>
            <w:tcBorders>
              <w:top w:val="nil"/>
              <w:left w:val="nil"/>
              <w:bottom w:val="single" w:sz="4" w:space="0" w:color="auto"/>
              <w:right w:val="single" w:sz="4" w:space="0" w:color="auto"/>
            </w:tcBorders>
            <w:shd w:val="clear" w:color="auto" w:fill="auto"/>
            <w:hideMark/>
          </w:tcPr>
          <w:p w:rsidR="005E541F" w:rsidRPr="00467F9C" w:rsidRDefault="005E541F" w:rsidP="00191861">
            <w:pPr>
              <w:jc w:val="center"/>
              <w:rPr>
                <w:sz w:val="20"/>
                <w:szCs w:val="20"/>
              </w:rPr>
            </w:pPr>
            <w:r w:rsidRPr="00467F9C">
              <w:rPr>
                <w:sz w:val="20"/>
                <w:szCs w:val="20"/>
              </w:rPr>
              <w:t>5</w:t>
            </w:r>
          </w:p>
        </w:tc>
      </w:tr>
      <w:tr w:rsidR="005E541F" w:rsidRPr="00467F9C" w:rsidTr="00A95989">
        <w:trPr>
          <w:trHeight w:val="278"/>
        </w:trPr>
        <w:tc>
          <w:tcPr>
            <w:tcW w:w="4820" w:type="dxa"/>
            <w:tcBorders>
              <w:top w:val="nil"/>
              <w:left w:val="single" w:sz="4" w:space="0" w:color="auto"/>
              <w:bottom w:val="single" w:sz="4" w:space="0" w:color="auto"/>
              <w:right w:val="single" w:sz="4" w:space="0" w:color="auto"/>
            </w:tcBorders>
            <w:shd w:val="clear" w:color="auto" w:fill="auto"/>
            <w:hideMark/>
          </w:tcPr>
          <w:p w:rsidR="005E541F" w:rsidRPr="00467F9C" w:rsidRDefault="005E541F" w:rsidP="00191861">
            <w:pPr>
              <w:rPr>
                <w:b/>
                <w:bCs/>
                <w:sz w:val="20"/>
                <w:szCs w:val="20"/>
              </w:rPr>
            </w:pPr>
            <w:r w:rsidRPr="00467F9C">
              <w:rPr>
                <w:b/>
                <w:bCs/>
                <w:sz w:val="20"/>
                <w:szCs w:val="20"/>
              </w:rPr>
              <w:t xml:space="preserve">РАСХОДЫ  </w:t>
            </w:r>
          </w:p>
        </w:tc>
        <w:tc>
          <w:tcPr>
            <w:tcW w:w="1309"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7569A1">
            <w:pPr>
              <w:ind w:left="-111" w:right="-79"/>
              <w:jc w:val="center"/>
              <w:rPr>
                <w:b/>
                <w:bCs/>
                <w:sz w:val="20"/>
                <w:szCs w:val="20"/>
              </w:rPr>
            </w:pPr>
            <w:r w:rsidRPr="00467F9C">
              <w:rPr>
                <w:b/>
                <w:bCs/>
                <w:sz w:val="20"/>
                <w:szCs w:val="20"/>
              </w:rPr>
              <w:t>3 661 732,9</w:t>
            </w:r>
          </w:p>
        </w:tc>
        <w:tc>
          <w:tcPr>
            <w:tcW w:w="1276"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7569A1">
            <w:pPr>
              <w:ind w:left="-145" w:right="-83"/>
              <w:jc w:val="center"/>
              <w:rPr>
                <w:b/>
                <w:bCs/>
                <w:sz w:val="20"/>
                <w:szCs w:val="20"/>
              </w:rPr>
            </w:pPr>
            <w:r w:rsidRPr="00467F9C">
              <w:rPr>
                <w:b/>
                <w:bCs/>
                <w:sz w:val="20"/>
                <w:szCs w:val="20"/>
              </w:rPr>
              <w:t>3 488 740,5</w:t>
            </w:r>
          </w:p>
        </w:tc>
        <w:tc>
          <w:tcPr>
            <w:tcW w:w="144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
                <w:bCs/>
                <w:sz w:val="20"/>
                <w:szCs w:val="20"/>
              </w:rPr>
            </w:pPr>
            <w:r w:rsidRPr="00467F9C">
              <w:rPr>
                <w:b/>
                <w:bCs/>
                <w:sz w:val="20"/>
                <w:szCs w:val="20"/>
              </w:rPr>
              <w:t>-172 992,4</w:t>
            </w:r>
          </w:p>
        </w:tc>
        <w:tc>
          <w:tcPr>
            <w:tcW w:w="1215" w:type="dxa"/>
            <w:tcBorders>
              <w:top w:val="nil"/>
              <w:left w:val="nil"/>
              <w:bottom w:val="single" w:sz="4" w:space="0" w:color="auto"/>
              <w:right w:val="single" w:sz="4" w:space="0" w:color="auto"/>
            </w:tcBorders>
            <w:shd w:val="clear" w:color="auto" w:fill="auto"/>
            <w:hideMark/>
          </w:tcPr>
          <w:p w:rsidR="005E541F" w:rsidRPr="00467F9C" w:rsidRDefault="005E541F" w:rsidP="00191861">
            <w:pPr>
              <w:jc w:val="center"/>
              <w:rPr>
                <w:b/>
                <w:bCs/>
                <w:sz w:val="20"/>
                <w:szCs w:val="20"/>
              </w:rPr>
            </w:pPr>
            <w:r w:rsidRPr="00467F9C">
              <w:rPr>
                <w:b/>
                <w:bCs/>
                <w:sz w:val="20"/>
                <w:szCs w:val="20"/>
              </w:rPr>
              <w:t>95,3</w:t>
            </w:r>
          </w:p>
        </w:tc>
      </w:tr>
      <w:tr w:rsidR="005E541F" w:rsidRPr="00467F9C" w:rsidTr="00A95989">
        <w:trPr>
          <w:trHeight w:val="263"/>
        </w:trPr>
        <w:tc>
          <w:tcPr>
            <w:tcW w:w="4820" w:type="dxa"/>
            <w:tcBorders>
              <w:top w:val="nil"/>
              <w:left w:val="single" w:sz="4" w:space="0" w:color="auto"/>
              <w:bottom w:val="single" w:sz="4" w:space="0" w:color="auto"/>
              <w:right w:val="single" w:sz="4" w:space="0" w:color="auto"/>
            </w:tcBorders>
            <w:shd w:val="clear" w:color="000000" w:fill="E7E6E6"/>
            <w:vAlign w:val="center"/>
            <w:hideMark/>
          </w:tcPr>
          <w:p w:rsidR="005E541F" w:rsidRPr="00467F9C" w:rsidRDefault="005E541F" w:rsidP="00191861">
            <w:pPr>
              <w:rPr>
                <w:b/>
                <w:bCs/>
                <w:sz w:val="20"/>
                <w:szCs w:val="20"/>
              </w:rPr>
            </w:pPr>
            <w:r w:rsidRPr="00467F9C">
              <w:rPr>
                <w:b/>
                <w:bCs/>
                <w:sz w:val="20"/>
                <w:szCs w:val="20"/>
              </w:rPr>
              <w:t>Общегосударственные вопросы</w:t>
            </w:r>
          </w:p>
        </w:tc>
        <w:tc>
          <w:tcPr>
            <w:tcW w:w="1309" w:type="dxa"/>
            <w:tcBorders>
              <w:top w:val="nil"/>
              <w:left w:val="nil"/>
              <w:bottom w:val="single" w:sz="4" w:space="0" w:color="auto"/>
              <w:right w:val="single" w:sz="4" w:space="0" w:color="auto"/>
            </w:tcBorders>
            <w:shd w:val="clear" w:color="000000" w:fill="E7E6E6"/>
            <w:vAlign w:val="center"/>
            <w:hideMark/>
          </w:tcPr>
          <w:p w:rsidR="005E541F" w:rsidRPr="00467F9C" w:rsidRDefault="005E541F" w:rsidP="007569A1">
            <w:pPr>
              <w:ind w:left="-111" w:right="-79"/>
              <w:jc w:val="center"/>
              <w:rPr>
                <w:b/>
                <w:bCs/>
                <w:sz w:val="20"/>
                <w:szCs w:val="20"/>
              </w:rPr>
            </w:pPr>
            <w:r w:rsidRPr="00467F9C">
              <w:rPr>
                <w:b/>
                <w:bCs/>
                <w:sz w:val="20"/>
                <w:szCs w:val="20"/>
              </w:rPr>
              <w:t>47 454,2</w:t>
            </w:r>
          </w:p>
        </w:tc>
        <w:tc>
          <w:tcPr>
            <w:tcW w:w="1276" w:type="dxa"/>
            <w:tcBorders>
              <w:top w:val="nil"/>
              <w:left w:val="nil"/>
              <w:bottom w:val="single" w:sz="4" w:space="0" w:color="auto"/>
              <w:right w:val="single" w:sz="4" w:space="0" w:color="auto"/>
            </w:tcBorders>
            <w:shd w:val="clear" w:color="auto" w:fill="EEECE1" w:themeFill="background2"/>
            <w:vAlign w:val="center"/>
            <w:hideMark/>
          </w:tcPr>
          <w:p w:rsidR="005E541F" w:rsidRPr="00467F9C" w:rsidRDefault="005E541F" w:rsidP="007569A1">
            <w:pPr>
              <w:ind w:left="-145" w:right="-83"/>
              <w:jc w:val="center"/>
              <w:rPr>
                <w:b/>
                <w:bCs/>
                <w:sz w:val="20"/>
                <w:szCs w:val="20"/>
              </w:rPr>
            </w:pPr>
            <w:r w:rsidRPr="00467F9C">
              <w:rPr>
                <w:b/>
                <w:bCs/>
                <w:sz w:val="20"/>
                <w:szCs w:val="20"/>
              </w:rPr>
              <w:t>45 512,5</w:t>
            </w:r>
          </w:p>
        </w:tc>
        <w:tc>
          <w:tcPr>
            <w:tcW w:w="1444" w:type="dxa"/>
            <w:tcBorders>
              <w:top w:val="nil"/>
              <w:left w:val="nil"/>
              <w:bottom w:val="single" w:sz="4" w:space="0" w:color="auto"/>
              <w:right w:val="single" w:sz="4" w:space="0" w:color="auto"/>
            </w:tcBorders>
            <w:shd w:val="clear" w:color="auto" w:fill="EEECE1" w:themeFill="background2"/>
            <w:vAlign w:val="center"/>
            <w:hideMark/>
          </w:tcPr>
          <w:p w:rsidR="005E541F" w:rsidRPr="00467F9C" w:rsidRDefault="005E541F" w:rsidP="00191861">
            <w:pPr>
              <w:jc w:val="center"/>
              <w:rPr>
                <w:b/>
                <w:bCs/>
                <w:sz w:val="20"/>
                <w:szCs w:val="20"/>
              </w:rPr>
            </w:pPr>
            <w:r w:rsidRPr="00467F9C">
              <w:rPr>
                <w:b/>
                <w:bCs/>
                <w:sz w:val="20"/>
                <w:szCs w:val="20"/>
              </w:rPr>
              <w:t>-1 941,7</w:t>
            </w:r>
          </w:p>
        </w:tc>
        <w:tc>
          <w:tcPr>
            <w:tcW w:w="1215" w:type="dxa"/>
            <w:tcBorders>
              <w:top w:val="nil"/>
              <w:left w:val="nil"/>
              <w:bottom w:val="single" w:sz="4" w:space="0" w:color="auto"/>
              <w:right w:val="single" w:sz="4" w:space="0" w:color="auto"/>
            </w:tcBorders>
            <w:shd w:val="clear" w:color="auto" w:fill="EEECE1" w:themeFill="background2"/>
            <w:vAlign w:val="center"/>
            <w:hideMark/>
          </w:tcPr>
          <w:p w:rsidR="005E541F" w:rsidRPr="00467F9C" w:rsidRDefault="005E541F" w:rsidP="00191861">
            <w:pPr>
              <w:jc w:val="center"/>
              <w:rPr>
                <w:b/>
                <w:bCs/>
                <w:sz w:val="20"/>
                <w:szCs w:val="20"/>
              </w:rPr>
            </w:pPr>
            <w:r w:rsidRPr="00467F9C">
              <w:rPr>
                <w:b/>
                <w:bCs/>
                <w:sz w:val="20"/>
                <w:szCs w:val="20"/>
              </w:rPr>
              <w:t>95,9</w:t>
            </w:r>
          </w:p>
        </w:tc>
      </w:tr>
      <w:tr w:rsidR="005E541F" w:rsidRPr="00467F9C" w:rsidTr="00A95989">
        <w:trPr>
          <w:trHeight w:val="870"/>
        </w:trPr>
        <w:tc>
          <w:tcPr>
            <w:tcW w:w="4820" w:type="dxa"/>
            <w:tcBorders>
              <w:top w:val="nil"/>
              <w:left w:val="single" w:sz="4" w:space="0" w:color="auto"/>
              <w:bottom w:val="single" w:sz="4" w:space="0" w:color="auto"/>
              <w:right w:val="single" w:sz="4" w:space="0" w:color="auto"/>
            </w:tcBorders>
            <w:shd w:val="clear" w:color="000000" w:fill="FFFFFF"/>
            <w:hideMark/>
          </w:tcPr>
          <w:p w:rsidR="005E541F" w:rsidRDefault="005E541F" w:rsidP="00191861">
            <w:pPr>
              <w:jc w:val="both"/>
              <w:rPr>
                <w:sz w:val="20"/>
                <w:szCs w:val="20"/>
              </w:rPr>
            </w:pPr>
            <w:r w:rsidRPr="00467F9C">
              <w:rPr>
                <w:sz w:val="20"/>
                <w:szCs w:val="20"/>
              </w:rPr>
              <w:t>Финансовое обеспечение организации ОМС на территориях субъектов РФ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A95989" w:rsidRPr="00A95989" w:rsidRDefault="00A95989" w:rsidP="00191861">
            <w:pPr>
              <w:jc w:val="both"/>
              <w:rPr>
                <w:sz w:val="4"/>
                <w:szCs w:val="4"/>
              </w:rPr>
            </w:pPr>
          </w:p>
        </w:tc>
        <w:tc>
          <w:tcPr>
            <w:tcW w:w="1309"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7569A1">
            <w:pPr>
              <w:ind w:left="-111" w:right="-79"/>
              <w:jc w:val="center"/>
              <w:rPr>
                <w:sz w:val="20"/>
                <w:szCs w:val="20"/>
              </w:rPr>
            </w:pPr>
            <w:r w:rsidRPr="00467F9C">
              <w:rPr>
                <w:sz w:val="20"/>
                <w:szCs w:val="20"/>
              </w:rPr>
              <w:t>37 455,2</w:t>
            </w:r>
          </w:p>
        </w:tc>
        <w:tc>
          <w:tcPr>
            <w:tcW w:w="1276"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7569A1">
            <w:pPr>
              <w:ind w:left="-145" w:right="-83"/>
              <w:jc w:val="center"/>
              <w:rPr>
                <w:sz w:val="20"/>
                <w:szCs w:val="20"/>
              </w:rPr>
            </w:pPr>
            <w:r w:rsidRPr="00467F9C">
              <w:rPr>
                <w:sz w:val="20"/>
                <w:szCs w:val="20"/>
              </w:rPr>
              <w:t>36 351,9</w:t>
            </w:r>
          </w:p>
        </w:tc>
        <w:tc>
          <w:tcPr>
            <w:tcW w:w="144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Cs/>
                <w:sz w:val="20"/>
                <w:szCs w:val="20"/>
              </w:rPr>
            </w:pPr>
            <w:r w:rsidRPr="00467F9C">
              <w:rPr>
                <w:bCs/>
                <w:sz w:val="20"/>
                <w:szCs w:val="20"/>
              </w:rPr>
              <w:t>-1 103,3</w:t>
            </w:r>
          </w:p>
        </w:tc>
        <w:tc>
          <w:tcPr>
            <w:tcW w:w="1215"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20"/>
                <w:szCs w:val="20"/>
              </w:rPr>
            </w:pPr>
            <w:r w:rsidRPr="00467F9C">
              <w:rPr>
                <w:sz w:val="20"/>
                <w:szCs w:val="20"/>
              </w:rPr>
              <w:t>97,1</w:t>
            </w:r>
          </w:p>
        </w:tc>
      </w:tr>
      <w:tr w:rsidR="005E541F" w:rsidRPr="00467F9C" w:rsidTr="00A95989">
        <w:trPr>
          <w:trHeight w:val="510"/>
        </w:trPr>
        <w:tc>
          <w:tcPr>
            <w:tcW w:w="4820" w:type="dxa"/>
            <w:tcBorders>
              <w:top w:val="nil"/>
              <w:left w:val="single" w:sz="4" w:space="0" w:color="auto"/>
              <w:bottom w:val="single" w:sz="4" w:space="0" w:color="auto"/>
              <w:right w:val="single" w:sz="4" w:space="0" w:color="auto"/>
            </w:tcBorders>
            <w:shd w:val="clear" w:color="000000" w:fill="FFFFFF"/>
            <w:hideMark/>
          </w:tcPr>
          <w:p w:rsidR="005E541F" w:rsidRPr="00467F9C" w:rsidRDefault="005E541F" w:rsidP="00191861">
            <w:pPr>
              <w:jc w:val="both"/>
              <w:rPr>
                <w:sz w:val="20"/>
                <w:szCs w:val="20"/>
              </w:rPr>
            </w:pPr>
            <w:r w:rsidRPr="00467F9C">
              <w:rPr>
                <w:sz w:val="20"/>
                <w:szCs w:val="20"/>
              </w:rPr>
              <w:t xml:space="preserve">Закупки товаров, работ и услуг для </w:t>
            </w:r>
            <w:proofErr w:type="gramStart"/>
            <w:r w:rsidRPr="00467F9C">
              <w:rPr>
                <w:sz w:val="20"/>
                <w:szCs w:val="20"/>
              </w:rPr>
              <w:t>государственных  (</w:t>
            </w:r>
            <w:proofErr w:type="gramEnd"/>
            <w:r w:rsidRPr="00467F9C">
              <w:rPr>
                <w:sz w:val="20"/>
                <w:szCs w:val="20"/>
              </w:rPr>
              <w:t>муниципальных) нужд</w:t>
            </w:r>
          </w:p>
        </w:tc>
        <w:tc>
          <w:tcPr>
            <w:tcW w:w="1309"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7569A1">
            <w:pPr>
              <w:ind w:left="-111" w:right="-79"/>
              <w:jc w:val="center"/>
              <w:rPr>
                <w:sz w:val="20"/>
                <w:szCs w:val="20"/>
              </w:rPr>
            </w:pPr>
            <w:r w:rsidRPr="00467F9C">
              <w:rPr>
                <w:sz w:val="20"/>
                <w:szCs w:val="20"/>
              </w:rPr>
              <w:t>9 972,9</w:t>
            </w:r>
          </w:p>
        </w:tc>
        <w:tc>
          <w:tcPr>
            <w:tcW w:w="1276"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7569A1">
            <w:pPr>
              <w:ind w:left="-145" w:right="-83"/>
              <w:jc w:val="center"/>
              <w:rPr>
                <w:sz w:val="20"/>
                <w:szCs w:val="20"/>
              </w:rPr>
            </w:pPr>
            <w:r w:rsidRPr="00467F9C">
              <w:rPr>
                <w:sz w:val="20"/>
                <w:szCs w:val="20"/>
              </w:rPr>
              <w:t>9 156,4</w:t>
            </w:r>
          </w:p>
        </w:tc>
        <w:tc>
          <w:tcPr>
            <w:tcW w:w="144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Cs/>
                <w:sz w:val="20"/>
                <w:szCs w:val="20"/>
              </w:rPr>
            </w:pPr>
            <w:r w:rsidRPr="00467F9C">
              <w:rPr>
                <w:bCs/>
                <w:sz w:val="20"/>
                <w:szCs w:val="20"/>
              </w:rPr>
              <w:t>-816,5</w:t>
            </w:r>
          </w:p>
        </w:tc>
        <w:tc>
          <w:tcPr>
            <w:tcW w:w="1215" w:type="dxa"/>
            <w:tcBorders>
              <w:top w:val="nil"/>
              <w:left w:val="nil"/>
              <w:bottom w:val="single" w:sz="4" w:space="0" w:color="auto"/>
              <w:right w:val="single" w:sz="4" w:space="0" w:color="auto"/>
            </w:tcBorders>
            <w:shd w:val="clear" w:color="auto" w:fill="auto"/>
            <w:hideMark/>
          </w:tcPr>
          <w:p w:rsidR="005E541F" w:rsidRPr="00467F9C" w:rsidRDefault="005E541F" w:rsidP="00191861">
            <w:pPr>
              <w:jc w:val="center"/>
              <w:rPr>
                <w:sz w:val="20"/>
                <w:szCs w:val="20"/>
              </w:rPr>
            </w:pPr>
            <w:r w:rsidRPr="00467F9C">
              <w:rPr>
                <w:sz w:val="20"/>
                <w:szCs w:val="20"/>
              </w:rPr>
              <w:t>91,8</w:t>
            </w:r>
          </w:p>
        </w:tc>
      </w:tr>
      <w:tr w:rsidR="005E541F" w:rsidRPr="00467F9C" w:rsidTr="00A95989">
        <w:trPr>
          <w:trHeight w:val="255"/>
        </w:trPr>
        <w:tc>
          <w:tcPr>
            <w:tcW w:w="4820" w:type="dxa"/>
            <w:tcBorders>
              <w:top w:val="nil"/>
              <w:left w:val="single" w:sz="4" w:space="0" w:color="auto"/>
              <w:bottom w:val="single" w:sz="4" w:space="0" w:color="auto"/>
              <w:right w:val="single" w:sz="4" w:space="0" w:color="auto"/>
            </w:tcBorders>
            <w:shd w:val="clear" w:color="000000" w:fill="FFFFFF"/>
            <w:hideMark/>
          </w:tcPr>
          <w:p w:rsidR="005E541F" w:rsidRPr="00467F9C" w:rsidRDefault="005E541F" w:rsidP="00191861">
            <w:pPr>
              <w:jc w:val="both"/>
              <w:rPr>
                <w:sz w:val="20"/>
                <w:szCs w:val="20"/>
              </w:rPr>
            </w:pPr>
            <w:r w:rsidRPr="00467F9C">
              <w:rPr>
                <w:sz w:val="20"/>
                <w:szCs w:val="20"/>
              </w:rPr>
              <w:t>Иные бюджетные ассигнования</w:t>
            </w:r>
          </w:p>
        </w:tc>
        <w:tc>
          <w:tcPr>
            <w:tcW w:w="1309" w:type="dxa"/>
            <w:tcBorders>
              <w:top w:val="nil"/>
              <w:left w:val="nil"/>
              <w:bottom w:val="single" w:sz="4" w:space="0" w:color="auto"/>
              <w:right w:val="single" w:sz="4" w:space="0" w:color="auto"/>
            </w:tcBorders>
            <w:shd w:val="clear" w:color="auto" w:fill="auto"/>
            <w:hideMark/>
          </w:tcPr>
          <w:p w:rsidR="005E541F" w:rsidRPr="00467F9C" w:rsidRDefault="005E541F" w:rsidP="007569A1">
            <w:pPr>
              <w:ind w:left="-111" w:right="-79"/>
              <w:jc w:val="center"/>
              <w:rPr>
                <w:sz w:val="20"/>
                <w:szCs w:val="20"/>
              </w:rPr>
            </w:pPr>
            <w:r w:rsidRPr="00467F9C">
              <w:rPr>
                <w:sz w:val="20"/>
                <w:szCs w:val="20"/>
              </w:rPr>
              <w:t>26,1</w:t>
            </w:r>
          </w:p>
        </w:tc>
        <w:tc>
          <w:tcPr>
            <w:tcW w:w="1276" w:type="dxa"/>
            <w:tcBorders>
              <w:top w:val="nil"/>
              <w:left w:val="nil"/>
              <w:bottom w:val="single" w:sz="4" w:space="0" w:color="auto"/>
              <w:right w:val="single" w:sz="4" w:space="0" w:color="auto"/>
            </w:tcBorders>
            <w:shd w:val="clear" w:color="auto" w:fill="auto"/>
            <w:hideMark/>
          </w:tcPr>
          <w:p w:rsidR="005E541F" w:rsidRPr="00467F9C" w:rsidRDefault="005E541F" w:rsidP="007569A1">
            <w:pPr>
              <w:ind w:left="-145" w:right="-83"/>
              <w:jc w:val="center"/>
              <w:rPr>
                <w:sz w:val="20"/>
                <w:szCs w:val="20"/>
              </w:rPr>
            </w:pPr>
            <w:r w:rsidRPr="00467F9C">
              <w:rPr>
                <w:sz w:val="20"/>
                <w:szCs w:val="20"/>
              </w:rPr>
              <w:t>4,2</w:t>
            </w:r>
          </w:p>
        </w:tc>
        <w:tc>
          <w:tcPr>
            <w:tcW w:w="144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Cs/>
                <w:sz w:val="20"/>
                <w:szCs w:val="20"/>
              </w:rPr>
            </w:pPr>
            <w:r w:rsidRPr="00467F9C">
              <w:rPr>
                <w:bCs/>
                <w:sz w:val="20"/>
                <w:szCs w:val="20"/>
              </w:rPr>
              <w:t>-21,9</w:t>
            </w:r>
          </w:p>
        </w:tc>
        <w:tc>
          <w:tcPr>
            <w:tcW w:w="1215" w:type="dxa"/>
            <w:tcBorders>
              <w:top w:val="nil"/>
              <w:left w:val="nil"/>
              <w:bottom w:val="single" w:sz="4" w:space="0" w:color="auto"/>
              <w:right w:val="single" w:sz="4" w:space="0" w:color="auto"/>
            </w:tcBorders>
            <w:shd w:val="clear" w:color="auto" w:fill="auto"/>
            <w:hideMark/>
          </w:tcPr>
          <w:p w:rsidR="005E541F" w:rsidRPr="00467F9C" w:rsidRDefault="005E541F" w:rsidP="00191861">
            <w:pPr>
              <w:jc w:val="center"/>
              <w:rPr>
                <w:sz w:val="20"/>
                <w:szCs w:val="20"/>
              </w:rPr>
            </w:pPr>
            <w:r w:rsidRPr="00467F9C">
              <w:rPr>
                <w:sz w:val="20"/>
                <w:szCs w:val="20"/>
              </w:rPr>
              <w:t>16,1</w:t>
            </w:r>
          </w:p>
        </w:tc>
      </w:tr>
      <w:tr w:rsidR="005E541F" w:rsidRPr="00467F9C" w:rsidTr="00A95989">
        <w:trPr>
          <w:trHeight w:val="227"/>
        </w:trPr>
        <w:tc>
          <w:tcPr>
            <w:tcW w:w="4820" w:type="dxa"/>
            <w:tcBorders>
              <w:top w:val="nil"/>
              <w:left w:val="single" w:sz="4" w:space="0" w:color="auto"/>
              <w:bottom w:val="single" w:sz="4" w:space="0" w:color="auto"/>
              <w:right w:val="single" w:sz="4" w:space="0" w:color="auto"/>
            </w:tcBorders>
            <w:shd w:val="clear" w:color="000000" w:fill="E7E6E6"/>
            <w:hideMark/>
          </w:tcPr>
          <w:p w:rsidR="005E541F" w:rsidRPr="00467F9C" w:rsidRDefault="005E541F" w:rsidP="00191861">
            <w:pPr>
              <w:jc w:val="both"/>
              <w:rPr>
                <w:b/>
                <w:bCs/>
                <w:sz w:val="20"/>
                <w:szCs w:val="20"/>
              </w:rPr>
            </w:pPr>
            <w:r w:rsidRPr="00467F9C">
              <w:rPr>
                <w:b/>
                <w:bCs/>
                <w:sz w:val="20"/>
                <w:szCs w:val="20"/>
              </w:rPr>
              <w:t>Здравоохранение</w:t>
            </w:r>
          </w:p>
        </w:tc>
        <w:tc>
          <w:tcPr>
            <w:tcW w:w="1309" w:type="dxa"/>
            <w:tcBorders>
              <w:top w:val="nil"/>
              <w:left w:val="nil"/>
              <w:bottom w:val="single" w:sz="4" w:space="0" w:color="auto"/>
              <w:right w:val="single" w:sz="4" w:space="0" w:color="auto"/>
            </w:tcBorders>
            <w:shd w:val="clear" w:color="000000" w:fill="E7E6E6"/>
            <w:vAlign w:val="center"/>
            <w:hideMark/>
          </w:tcPr>
          <w:p w:rsidR="005E541F" w:rsidRPr="00467F9C" w:rsidRDefault="005E541F" w:rsidP="007569A1">
            <w:pPr>
              <w:ind w:left="-111" w:right="-79"/>
              <w:jc w:val="center"/>
              <w:rPr>
                <w:b/>
                <w:bCs/>
                <w:sz w:val="20"/>
                <w:szCs w:val="20"/>
              </w:rPr>
            </w:pPr>
            <w:r w:rsidRPr="00467F9C">
              <w:rPr>
                <w:b/>
                <w:bCs/>
                <w:sz w:val="20"/>
                <w:szCs w:val="20"/>
              </w:rPr>
              <w:t>3 614 278,7</w:t>
            </w:r>
          </w:p>
        </w:tc>
        <w:tc>
          <w:tcPr>
            <w:tcW w:w="1276" w:type="dxa"/>
            <w:tcBorders>
              <w:top w:val="nil"/>
              <w:left w:val="nil"/>
              <w:bottom w:val="single" w:sz="4" w:space="0" w:color="auto"/>
              <w:right w:val="single" w:sz="4" w:space="0" w:color="auto"/>
            </w:tcBorders>
            <w:shd w:val="clear" w:color="000000" w:fill="E7E6E6"/>
            <w:vAlign w:val="center"/>
            <w:hideMark/>
          </w:tcPr>
          <w:p w:rsidR="005E541F" w:rsidRPr="00467F9C" w:rsidRDefault="005E541F" w:rsidP="007569A1">
            <w:pPr>
              <w:ind w:left="-145" w:right="-83"/>
              <w:jc w:val="center"/>
              <w:rPr>
                <w:b/>
                <w:bCs/>
                <w:sz w:val="20"/>
                <w:szCs w:val="20"/>
              </w:rPr>
            </w:pPr>
            <w:r w:rsidRPr="00467F9C">
              <w:rPr>
                <w:b/>
                <w:bCs/>
                <w:sz w:val="20"/>
                <w:szCs w:val="20"/>
              </w:rPr>
              <w:t>3 443 228,0</w:t>
            </w:r>
          </w:p>
        </w:tc>
        <w:tc>
          <w:tcPr>
            <w:tcW w:w="1444" w:type="dxa"/>
            <w:tcBorders>
              <w:top w:val="nil"/>
              <w:left w:val="nil"/>
              <w:bottom w:val="single" w:sz="4" w:space="0" w:color="auto"/>
              <w:right w:val="single" w:sz="4" w:space="0" w:color="auto"/>
            </w:tcBorders>
            <w:shd w:val="clear" w:color="auto" w:fill="EEECE1" w:themeFill="background2"/>
            <w:vAlign w:val="center"/>
            <w:hideMark/>
          </w:tcPr>
          <w:p w:rsidR="005E541F" w:rsidRPr="00467F9C" w:rsidRDefault="005E541F" w:rsidP="00191861">
            <w:pPr>
              <w:jc w:val="center"/>
              <w:rPr>
                <w:b/>
                <w:bCs/>
                <w:sz w:val="20"/>
                <w:szCs w:val="20"/>
              </w:rPr>
            </w:pPr>
            <w:r w:rsidRPr="00467F9C">
              <w:rPr>
                <w:b/>
                <w:bCs/>
                <w:sz w:val="20"/>
                <w:szCs w:val="20"/>
              </w:rPr>
              <w:t>-171 050,7</w:t>
            </w:r>
          </w:p>
        </w:tc>
        <w:tc>
          <w:tcPr>
            <w:tcW w:w="1215" w:type="dxa"/>
            <w:tcBorders>
              <w:top w:val="nil"/>
              <w:left w:val="nil"/>
              <w:bottom w:val="single" w:sz="4" w:space="0" w:color="auto"/>
              <w:right w:val="single" w:sz="4" w:space="0" w:color="auto"/>
            </w:tcBorders>
            <w:shd w:val="clear" w:color="000000" w:fill="E7E6E6"/>
            <w:hideMark/>
          </w:tcPr>
          <w:p w:rsidR="005E541F" w:rsidRPr="00467F9C" w:rsidRDefault="005E541F" w:rsidP="00191861">
            <w:pPr>
              <w:jc w:val="center"/>
              <w:rPr>
                <w:b/>
                <w:bCs/>
                <w:sz w:val="20"/>
                <w:szCs w:val="20"/>
              </w:rPr>
            </w:pPr>
            <w:r w:rsidRPr="00467F9C">
              <w:rPr>
                <w:b/>
                <w:bCs/>
                <w:sz w:val="20"/>
                <w:szCs w:val="20"/>
              </w:rPr>
              <w:t>95,3</w:t>
            </w:r>
          </w:p>
        </w:tc>
      </w:tr>
      <w:tr w:rsidR="005E541F" w:rsidRPr="00467F9C" w:rsidTr="00A95989">
        <w:trPr>
          <w:trHeight w:val="240"/>
        </w:trPr>
        <w:tc>
          <w:tcPr>
            <w:tcW w:w="4820" w:type="dxa"/>
            <w:tcBorders>
              <w:top w:val="nil"/>
              <w:left w:val="single" w:sz="4" w:space="0" w:color="auto"/>
              <w:bottom w:val="single" w:sz="4" w:space="0" w:color="auto"/>
              <w:right w:val="single" w:sz="4" w:space="0" w:color="auto"/>
            </w:tcBorders>
            <w:shd w:val="clear" w:color="auto" w:fill="auto"/>
            <w:hideMark/>
          </w:tcPr>
          <w:p w:rsidR="005E541F" w:rsidRPr="00467F9C" w:rsidRDefault="005E541F" w:rsidP="00191861">
            <w:pPr>
              <w:jc w:val="both"/>
              <w:rPr>
                <w:sz w:val="20"/>
                <w:szCs w:val="20"/>
              </w:rPr>
            </w:pPr>
            <w:r w:rsidRPr="00467F9C">
              <w:rPr>
                <w:sz w:val="20"/>
                <w:szCs w:val="20"/>
              </w:rPr>
              <w:t xml:space="preserve">Другие вопросы в области здравоохранения </w:t>
            </w:r>
          </w:p>
        </w:tc>
        <w:tc>
          <w:tcPr>
            <w:tcW w:w="1309" w:type="dxa"/>
            <w:tcBorders>
              <w:top w:val="nil"/>
              <w:left w:val="nil"/>
              <w:bottom w:val="single" w:sz="4" w:space="0" w:color="auto"/>
              <w:right w:val="single" w:sz="4" w:space="0" w:color="auto"/>
            </w:tcBorders>
            <w:shd w:val="clear" w:color="auto" w:fill="auto"/>
            <w:hideMark/>
          </w:tcPr>
          <w:p w:rsidR="005E541F" w:rsidRPr="00467F9C" w:rsidRDefault="005E541F" w:rsidP="007569A1">
            <w:pPr>
              <w:ind w:left="-111" w:right="-79"/>
              <w:jc w:val="center"/>
              <w:rPr>
                <w:b/>
                <w:bCs/>
                <w:sz w:val="20"/>
                <w:szCs w:val="20"/>
              </w:rPr>
            </w:pPr>
            <w:r w:rsidRPr="00467F9C">
              <w:rPr>
                <w:b/>
                <w:bCs/>
                <w:sz w:val="20"/>
                <w:szCs w:val="20"/>
              </w:rPr>
              <w:t>3 614 278,7</w:t>
            </w:r>
          </w:p>
        </w:tc>
        <w:tc>
          <w:tcPr>
            <w:tcW w:w="1276" w:type="dxa"/>
            <w:tcBorders>
              <w:top w:val="nil"/>
              <w:left w:val="nil"/>
              <w:bottom w:val="single" w:sz="4" w:space="0" w:color="auto"/>
              <w:right w:val="single" w:sz="4" w:space="0" w:color="auto"/>
            </w:tcBorders>
            <w:shd w:val="clear" w:color="auto" w:fill="auto"/>
            <w:hideMark/>
          </w:tcPr>
          <w:p w:rsidR="005E541F" w:rsidRPr="00467F9C" w:rsidRDefault="005E541F" w:rsidP="007569A1">
            <w:pPr>
              <w:ind w:left="-145" w:right="-83"/>
              <w:jc w:val="center"/>
              <w:rPr>
                <w:b/>
                <w:bCs/>
                <w:sz w:val="20"/>
                <w:szCs w:val="20"/>
              </w:rPr>
            </w:pPr>
            <w:r w:rsidRPr="00467F9C">
              <w:rPr>
                <w:b/>
                <w:bCs/>
                <w:sz w:val="20"/>
                <w:szCs w:val="20"/>
              </w:rPr>
              <w:t>3 443 228,0</w:t>
            </w:r>
          </w:p>
        </w:tc>
        <w:tc>
          <w:tcPr>
            <w:tcW w:w="144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
                <w:bCs/>
                <w:sz w:val="20"/>
                <w:szCs w:val="20"/>
              </w:rPr>
            </w:pPr>
            <w:r w:rsidRPr="00467F9C">
              <w:rPr>
                <w:b/>
                <w:bCs/>
                <w:sz w:val="20"/>
                <w:szCs w:val="20"/>
              </w:rPr>
              <w:t>-171 050,7</w:t>
            </w:r>
          </w:p>
        </w:tc>
        <w:tc>
          <w:tcPr>
            <w:tcW w:w="1215" w:type="dxa"/>
            <w:tcBorders>
              <w:top w:val="nil"/>
              <w:left w:val="nil"/>
              <w:bottom w:val="single" w:sz="4" w:space="0" w:color="auto"/>
              <w:right w:val="single" w:sz="4" w:space="0" w:color="auto"/>
            </w:tcBorders>
            <w:shd w:val="clear" w:color="auto" w:fill="auto"/>
            <w:hideMark/>
          </w:tcPr>
          <w:p w:rsidR="005E541F" w:rsidRPr="00467F9C" w:rsidRDefault="005E541F" w:rsidP="00191861">
            <w:pPr>
              <w:jc w:val="center"/>
              <w:rPr>
                <w:sz w:val="20"/>
                <w:szCs w:val="20"/>
              </w:rPr>
            </w:pPr>
            <w:r w:rsidRPr="00467F9C">
              <w:rPr>
                <w:sz w:val="20"/>
                <w:szCs w:val="20"/>
              </w:rPr>
              <w:t>95,3</w:t>
            </w:r>
          </w:p>
        </w:tc>
      </w:tr>
      <w:tr w:rsidR="005E541F" w:rsidRPr="00467F9C" w:rsidTr="00A95989">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E541F" w:rsidRPr="00467F9C" w:rsidRDefault="005E541F" w:rsidP="00191861">
            <w:pPr>
              <w:jc w:val="both"/>
              <w:rPr>
                <w:b/>
                <w:bCs/>
                <w:i/>
                <w:iCs/>
                <w:sz w:val="20"/>
                <w:szCs w:val="20"/>
              </w:rPr>
            </w:pPr>
            <w:r w:rsidRPr="00467F9C">
              <w:rPr>
                <w:b/>
                <w:bCs/>
                <w:i/>
                <w:iCs/>
                <w:sz w:val="20"/>
                <w:szCs w:val="20"/>
              </w:rPr>
              <w:t>Территориальная программа ОМС</w:t>
            </w:r>
          </w:p>
        </w:tc>
        <w:tc>
          <w:tcPr>
            <w:tcW w:w="13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5E541F" w:rsidRPr="00467F9C" w:rsidRDefault="005E541F" w:rsidP="007569A1">
            <w:pPr>
              <w:ind w:left="-111" w:right="-79"/>
              <w:jc w:val="center"/>
              <w:rPr>
                <w:b/>
                <w:bCs/>
                <w:i/>
                <w:iCs/>
                <w:sz w:val="20"/>
                <w:szCs w:val="20"/>
              </w:rPr>
            </w:pPr>
            <w:r w:rsidRPr="00467F9C">
              <w:rPr>
                <w:b/>
                <w:bCs/>
                <w:i/>
                <w:iCs/>
                <w:sz w:val="20"/>
                <w:szCs w:val="20"/>
              </w:rPr>
              <w:t>3 415 409,2</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5E541F" w:rsidRPr="00467F9C" w:rsidRDefault="005E541F" w:rsidP="007569A1">
            <w:pPr>
              <w:ind w:left="-145" w:right="-83"/>
              <w:jc w:val="center"/>
              <w:rPr>
                <w:b/>
                <w:bCs/>
                <w:i/>
                <w:iCs/>
                <w:sz w:val="20"/>
                <w:szCs w:val="20"/>
              </w:rPr>
            </w:pPr>
            <w:r w:rsidRPr="00467F9C">
              <w:rPr>
                <w:b/>
                <w:bCs/>
                <w:i/>
                <w:iCs/>
                <w:sz w:val="20"/>
                <w:szCs w:val="20"/>
              </w:rPr>
              <w:t>3 347 368,6</w:t>
            </w:r>
          </w:p>
        </w:tc>
        <w:tc>
          <w:tcPr>
            <w:tcW w:w="14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5E541F" w:rsidRPr="00467F9C" w:rsidRDefault="005E541F" w:rsidP="00191861">
            <w:pPr>
              <w:jc w:val="center"/>
              <w:rPr>
                <w:b/>
                <w:bCs/>
                <w:sz w:val="20"/>
                <w:szCs w:val="20"/>
              </w:rPr>
            </w:pPr>
            <w:r w:rsidRPr="00467F9C">
              <w:rPr>
                <w:b/>
                <w:bCs/>
                <w:sz w:val="20"/>
                <w:szCs w:val="20"/>
              </w:rPr>
              <w:t>-68 040,6</w:t>
            </w:r>
          </w:p>
        </w:tc>
        <w:tc>
          <w:tcPr>
            <w:tcW w:w="1215" w:type="dxa"/>
            <w:tcBorders>
              <w:top w:val="nil"/>
              <w:left w:val="single" w:sz="4" w:space="0" w:color="auto"/>
              <w:bottom w:val="single" w:sz="4" w:space="0" w:color="auto"/>
              <w:right w:val="single" w:sz="4" w:space="0" w:color="auto"/>
            </w:tcBorders>
            <w:shd w:val="clear" w:color="auto" w:fill="DBE5F1" w:themeFill="accent1" w:themeFillTint="33"/>
            <w:hideMark/>
          </w:tcPr>
          <w:p w:rsidR="005E541F" w:rsidRPr="00467F9C" w:rsidRDefault="005E541F" w:rsidP="00191861">
            <w:pPr>
              <w:jc w:val="center"/>
              <w:rPr>
                <w:b/>
                <w:bCs/>
                <w:i/>
                <w:iCs/>
                <w:sz w:val="20"/>
                <w:szCs w:val="20"/>
              </w:rPr>
            </w:pPr>
            <w:r w:rsidRPr="00467F9C">
              <w:rPr>
                <w:b/>
                <w:bCs/>
                <w:i/>
                <w:iCs/>
                <w:sz w:val="20"/>
                <w:szCs w:val="20"/>
              </w:rPr>
              <w:t>98,0</w:t>
            </w:r>
          </w:p>
        </w:tc>
      </w:tr>
      <w:tr w:rsidR="005E541F" w:rsidRPr="00467F9C" w:rsidTr="00A95989">
        <w:trPr>
          <w:trHeight w:val="590"/>
        </w:trPr>
        <w:tc>
          <w:tcPr>
            <w:tcW w:w="4820" w:type="dxa"/>
            <w:tcBorders>
              <w:top w:val="single" w:sz="4" w:space="0" w:color="auto"/>
              <w:left w:val="single" w:sz="4" w:space="0" w:color="auto"/>
              <w:bottom w:val="single" w:sz="4" w:space="0" w:color="auto"/>
              <w:right w:val="nil"/>
            </w:tcBorders>
            <w:shd w:val="clear" w:color="auto" w:fill="auto"/>
            <w:hideMark/>
          </w:tcPr>
          <w:p w:rsidR="005E541F" w:rsidRDefault="005E541F" w:rsidP="00191861">
            <w:pPr>
              <w:jc w:val="both"/>
              <w:rPr>
                <w:sz w:val="20"/>
                <w:szCs w:val="20"/>
              </w:rPr>
            </w:pPr>
            <w:r w:rsidRPr="00467F9C">
              <w:rPr>
                <w:sz w:val="20"/>
                <w:szCs w:val="20"/>
              </w:rPr>
              <w:t xml:space="preserve">Финансовое обеспечение организации ОМС на территориях субъектов РФ (Социальное обеспечение и иные выплаты населению) </w:t>
            </w:r>
          </w:p>
          <w:p w:rsidR="00A95989" w:rsidRPr="00A95989" w:rsidRDefault="00A95989" w:rsidP="00191861">
            <w:pPr>
              <w:jc w:val="both"/>
              <w:rPr>
                <w:sz w:val="6"/>
                <w:szCs w:val="6"/>
              </w:rPr>
            </w:pPr>
          </w:p>
        </w:tc>
        <w:tc>
          <w:tcPr>
            <w:tcW w:w="1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E541F" w:rsidRPr="00467F9C" w:rsidRDefault="005E541F" w:rsidP="007569A1">
            <w:pPr>
              <w:ind w:left="-111" w:right="-79"/>
              <w:jc w:val="center"/>
              <w:rPr>
                <w:sz w:val="20"/>
                <w:szCs w:val="20"/>
              </w:rPr>
            </w:pPr>
            <w:r w:rsidRPr="00467F9C">
              <w:rPr>
                <w:sz w:val="20"/>
                <w:szCs w:val="20"/>
              </w:rPr>
              <w:t>1 977 056,3</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rsidR="005E541F" w:rsidRPr="00467F9C" w:rsidRDefault="005E541F" w:rsidP="007569A1">
            <w:pPr>
              <w:ind w:left="-145" w:right="-83"/>
              <w:jc w:val="center"/>
              <w:rPr>
                <w:sz w:val="20"/>
                <w:szCs w:val="20"/>
              </w:rPr>
            </w:pPr>
            <w:r w:rsidRPr="00467F9C">
              <w:rPr>
                <w:sz w:val="20"/>
                <w:szCs w:val="20"/>
              </w:rPr>
              <w:t>1 965 831,6</w:t>
            </w:r>
          </w:p>
        </w:tc>
        <w:tc>
          <w:tcPr>
            <w:tcW w:w="1444" w:type="dxa"/>
            <w:tcBorders>
              <w:top w:val="single" w:sz="4" w:space="0" w:color="auto"/>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Cs/>
                <w:sz w:val="20"/>
                <w:szCs w:val="20"/>
              </w:rPr>
            </w:pPr>
            <w:r w:rsidRPr="00467F9C">
              <w:rPr>
                <w:bCs/>
                <w:sz w:val="20"/>
                <w:szCs w:val="20"/>
              </w:rPr>
              <w:t>-11 224,7</w:t>
            </w:r>
          </w:p>
        </w:tc>
        <w:tc>
          <w:tcPr>
            <w:tcW w:w="1215" w:type="dxa"/>
            <w:tcBorders>
              <w:top w:val="nil"/>
              <w:left w:val="nil"/>
              <w:bottom w:val="single" w:sz="4" w:space="0" w:color="auto"/>
              <w:right w:val="single" w:sz="4" w:space="0" w:color="auto"/>
            </w:tcBorders>
            <w:shd w:val="clear" w:color="auto" w:fill="auto"/>
            <w:hideMark/>
          </w:tcPr>
          <w:p w:rsidR="005E541F" w:rsidRPr="00467F9C" w:rsidRDefault="005E541F" w:rsidP="00191861">
            <w:pPr>
              <w:jc w:val="center"/>
              <w:rPr>
                <w:sz w:val="20"/>
                <w:szCs w:val="20"/>
              </w:rPr>
            </w:pPr>
            <w:r w:rsidRPr="00467F9C">
              <w:rPr>
                <w:sz w:val="20"/>
                <w:szCs w:val="20"/>
              </w:rPr>
              <w:t>99,4</w:t>
            </w:r>
          </w:p>
        </w:tc>
      </w:tr>
      <w:tr w:rsidR="005E541F" w:rsidRPr="00467F9C" w:rsidTr="00A95989">
        <w:trPr>
          <w:trHeight w:val="661"/>
        </w:trPr>
        <w:tc>
          <w:tcPr>
            <w:tcW w:w="4820" w:type="dxa"/>
            <w:tcBorders>
              <w:top w:val="nil"/>
              <w:left w:val="single" w:sz="4" w:space="0" w:color="auto"/>
              <w:bottom w:val="single" w:sz="4" w:space="0" w:color="auto"/>
              <w:right w:val="single" w:sz="4" w:space="0" w:color="auto"/>
            </w:tcBorders>
            <w:shd w:val="clear" w:color="auto" w:fill="auto"/>
            <w:hideMark/>
          </w:tcPr>
          <w:p w:rsidR="005E541F" w:rsidRDefault="005E541F" w:rsidP="00191861">
            <w:pPr>
              <w:jc w:val="both"/>
              <w:rPr>
                <w:sz w:val="20"/>
                <w:szCs w:val="20"/>
              </w:rPr>
            </w:pPr>
            <w:r w:rsidRPr="00467F9C">
              <w:rPr>
                <w:sz w:val="20"/>
                <w:szCs w:val="20"/>
              </w:rPr>
              <w:t xml:space="preserve">Выполнение территориальной программы ОМС сверх базовой программы ОМС (Социальное обеспечение и иные выплаты населению)  </w:t>
            </w:r>
          </w:p>
          <w:p w:rsidR="00A95989" w:rsidRPr="00A95989" w:rsidRDefault="00A95989" w:rsidP="00191861">
            <w:pPr>
              <w:jc w:val="both"/>
              <w:rPr>
                <w:sz w:val="6"/>
                <w:szCs w:val="6"/>
              </w:rPr>
            </w:pPr>
          </w:p>
        </w:tc>
        <w:tc>
          <w:tcPr>
            <w:tcW w:w="1309" w:type="dxa"/>
            <w:tcBorders>
              <w:top w:val="nil"/>
              <w:left w:val="nil"/>
              <w:bottom w:val="single" w:sz="4" w:space="0" w:color="auto"/>
              <w:right w:val="single" w:sz="4" w:space="0" w:color="auto"/>
            </w:tcBorders>
            <w:shd w:val="clear" w:color="auto" w:fill="FFFFFF" w:themeFill="background1"/>
            <w:vAlign w:val="center"/>
            <w:hideMark/>
          </w:tcPr>
          <w:p w:rsidR="005E541F" w:rsidRPr="00467F9C" w:rsidRDefault="005E541F" w:rsidP="007569A1">
            <w:pPr>
              <w:ind w:left="-111" w:right="-79"/>
              <w:jc w:val="center"/>
              <w:rPr>
                <w:sz w:val="20"/>
                <w:szCs w:val="20"/>
              </w:rPr>
            </w:pPr>
            <w:r w:rsidRPr="00467F9C">
              <w:rPr>
                <w:sz w:val="20"/>
                <w:szCs w:val="20"/>
              </w:rPr>
              <w:t>1 256 333,3</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5E541F" w:rsidRPr="00467F9C" w:rsidRDefault="005E541F" w:rsidP="007569A1">
            <w:pPr>
              <w:ind w:left="-145" w:right="-83"/>
              <w:jc w:val="center"/>
              <w:rPr>
                <w:sz w:val="20"/>
                <w:szCs w:val="20"/>
              </w:rPr>
            </w:pPr>
            <w:r w:rsidRPr="00467F9C">
              <w:rPr>
                <w:sz w:val="20"/>
                <w:szCs w:val="20"/>
              </w:rPr>
              <w:t>1 251 965,1</w:t>
            </w:r>
          </w:p>
        </w:tc>
        <w:tc>
          <w:tcPr>
            <w:tcW w:w="144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Cs/>
                <w:sz w:val="20"/>
                <w:szCs w:val="20"/>
              </w:rPr>
            </w:pPr>
            <w:r w:rsidRPr="00467F9C">
              <w:rPr>
                <w:bCs/>
                <w:sz w:val="20"/>
                <w:szCs w:val="20"/>
              </w:rPr>
              <w:t>-4 368,2</w:t>
            </w:r>
          </w:p>
        </w:tc>
        <w:tc>
          <w:tcPr>
            <w:tcW w:w="1215"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20"/>
                <w:szCs w:val="20"/>
              </w:rPr>
            </w:pPr>
            <w:r w:rsidRPr="00467F9C">
              <w:rPr>
                <w:sz w:val="20"/>
                <w:szCs w:val="20"/>
              </w:rPr>
              <w:t>99,7</w:t>
            </w:r>
          </w:p>
        </w:tc>
      </w:tr>
      <w:tr w:rsidR="005E541F" w:rsidRPr="00467F9C" w:rsidTr="00A95989">
        <w:trPr>
          <w:trHeight w:val="765"/>
        </w:trPr>
        <w:tc>
          <w:tcPr>
            <w:tcW w:w="4820" w:type="dxa"/>
            <w:tcBorders>
              <w:top w:val="nil"/>
              <w:left w:val="single" w:sz="4" w:space="0" w:color="auto"/>
              <w:bottom w:val="single" w:sz="4" w:space="0" w:color="auto"/>
              <w:right w:val="single" w:sz="4" w:space="0" w:color="auto"/>
            </w:tcBorders>
            <w:shd w:val="clear" w:color="auto" w:fill="auto"/>
            <w:hideMark/>
          </w:tcPr>
          <w:p w:rsidR="005E541F" w:rsidRPr="00467F9C" w:rsidRDefault="005E541F" w:rsidP="00191861">
            <w:pPr>
              <w:jc w:val="both"/>
              <w:rPr>
                <w:sz w:val="20"/>
                <w:szCs w:val="20"/>
              </w:rPr>
            </w:pPr>
            <w:r w:rsidRPr="00467F9C">
              <w:rPr>
                <w:sz w:val="20"/>
                <w:szCs w:val="20"/>
              </w:rPr>
              <w:t xml:space="preserve">Выполнение территориальной программы ОМС в рамках базовой программы ОМС (Социальное обеспечение и иные выплаты населению) </w:t>
            </w:r>
          </w:p>
        </w:tc>
        <w:tc>
          <w:tcPr>
            <w:tcW w:w="1309" w:type="dxa"/>
            <w:tcBorders>
              <w:top w:val="nil"/>
              <w:left w:val="nil"/>
              <w:bottom w:val="single" w:sz="4" w:space="0" w:color="auto"/>
              <w:right w:val="single" w:sz="4" w:space="0" w:color="auto"/>
            </w:tcBorders>
            <w:shd w:val="clear" w:color="auto" w:fill="FFFFFF" w:themeFill="background1"/>
            <w:vAlign w:val="center"/>
            <w:hideMark/>
          </w:tcPr>
          <w:p w:rsidR="005E541F" w:rsidRPr="00467F9C" w:rsidRDefault="005E541F" w:rsidP="007569A1">
            <w:pPr>
              <w:ind w:left="-111" w:right="-79"/>
              <w:jc w:val="center"/>
              <w:rPr>
                <w:sz w:val="20"/>
                <w:szCs w:val="20"/>
              </w:rPr>
            </w:pPr>
            <w:r w:rsidRPr="00467F9C">
              <w:rPr>
                <w:sz w:val="20"/>
                <w:szCs w:val="20"/>
              </w:rPr>
              <w:t>58 475,3</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5E541F" w:rsidRPr="00467F9C" w:rsidRDefault="005E541F" w:rsidP="007569A1">
            <w:pPr>
              <w:ind w:left="-145" w:right="-83"/>
              <w:jc w:val="center"/>
              <w:rPr>
                <w:sz w:val="20"/>
                <w:szCs w:val="20"/>
              </w:rPr>
            </w:pPr>
            <w:r w:rsidRPr="00467F9C">
              <w:rPr>
                <w:sz w:val="20"/>
                <w:szCs w:val="20"/>
              </w:rPr>
              <w:t>58 475,3</w:t>
            </w:r>
          </w:p>
        </w:tc>
        <w:tc>
          <w:tcPr>
            <w:tcW w:w="144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Cs/>
                <w:sz w:val="20"/>
                <w:szCs w:val="20"/>
              </w:rPr>
            </w:pPr>
            <w:r w:rsidRPr="00467F9C">
              <w:rPr>
                <w:bCs/>
                <w:sz w:val="20"/>
                <w:szCs w:val="20"/>
              </w:rPr>
              <w:t>0,0</w:t>
            </w:r>
          </w:p>
        </w:tc>
        <w:tc>
          <w:tcPr>
            <w:tcW w:w="1215" w:type="dxa"/>
            <w:tcBorders>
              <w:top w:val="nil"/>
              <w:left w:val="nil"/>
              <w:bottom w:val="single" w:sz="4" w:space="0" w:color="auto"/>
              <w:right w:val="single" w:sz="4" w:space="0" w:color="auto"/>
            </w:tcBorders>
            <w:shd w:val="clear" w:color="auto" w:fill="auto"/>
            <w:hideMark/>
          </w:tcPr>
          <w:p w:rsidR="005E541F" w:rsidRPr="00467F9C" w:rsidRDefault="005E541F" w:rsidP="00191861">
            <w:pPr>
              <w:jc w:val="center"/>
              <w:rPr>
                <w:sz w:val="20"/>
                <w:szCs w:val="20"/>
              </w:rPr>
            </w:pPr>
            <w:r w:rsidRPr="00467F9C">
              <w:rPr>
                <w:sz w:val="20"/>
                <w:szCs w:val="20"/>
              </w:rPr>
              <w:t>100,0</w:t>
            </w:r>
          </w:p>
        </w:tc>
      </w:tr>
      <w:tr w:rsidR="005E541F" w:rsidRPr="00467F9C" w:rsidTr="00A95989">
        <w:trPr>
          <w:trHeight w:val="765"/>
        </w:trPr>
        <w:tc>
          <w:tcPr>
            <w:tcW w:w="4820" w:type="dxa"/>
            <w:tcBorders>
              <w:top w:val="nil"/>
              <w:left w:val="single" w:sz="4" w:space="0" w:color="auto"/>
              <w:bottom w:val="single" w:sz="4" w:space="0" w:color="auto"/>
              <w:right w:val="single" w:sz="4" w:space="0" w:color="auto"/>
            </w:tcBorders>
            <w:shd w:val="clear" w:color="auto" w:fill="auto"/>
            <w:hideMark/>
          </w:tcPr>
          <w:p w:rsidR="005E541F" w:rsidRPr="00467F9C" w:rsidRDefault="005E541F" w:rsidP="00191861">
            <w:pPr>
              <w:jc w:val="both"/>
              <w:rPr>
                <w:sz w:val="20"/>
                <w:szCs w:val="20"/>
              </w:rPr>
            </w:pPr>
            <w:r w:rsidRPr="00467F9C">
              <w:rPr>
                <w:sz w:val="20"/>
                <w:szCs w:val="20"/>
              </w:rPr>
              <w:t xml:space="preserve">Финансовое обеспечение организации ОМС на территориях субъектов РФ (Межбюджетные трансферты) </w:t>
            </w:r>
          </w:p>
        </w:tc>
        <w:tc>
          <w:tcPr>
            <w:tcW w:w="1309" w:type="dxa"/>
            <w:tcBorders>
              <w:top w:val="nil"/>
              <w:left w:val="nil"/>
              <w:bottom w:val="single" w:sz="4" w:space="0" w:color="auto"/>
              <w:right w:val="single" w:sz="4" w:space="0" w:color="auto"/>
            </w:tcBorders>
            <w:shd w:val="clear" w:color="auto" w:fill="FFFFFF" w:themeFill="background1"/>
            <w:vAlign w:val="center"/>
            <w:hideMark/>
          </w:tcPr>
          <w:p w:rsidR="005E541F" w:rsidRPr="00467F9C" w:rsidRDefault="005E541F" w:rsidP="007569A1">
            <w:pPr>
              <w:ind w:left="-111" w:right="-79"/>
              <w:jc w:val="center"/>
              <w:rPr>
                <w:sz w:val="20"/>
                <w:szCs w:val="20"/>
              </w:rPr>
            </w:pPr>
            <w:r w:rsidRPr="00467F9C">
              <w:rPr>
                <w:sz w:val="20"/>
                <w:szCs w:val="20"/>
              </w:rPr>
              <w:t>63 775,1</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5E541F" w:rsidRPr="00467F9C" w:rsidRDefault="005E541F" w:rsidP="007569A1">
            <w:pPr>
              <w:ind w:left="-145" w:right="-83"/>
              <w:jc w:val="center"/>
              <w:rPr>
                <w:sz w:val="20"/>
                <w:szCs w:val="20"/>
              </w:rPr>
            </w:pPr>
            <w:r w:rsidRPr="00467F9C">
              <w:rPr>
                <w:sz w:val="20"/>
                <w:szCs w:val="20"/>
              </w:rPr>
              <w:t>63 768,4</w:t>
            </w:r>
          </w:p>
        </w:tc>
        <w:tc>
          <w:tcPr>
            <w:tcW w:w="144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Cs/>
                <w:sz w:val="20"/>
                <w:szCs w:val="20"/>
              </w:rPr>
            </w:pPr>
            <w:r w:rsidRPr="00467F9C">
              <w:rPr>
                <w:bCs/>
                <w:sz w:val="20"/>
                <w:szCs w:val="20"/>
              </w:rPr>
              <w:t>-6,7</w:t>
            </w:r>
          </w:p>
        </w:tc>
        <w:tc>
          <w:tcPr>
            <w:tcW w:w="1215" w:type="dxa"/>
            <w:tcBorders>
              <w:top w:val="nil"/>
              <w:left w:val="nil"/>
              <w:bottom w:val="single" w:sz="4" w:space="0" w:color="auto"/>
              <w:right w:val="single" w:sz="4" w:space="0" w:color="auto"/>
            </w:tcBorders>
            <w:shd w:val="clear" w:color="auto" w:fill="auto"/>
            <w:hideMark/>
          </w:tcPr>
          <w:p w:rsidR="005E541F" w:rsidRPr="00467F9C" w:rsidRDefault="005E541F" w:rsidP="00191861">
            <w:pPr>
              <w:jc w:val="center"/>
              <w:rPr>
                <w:sz w:val="20"/>
                <w:szCs w:val="20"/>
              </w:rPr>
            </w:pPr>
            <w:r w:rsidRPr="00467F9C">
              <w:rPr>
                <w:sz w:val="20"/>
                <w:szCs w:val="20"/>
              </w:rPr>
              <w:t>100,0</w:t>
            </w:r>
          </w:p>
        </w:tc>
      </w:tr>
      <w:tr w:rsidR="005E541F" w:rsidRPr="00467F9C" w:rsidTr="00A95989">
        <w:trPr>
          <w:trHeight w:val="439"/>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5E541F" w:rsidRDefault="005E541F" w:rsidP="00191861">
            <w:pPr>
              <w:jc w:val="both"/>
              <w:rPr>
                <w:sz w:val="20"/>
                <w:szCs w:val="20"/>
              </w:rPr>
            </w:pPr>
            <w:r w:rsidRPr="00467F9C">
              <w:rPr>
                <w:sz w:val="20"/>
                <w:szCs w:val="20"/>
              </w:rPr>
              <w:t xml:space="preserve">Дополнительное финансовое обеспечение оказания медпомощи лицам, застрахованным по ОМС, с заболеванием (подозрением) на заболевание новой </w:t>
            </w:r>
            <w:proofErr w:type="spellStart"/>
            <w:r w:rsidRPr="00467F9C">
              <w:rPr>
                <w:sz w:val="20"/>
                <w:szCs w:val="20"/>
              </w:rPr>
              <w:t>коронавирусной</w:t>
            </w:r>
            <w:proofErr w:type="spellEnd"/>
            <w:r w:rsidRPr="00467F9C">
              <w:rPr>
                <w:sz w:val="20"/>
                <w:szCs w:val="20"/>
              </w:rPr>
              <w:t xml:space="preserve"> инфекцией в рамках ВЦП "Организация ОМС  в РФ" подпрограммы "Совершенствование оказания медицинской помощи, включая профилактику заболеваний и формирования здорового образа жизни" госпрограммы РФ "Развитие здравоохранения" (Межбюджетные трансферты)</w:t>
            </w:r>
          </w:p>
          <w:p w:rsidR="00A95989" w:rsidRPr="00A95989" w:rsidRDefault="00A95989" w:rsidP="00191861">
            <w:pPr>
              <w:jc w:val="both"/>
              <w:rPr>
                <w:sz w:val="4"/>
                <w:szCs w:val="4"/>
              </w:rPr>
            </w:pPr>
          </w:p>
        </w:tc>
        <w:tc>
          <w:tcPr>
            <w:tcW w:w="1309" w:type="dxa"/>
            <w:tcBorders>
              <w:top w:val="nil"/>
              <w:left w:val="nil"/>
              <w:bottom w:val="single" w:sz="4" w:space="0" w:color="auto"/>
              <w:right w:val="single" w:sz="4" w:space="0" w:color="auto"/>
            </w:tcBorders>
            <w:shd w:val="clear" w:color="auto" w:fill="FFFFFF" w:themeFill="background1"/>
            <w:noWrap/>
            <w:vAlign w:val="center"/>
            <w:hideMark/>
          </w:tcPr>
          <w:p w:rsidR="005E541F" w:rsidRPr="00467F9C" w:rsidRDefault="005E541F" w:rsidP="007569A1">
            <w:pPr>
              <w:ind w:left="-111" w:right="-79"/>
              <w:jc w:val="center"/>
              <w:rPr>
                <w:sz w:val="20"/>
                <w:szCs w:val="20"/>
              </w:rPr>
            </w:pPr>
            <w:r w:rsidRPr="00467F9C">
              <w:rPr>
                <w:sz w:val="20"/>
                <w:szCs w:val="20"/>
              </w:rPr>
              <w:t>13 583,8</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5E541F" w:rsidRPr="00467F9C" w:rsidRDefault="005E541F" w:rsidP="007569A1">
            <w:pPr>
              <w:ind w:left="-145" w:right="-83"/>
              <w:jc w:val="center"/>
              <w:rPr>
                <w:sz w:val="20"/>
                <w:szCs w:val="20"/>
              </w:rPr>
            </w:pPr>
            <w:r w:rsidRPr="00467F9C">
              <w:rPr>
                <w:sz w:val="20"/>
                <w:szCs w:val="20"/>
              </w:rPr>
              <w:t>0,00</w:t>
            </w:r>
          </w:p>
        </w:tc>
        <w:tc>
          <w:tcPr>
            <w:tcW w:w="144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Cs/>
                <w:sz w:val="20"/>
                <w:szCs w:val="20"/>
              </w:rPr>
            </w:pPr>
            <w:r w:rsidRPr="00467F9C">
              <w:rPr>
                <w:bCs/>
                <w:sz w:val="20"/>
                <w:szCs w:val="20"/>
              </w:rPr>
              <w:t>-13 583,8</w:t>
            </w:r>
          </w:p>
        </w:tc>
        <w:tc>
          <w:tcPr>
            <w:tcW w:w="1215"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20"/>
                <w:szCs w:val="20"/>
              </w:rPr>
            </w:pPr>
            <w:r w:rsidRPr="00467F9C">
              <w:rPr>
                <w:sz w:val="20"/>
                <w:szCs w:val="20"/>
              </w:rPr>
              <w:t>0,0</w:t>
            </w:r>
          </w:p>
        </w:tc>
      </w:tr>
      <w:tr w:rsidR="005E541F" w:rsidRPr="00467F9C" w:rsidTr="00A95989">
        <w:trPr>
          <w:trHeight w:val="1523"/>
        </w:trPr>
        <w:tc>
          <w:tcPr>
            <w:tcW w:w="4820" w:type="dxa"/>
            <w:tcBorders>
              <w:top w:val="nil"/>
              <w:left w:val="single" w:sz="4" w:space="0" w:color="auto"/>
              <w:bottom w:val="single" w:sz="4" w:space="0" w:color="auto"/>
              <w:right w:val="single" w:sz="4" w:space="0" w:color="auto"/>
            </w:tcBorders>
            <w:shd w:val="clear" w:color="auto" w:fill="auto"/>
            <w:hideMark/>
          </w:tcPr>
          <w:p w:rsidR="005E541F" w:rsidRPr="00467F9C" w:rsidRDefault="005E541F" w:rsidP="00191861">
            <w:pPr>
              <w:jc w:val="both"/>
              <w:rPr>
                <w:sz w:val="20"/>
                <w:szCs w:val="20"/>
              </w:rPr>
            </w:pPr>
            <w:r w:rsidRPr="00467F9C">
              <w:rPr>
                <w:sz w:val="20"/>
                <w:szCs w:val="20"/>
              </w:rPr>
              <w:lastRenderedPageBreak/>
              <w:t xml:space="preserve">Финансовое обеспечение расходных обязательств на доп. финансовое обеспечение оказания медпомощи, в том числе лицам с заболеванием и (или) подозрением на заболевание новой </w:t>
            </w:r>
            <w:proofErr w:type="spellStart"/>
            <w:r w:rsidRPr="00467F9C">
              <w:rPr>
                <w:sz w:val="20"/>
                <w:szCs w:val="20"/>
              </w:rPr>
              <w:t>коронавирусной</w:t>
            </w:r>
            <w:proofErr w:type="spellEnd"/>
            <w:r w:rsidRPr="00467F9C">
              <w:rPr>
                <w:sz w:val="20"/>
                <w:szCs w:val="20"/>
              </w:rPr>
              <w:t xml:space="preserve"> инфекцией (COVID-19), в рамках реализации ТП ОМС за счет резервного фонда Правительства </w:t>
            </w:r>
            <w:proofErr w:type="gramStart"/>
            <w:r w:rsidRPr="00467F9C">
              <w:rPr>
                <w:sz w:val="20"/>
                <w:szCs w:val="20"/>
              </w:rPr>
              <w:t>РФ  (</w:t>
            </w:r>
            <w:proofErr w:type="gramEnd"/>
            <w:r w:rsidRPr="00467F9C">
              <w:rPr>
                <w:sz w:val="20"/>
                <w:szCs w:val="20"/>
              </w:rPr>
              <w:t>Межбюджетные трансферты)</w:t>
            </w:r>
          </w:p>
        </w:tc>
        <w:tc>
          <w:tcPr>
            <w:tcW w:w="1309" w:type="dxa"/>
            <w:tcBorders>
              <w:top w:val="nil"/>
              <w:left w:val="nil"/>
              <w:bottom w:val="single" w:sz="4" w:space="0" w:color="auto"/>
              <w:right w:val="single" w:sz="4" w:space="0" w:color="auto"/>
            </w:tcBorders>
            <w:shd w:val="clear" w:color="auto" w:fill="FFFFFF" w:themeFill="background1"/>
            <w:vAlign w:val="center"/>
            <w:hideMark/>
          </w:tcPr>
          <w:p w:rsidR="005E541F" w:rsidRPr="00467F9C" w:rsidRDefault="005E541F" w:rsidP="007569A1">
            <w:pPr>
              <w:ind w:left="-111" w:right="-79"/>
              <w:jc w:val="center"/>
              <w:rPr>
                <w:sz w:val="20"/>
                <w:szCs w:val="20"/>
              </w:rPr>
            </w:pPr>
            <w:r w:rsidRPr="00467F9C">
              <w:rPr>
                <w:sz w:val="20"/>
                <w:szCs w:val="20"/>
              </w:rPr>
              <w:t>44 710,2</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5E541F" w:rsidRPr="00467F9C" w:rsidRDefault="005E541F" w:rsidP="007569A1">
            <w:pPr>
              <w:ind w:left="-145" w:right="-83"/>
              <w:jc w:val="center"/>
              <w:rPr>
                <w:sz w:val="20"/>
                <w:szCs w:val="20"/>
              </w:rPr>
            </w:pPr>
            <w:r w:rsidRPr="00467F9C">
              <w:rPr>
                <w:sz w:val="20"/>
                <w:szCs w:val="20"/>
              </w:rPr>
              <w:t>7 119,8</w:t>
            </w:r>
          </w:p>
        </w:tc>
        <w:tc>
          <w:tcPr>
            <w:tcW w:w="144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Cs/>
                <w:sz w:val="20"/>
                <w:szCs w:val="20"/>
              </w:rPr>
            </w:pPr>
            <w:r w:rsidRPr="00467F9C">
              <w:rPr>
                <w:bCs/>
                <w:sz w:val="20"/>
                <w:szCs w:val="20"/>
              </w:rPr>
              <w:t>-37 590,4</w:t>
            </w:r>
          </w:p>
        </w:tc>
        <w:tc>
          <w:tcPr>
            <w:tcW w:w="1215"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20"/>
                <w:szCs w:val="20"/>
              </w:rPr>
            </w:pPr>
            <w:r w:rsidRPr="00467F9C">
              <w:rPr>
                <w:sz w:val="20"/>
                <w:szCs w:val="20"/>
              </w:rPr>
              <w:t>15,9</w:t>
            </w:r>
          </w:p>
        </w:tc>
      </w:tr>
      <w:tr w:rsidR="005E541F" w:rsidRPr="00467F9C" w:rsidTr="00A95989">
        <w:trPr>
          <w:trHeight w:val="255"/>
        </w:trPr>
        <w:tc>
          <w:tcPr>
            <w:tcW w:w="4820" w:type="dxa"/>
            <w:tcBorders>
              <w:top w:val="nil"/>
              <w:left w:val="single" w:sz="4" w:space="0" w:color="auto"/>
              <w:bottom w:val="single" w:sz="4" w:space="0" w:color="auto"/>
              <w:right w:val="single" w:sz="4" w:space="0" w:color="auto"/>
            </w:tcBorders>
            <w:shd w:val="clear" w:color="000000" w:fill="FFFFFF"/>
            <w:hideMark/>
          </w:tcPr>
          <w:p w:rsidR="005E541F" w:rsidRDefault="005E541F" w:rsidP="00191861">
            <w:pPr>
              <w:jc w:val="both"/>
              <w:rPr>
                <w:sz w:val="20"/>
                <w:szCs w:val="20"/>
              </w:rPr>
            </w:pPr>
            <w:r w:rsidRPr="00467F9C">
              <w:rPr>
                <w:sz w:val="20"/>
                <w:szCs w:val="20"/>
              </w:rPr>
              <w:t xml:space="preserve">Финансовое обеспечение проведения углубленной диспансеризации застрахованных по ОМС, перенесших новую </w:t>
            </w:r>
            <w:proofErr w:type="spellStart"/>
            <w:r w:rsidRPr="00467F9C">
              <w:rPr>
                <w:sz w:val="20"/>
                <w:szCs w:val="20"/>
              </w:rPr>
              <w:t>коронавирусную</w:t>
            </w:r>
            <w:proofErr w:type="spellEnd"/>
            <w:r w:rsidRPr="00467F9C">
              <w:rPr>
                <w:sz w:val="20"/>
                <w:szCs w:val="20"/>
              </w:rPr>
              <w:t xml:space="preserve"> инфекцию (COVID-19), за счет средств резервного фонда Правительства РФ (Социальное обеспечение и иные выплаты населению)</w:t>
            </w:r>
          </w:p>
          <w:p w:rsidR="000F1997" w:rsidRPr="000F1997" w:rsidRDefault="000F1997" w:rsidP="00191861">
            <w:pPr>
              <w:jc w:val="both"/>
              <w:rPr>
                <w:sz w:val="4"/>
                <w:szCs w:val="4"/>
              </w:rPr>
            </w:pPr>
          </w:p>
          <w:p w:rsidR="00A95989" w:rsidRPr="00A95989" w:rsidRDefault="00A95989" w:rsidP="00191861">
            <w:pPr>
              <w:jc w:val="both"/>
              <w:rPr>
                <w:sz w:val="4"/>
                <w:szCs w:val="4"/>
              </w:rPr>
            </w:pPr>
          </w:p>
        </w:tc>
        <w:tc>
          <w:tcPr>
            <w:tcW w:w="1309" w:type="dxa"/>
            <w:tcBorders>
              <w:top w:val="nil"/>
              <w:left w:val="nil"/>
              <w:bottom w:val="single" w:sz="4" w:space="0" w:color="auto"/>
              <w:right w:val="single" w:sz="4" w:space="0" w:color="auto"/>
            </w:tcBorders>
            <w:shd w:val="clear" w:color="auto" w:fill="FFFFFF" w:themeFill="background1"/>
            <w:vAlign w:val="center"/>
            <w:hideMark/>
          </w:tcPr>
          <w:p w:rsidR="005E541F" w:rsidRPr="00467F9C" w:rsidRDefault="005E541F" w:rsidP="007569A1">
            <w:pPr>
              <w:ind w:left="-111" w:right="-79"/>
              <w:jc w:val="center"/>
              <w:rPr>
                <w:sz w:val="20"/>
                <w:szCs w:val="20"/>
              </w:rPr>
            </w:pPr>
            <w:r w:rsidRPr="00467F9C">
              <w:rPr>
                <w:sz w:val="20"/>
                <w:szCs w:val="20"/>
              </w:rPr>
              <w:t>1 475,2</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5E541F" w:rsidRPr="00467F9C" w:rsidRDefault="005E541F" w:rsidP="007569A1">
            <w:pPr>
              <w:ind w:left="-145" w:right="-83"/>
              <w:jc w:val="center"/>
              <w:rPr>
                <w:sz w:val="20"/>
                <w:szCs w:val="20"/>
              </w:rPr>
            </w:pPr>
            <w:r w:rsidRPr="00467F9C">
              <w:rPr>
                <w:sz w:val="20"/>
                <w:szCs w:val="20"/>
              </w:rPr>
              <w:t>208,4</w:t>
            </w:r>
          </w:p>
        </w:tc>
        <w:tc>
          <w:tcPr>
            <w:tcW w:w="144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Cs/>
                <w:sz w:val="20"/>
                <w:szCs w:val="20"/>
              </w:rPr>
            </w:pPr>
            <w:r w:rsidRPr="00467F9C">
              <w:rPr>
                <w:bCs/>
                <w:sz w:val="20"/>
                <w:szCs w:val="20"/>
              </w:rPr>
              <w:t>-1 266,8</w:t>
            </w:r>
          </w:p>
        </w:tc>
        <w:tc>
          <w:tcPr>
            <w:tcW w:w="1215"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20"/>
                <w:szCs w:val="20"/>
              </w:rPr>
            </w:pPr>
            <w:r w:rsidRPr="00467F9C">
              <w:rPr>
                <w:sz w:val="20"/>
                <w:szCs w:val="20"/>
              </w:rPr>
              <w:t>14,1</w:t>
            </w:r>
          </w:p>
        </w:tc>
      </w:tr>
      <w:tr w:rsidR="005E541F" w:rsidRPr="00467F9C" w:rsidTr="00A95989">
        <w:trPr>
          <w:trHeight w:val="795"/>
        </w:trPr>
        <w:tc>
          <w:tcPr>
            <w:tcW w:w="4820" w:type="dxa"/>
            <w:tcBorders>
              <w:top w:val="nil"/>
              <w:left w:val="single" w:sz="4" w:space="0" w:color="auto"/>
              <w:bottom w:val="single" w:sz="4" w:space="0" w:color="auto"/>
              <w:right w:val="single" w:sz="4" w:space="0" w:color="auto"/>
            </w:tcBorders>
            <w:shd w:val="clear" w:color="auto" w:fill="DBE5F1" w:themeFill="accent1" w:themeFillTint="33"/>
            <w:vAlign w:val="bottom"/>
            <w:hideMark/>
          </w:tcPr>
          <w:p w:rsidR="005E541F" w:rsidRDefault="005E541F" w:rsidP="00191861">
            <w:pPr>
              <w:jc w:val="both"/>
              <w:rPr>
                <w:b/>
                <w:bCs/>
                <w:i/>
                <w:iCs/>
                <w:sz w:val="20"/>
                <w:szCs w:val="20"/>
              </w:rPr>
            </w:pPr>
            <w:r w:rsidRPr="00467F9C">
              <w:rPr>
                <w:b/>
                <w:bCs/>
                <w:i/>
                <w:iCs/>
                <w:sz w:val="20"/>
                <w:szCs w:val="20"/>
              </w:rPr>
              <w:t>Непрограммные направления деятельности органов управления территориальных государственных внебюджетных фондов</w:t>
            </w:r>
          </w:p>
          <w:p w:rsidR="000F1997" w:rsidRPr="000F1997" w:rsidRDefault="000F1997" w:rsidP="00191861">
            <w:pPr>
              <w:jc w:val="both"/>
              <w:rPr>
                <w:b/>
                <w:bCs/>
                <w:i/>
                <w:iCs/>
                <w:sz w:val="6"/>
                <w:szCs w:val="6"/>
              </w:rPr>
            </w:pPr>
          </w:p>
          <w:p w:rsidR="00A95989" w:rsidRPr="00A95989" w:rsidRDefault="00A95989" w:rsidP="00191861">
            <w:pPr>
              <w:jc w:val="both"/>
              <w:rPr>
                <w:b/>
                <w:bCs/>
                <w:i/>
                <w:iCs/>
                <w:sz w:val="4"/>
                <w:szCs w:val="4"/>
              </w:rPr>
            </w:pPr>
          </w:p>
        </w:tc>
        <w:tc>
          <w:tcPr>
            <w:tcW w:w="1309" w:type="dxa"/>
            <w:tcBorders>
              <w:top w:val="nil"/>
              <w:left w:val="nil"/>
              <w:bottom w:val="single" w:sz="4" w:space="0" w:color="auto"/>
              <w:right w:val="single" w:sz="4" w:space="0" w:color="auto"/>
            </w:tcBorders>
            <w:shd w:val="clear" w:color="auto" w:fill="DBE5F1" w:themeFill="accent1" w:themeFillTint="33"/>
            <w:vAlign w:val="center"/>
            <w:hideMark/>
          </w:tcPr>
          <w:p w:rsidR="005E541F" w:rsidRPr="00467F9C" w:rsidRDefault="005E541F" w:rsidP="007569A1">
            <w:pPr>
              <w:ind w:left="-111" w:right="-79"/>
              <w:jc w:val="center"/>
              <w:rPr>
                <w:b/>
                <w:bCs/>
                <w:i/>
                <w:iCs/>
                <w:sz w:val="20"/>
                <w:szCs w:val="20"/>
              </w:rPr>
            </w:pPr>
            <w:r w:rsidRPr="00467F9C">
              <w:rPr>
                <w:b/>
                <w:bCs/>
                <w:i/>
                <w:iCs/>
                <w:sz w:val="20"/>
                <w:szCs w:val="20"/>
              </w:rPr>
              <w:t>198 869,50</w:t>
            </w:r>
          </w:p>
        </w:tc>
        <w:tc>
          <w:tcPr>
            <w:tcW w:w="1276" w:type="dxa"/>
            <w:tcBorders>
              <w:top w:val="nil"/>
              <w:left w:val="nil"/>
              <w:bottom w:val="single" w:sz="4" w:space="0" w:color="auto"/>
              <w:right w:val="single" w:sz="4" w:space="0" w:color="auto"/>
            </w:tcBorders>
            <w:shd w:val="clear" w:color="auto" w:fill="DBE5F1" w:themeFill="accent1" w:themeFillTint="33"/>
            <w:vAlign w:val="center"/>
            <w:hideMark/>
          </w:tcPr>
          <w:p w:rsidR="005E541F" w:rsidRPr="00467F9C" w:rsidRDefault="005E541F" w:rsidP="007569A1">
            <w:pPr>
              <w:ind w:left="-145" w:right="-83"/>
              <w:jc w:val="center"/>
              <w:rPr>
                <w:b/>
                <w:bCs/>
                <w:i/>
                <w:iCs/>
                <w:sz w:val="20"/>
                <w:szCs w:val="20"/>
              </w:rPr>
            </w:pPr>
            <w:r w:rsidRPr="00467F9C">
              <w:rPr>
                <w:b/>
                <w:bCs/>
                <w:i/>
                <w:iCs/>
                <w:sz w:val="20"/>
                <w:szCs w:val="20"/>
              </w:rPr>
              <w:t>95 859,4</w:t>
            </w:r>
          </w:p>
        </w:tc>
        <w:tc>
          <w:tcPr>
            <w:tcW w:w="1444" w:type="dxa"/>
            <w:tcBorders>
              <w:top w:val="nil"/>
              <w:left w:val="nil"/>
              <w:bottom w:val="single" w:sz="4" w:space="0" w:color="auto"/>
              <w:right w:val="single" w:sz="4" w:space="0" w:color="auto"/>
            </w:tcBorders>
            <w:shd w:val="clear" w:color="auto" w:fill="DBE5F1" w:themeFill="accent1" w:themeFillTint="33"/>
            <w:vAlign w:val="center"/>
            <w:hideMark/>
          </w:tcPr>
          <w:p w:rsidR="005E541F" w:rsidRPr="00467F9C" w:rsidRDefault="005E541F" w:rsidP="00191861">
            <w:pPr>
              <w:jc w:val="center"/>
              <w:rPr>
                <w:b/>
                <w:bCs/>
                <w:sz w:val="20"/>
                <w:szCs w:val="20"/>
              </w:rPr>
            </w:pPr>
            <w:r w:rsidRPr="00467F9C">
              <w:rPr>
                <w:b/>
                <w:bCs/>
                <w:sz w:val="20"/>
                <w:szCs w:val="20"/>
              </w:rPr>
              <w:t>-103 010,1</w:t>
            </w:r>
          </w:p>
        </w:tc>
        <w:tc>
          <w:tcPr>
            <w:tcW w:w="1215" w:type="dxa"/>
            <w:tcBorders>
              <w:top w:val="nil"/>
              <w:left w:val="nil"/>
              <w:bottom w:val="single" w:sz="4" w:space="0" w:color="auto"/>
              <w:right w:val="single" w:sz="4" w:space="0" w:color="auto"/>
            </w:tcBorders>
            <w:shd w:val="clear" w:color="auto" w:fill="DBE5F1" w:themeFill="accent1" w:themeFillTint="33"/>
            <w:vAlign w:val="center"/>
            <w:hideMark/>
          </w:tcPr>
          <w:p w:rsidR="005E541F" w:rsidRPr="00467F9C" w:rsidRDefault="005E541F" w:rsidP="00191861">
            <w:pPr>
              <w:jc w:val="center"/>
              <w:rPr>
                <w:b/>
                <w:bCs/>
                <w:i/>
                <w:iCs/>
                <w:sz w:val="20"/>
                <w:szCs w:val="20"/>
              </w:rPr>
            </w:pPr>
            <w:r w:rsidRPr="00467F9C">
              <w:rPr>
                <w:b/>
                <w:bCs/>
                <w:i/>
                <w:iCs/>
                <w:sz w:val="20"/>
                <w:szCs w:val="20"/>
              </w:rPr>
              <w:t>48,2</w:t>
            </w:r>
          </w:p>
        </w:tc>
      </w:tr>
      <w:tr w:rsidR="005E541F" w:rsidRPr="00467F9C" w:rsidTr="00A95989">
        <w:trPr>
          <w:trHeight w:val="253"/>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5E541F" w:rsidRPr="00467F9C" w:rsidRDefault="005E541F" w:rsidP="00191861">
            <w:pPr>
              <w:jc w:val="both"/>
              <w:rPr>
                <w:i/>
                <w:iCs/>
                <w:sz w:val="20"/>
                <w:szCs w:val="20"/>
              </w:rPr>
            </w:pPr>
            <w:r w:rsidRPr="00467F9C">
              <w:rPr>
                <w:i/>
                <w:iCs/>
                <w:sz w:val="20"/>
                <w:szCs w:val="20"/>
              </w:rPr>
              <w:t>Финансовое обеспечение иных расходов</w:t>
            </w:r>
          </w:p>
        </w:tc>
        <w:tc>
          <w:tcPr>
            <w:tcW w:w="1309" w:type="dxa"/>
            <w:tcBorders>
              <w:top w:val="nil"/>
              <w:left w:val="nil"/>
              <w:bottom w:val="single" w:sz="4" w:space="0" w:color="auto"/>
              <w:right w:val="single" w:sz="4" w:space="0" w:color="auto"/>
            </w:tcBorders>
            <w:shd w:val="clear" w:color="auto" w:fill="FFFFFF" w:themeFill="background1"/>
            <w:noWrap/>
            <w:vAlign w:val="center"/>
            <w:hideMark/>
          </w:tcPr>
          <w:p w:rsidR="005E541F" w:rsidRPr="00467F9C" w:rsidRDefault="005E541F" w:rsidP="007569A1">
            <w:pPr>
              <w:ind w:left="-111" w:right="-79"/>
              <w:jc w:val="center"/>
              <w:rPr>
                <w:i/>
                <w:iCs/>
                <w:sz w:val="20"/>
                <w:szCs w:val="20"/>
              </w:rPr>
            </w:pPr>
            <w:r w:rsidRPr="00467F9C">
              <w:rPr>
                <w:i/>
                <w:iCs/>
                <w:sz w:val="20"/>
                <w:szCs w:val="20"/>
              </w:rPr>
              <w:t>125 029,80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5E541F" w:rsidRPr="00467F9C" w:rsidRDefault="005E541F" w:rsidP="007569A1">
            <w:pPr>
              <w:ind w:left="-145" w:right="-83"/>
              <w:jc w:val="center"/>
              <w:rPr>
                <w:i/>
                <w:iCs/>
                <w:sz w:val="20"/>
                <w:szCs w:val="20"/>
              </w:rPr>
            </w:pPr>
            <w:r w:rsidRPr="00467F9C">
              <w:rPr>
                <w:i/>
                <w:iCs/>
                <w:sz w:val="20"/>
                <w:szCs w:val="20"/>
              </w:rPr>
              <w:t>77 119,40</w:t>
            </w:r>
          </w:p>
        </w:tc>
        <w:tc>
          <w:tcPr>
            <w:tcW w:w="144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Cs/>
                <w:i/>
                <w:sz w:val="20"/>
                <w:szCs w:val="20"/>
              </w:rPr>
            </w:pPr>
            <w:r w:rsidRPr="00467F9C">
              <w:rPr>
                <w:bCs/>
                <w:i/>
                <w:sz w:val="20"/>
                <w:szCs w:val="20"/>
              </w:rPr>
              <w:t>-47 910,4</w:t>
            </w:r>
          </w:p>
        </w:tc>
        <w:tc>
          <w:tcPr>
            <w:tcW w:w="1215" w:type="dxa"/>
            <w:tcBorders>
              <w:top w:val="nil"/>
              <w:left w:val="nil"/>
              <w:bottom w:val="single" w:sz="4" w:space="0" w:color="auto"/>
              <w:right w:val="single" w:sz="4" w:space="0" w:color="auto"/>
            </w:tcBorders>
            <w:shd w:val="clear" w:color="auto" w:fill="auto"/>
            <w:noWrap/>
            <w:vAlign w:val="bottom"/>
            <w:hideMark/>
          </w:tcPr>
          <w:p w:rsidR="005E541F" w:rsidRPr="00467F9C" w:rsidRDefault="005E541F" w:rsidP="00191861">
            <w:pPr>
              <w:jc w:val="center"/>
              <w:rPr>
                <w:i/>
                <w:iCs/>
                <w:sz w:val="20"/>
                <w:szCs w:val="20"/>
              </w:rPr>
            </w:pPr>
            <w:r w:rsidRPr="00467F9C">
              <w:rPr>
                <w:i/>
                <w:iCs/>
                <w:sz w:val="20"/>
                <w:szCs w:val="20"/>
              </w:rPr>
              <w:t>62,0</w:t>
            </w:r>
          </w:p>
        </w:tc>
      </w:tr>
      <w:tr w:rsidR="005E541F" w:rsidRPr="00467F9C" w:rsidTr="00A95989">
        <w:trPr>
          <w:trHeight w:val="683"/>
        </w:trPr>
        <w:tc>
          <w:tcPr>
            <w:tcW w:w="4820" w:type="dxa"/>
            <w:tcBorders>
              <w:top w:val="nil"/>
              <w:left w:val="single" w:sz="4" w:space="0" w:color="auto"/>
              <w:bottom w:val="single" w:sz="4" w:space="0" w:color="auto"/>
              <w:right w:val="single" w:sz="4" w:space="0" w:color="auto"/>
            </w:tcBorders>
            <w:shd w:val="clear" w:color="auto" w:fill="auto"/>
            <w:hideMark/>
          </w:tcPr>
          <w:p w:rsidR="005E541F" w:rsidRDefault="005E541F" w:rsidP="00191861">
            <w:pPr>
              <w:jc w:val="both"/>
              <w:rPr>
                <w:sz w:val="20"/>
                <w:szCs w:val="20"/>
              </w:rPr>
            </w:pPr>
            <w:r w:rsidRPr="00467F9C">
              <w:rPr>
                <w:sz w:val="20"/>
                <w:szCs w:val="20"/>
              </w:rPr>
              <w:t>Организация ОМС на территории Чукотского автономного округа за счет иных источников (Социальное обеспечение и иные выплаты населению)</w:t>
            </w:r>
          </w:p>
          <w:p w:rsidR="00A95989" w:rsidRPr="00A95989" w:rsidRDefault="00A95989" w:rsidP="00191861">
            <w:pPr>
              <w:jc w:val="both"/>
              <w:rPr>
                <w:sz w:val="4"/>
                <w:szCs w:val="4"/>
              </w:rPr>
            </w:pPr>
          </w:p>
        </w:tc>
        <w:tc>
          <w:tcPr>
            <w:tcW w:w="1309" w:type="dxa"/>
            <w:tcBorders>
              <w:top w:val="nil"/>
              <w:left w:val="nil"/>
              <w:bottom w:val="single" w:sz="4" w:space="0" w:color="auto"/>
              <w:right w:val="single" w:sz="4" w:space="0" w:color="auto"/>
            </w:tcBorders>
            <w:shd w:val="clear" w:color="auto" w:fill="FFFFFF" w:themeFill="background1"/>
            <w:vAlign w:val="center"/>
            <w:hideMark/>
          </w:tcPr>
          <w:p w:rsidR="005E541F" w:rsidRPr="00467F9C" w:rsidRDefault="005E541F" w:rsidP="007569A1">
            <w:pPr>
              <w:ind w:left="-111" w:right="-79"/>
              <w:jc w:val="center"/>
              <w:rPr>
                <w:sz w:val="20"/>
                <w:szCs w:val="20"/>
              </w:rPr>
            </w:pPr>
            <w:r w:rsidRPr="00467F9C">
              <w:rPr>
                <w:sz w:val="20"/>
                <w:szCs w:val="20"/>
              </w:rPr>
              <w:t>124 366,8</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5E541F" w:rsidRPr="00467F9C" w:rsidRDefault="005E541F" w:rsidP="007569A1">
            <w:pPr>
              <w:ind w:left="-145" w:right="-83"/>
              <w:jc w:val="center"/>
              <w:rPr>
                <w:sz w:val="20"/>
                <w:szCs w:val="20"/>
              </w:rPr>
            </w:pPr>
            <w:r w:rsidRPr="00467F9C">
              <w:rPr>
                <w:sz w:val="20"/>
                <w:szCs w:val="20"/>
              </w:rPr>
              <w:t>77 119,4</w:t>
            </w:r>
          </w:p>
        </w:tc>
        <w:tc>
          <w:tcPr>
            <w:tcW w:w="144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Cs/>
                <w:sz w:val="20"/>
                <w:szCs w:val="20"/>
              </w:rPr>
            </w:pPr>
            <w:r w:rsidRPr="00467F9C">
              <w:rPr>
                <w:bCs/>
                <w:sz w:val="20"/>
                <w:szCs w:val="20"/>
              </w:rPr>
              <w:t>-47 247,4</w:t>
            </w:r>
          </w:p>
        </w:tc>
        <w:tc>
          <w:tcPr>
            <w:tcW w:w="1215"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20"/>
                <w:szCs w:val="20"/>
              </w:rPr>
            </w:pPr>
            <w:r w:rsidRPr="00467F9C">
              <w:rPr>
                <w:sz w:val="20"/>
                <w:szCs w:val="20"/>
              </w:rPr>
              <w:t>62,0</w:t>
            </w:r>
          </w:p>
        </w:tc>
      </w:tr>
      <w:tr w:rsidR="005E541F" w:rsidRPr="00467F9C" w:rsidTr="00A95989">
        <w:trPr>
          <w:trHeight w:val="567"/>
        </w:trPr>
        <w:tc>
          <w:tcPr>
            <w:tcW w:w="4820" w:type="dxa"/>
            <w:tcBorders>
              <w:top w:val="nil"/>
              <w:left w:val="single" w:sz="4" w:space="0" w:color="auto"/>
              <w:bottom w:val="single" w:sz="4" w:space="0" w:color="auto"/>
              <w:right w:val="single" w:sz="4" w:space="0" w:color="auto"/>
            </w:tcBorders>
            <w:shd w:val="clear" w:color="auto" w:fill="auto"/>
            <w:hideMark/>
          </w:tcPr>
          <w:p w:rsidR="005E541F" w:rsidRDefault="005E541F" w:rsidP="00191861">
            <w:pPr>
              <w:jc w:val="both"/>
              <w:rPr>
                <w:sz w:val="20"/>
                <w:szCs w:val="20"/>
              </w:rPr>
            </w:pPr>
            <w:r w:rsidRPr="00467F9C">
              <w:rPr>
                <w:sz w:val="20"/>
                <w:szCs w:val="20"/>
              </w:rPr>
              <w:t>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профосмотров населения (Предоставление субсидий бюджетным, автономным учреждениям и иным некоммерческим организациям)</w:t>
            </w:r>
          </w:p>
          <w:p w:rsidR="000F1997" w:rsidRPr="000F1997" w:rsidRDefault="000F1997" w:rsidP="00191861">
            <w:pPr>
              <w:jc w:val="both"/>
              <w:rPr>
                <w:sz w:val="6"/>
                <w:szCs w:val="6"/>
              </w:rPr>
            </w:pPr>
          </w:p>
          <w:p w:rsidR="00A95989" w:rsidRPr="00A95989" w:rsidRDefault="00A95989" w:rsidP="00191861">
            <w:pPr>
              <w:jc w:val="both"/>
              <w:rPr>
                <w:sz w:val="4"/>
                <w:szCs w:val="4"/>
              </w:rPr>
            </w:pPr>
          </w:p>
        </w:tc>
        <w:tc>
          <w:tcPr>
            <w:tcW w:w="1309" w:type="dxa"/>
            <w:tcBorders>
              <w:top w:val="nil"/>
              <w:left w:val="nil"/>
              <w:bottom w:val="single" w:sz="4" w:space="0" w:color="auto"/>
              <w:right w:val="single" w:sz="4" w:space="0" w:color="auto"/>
            </w:tcBorders>
            <w:shd w:val="clear" w:color="auto" w:fill="FFFFFF" w:themeFill="background1"/>
            <w:vAlign w:val="center"/>
            <w:hideMark/>
          </w:tcPr>
          <w:p w:rsidR="005E541F" w:rsidRPr="00467F9C" w:rsidRDefault="005E541F" w:rsidP="007569A1">
            <w:pPr>
              <w:ind w:left="-111" w:right="-79"/>
              <w:jc w:val="center"/>
              <w:rPr>
                <w:sz w:val="20"/>
                <w:szCs w:val="20"/>
              </w:rPr>
            </w:pPr>
            <w:r w:rsidRPr="00467F9C">
              <w:rPr>
                <w:sz w:val="20"/>
                <w:szCs w:val="20"/>
              </w:rPr>
              <w:t>663,0</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5E541F" w:rsidRPr="00467F9C" w:rsidRDefault="005E541F" w:rsidP="007569A1">
            <w:pPr>
              <w:ind w:left="-145" w:right="-83"/>
              <w:jc w:val="center"/>
              <w:rPr>
                <w:sz w:val="20"/>
                <w:szCs w:val="20"/>
              </w:rPr>
            </w:pPr>
            <w:r w:rsidRPr="00467F9C">
              <w:rPr>
                <w:sz w:val="20"/>
                <w:szCs w:val="20"/>
              </w:rPr>
              <w:t>0,0</w:t>
            </w:r>
          </w:p>
        </w:tc>
        <w:tc>
          <w:tcPr>
            <w:tcW w:w="144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Cs/>
                <w:sz w:val="20"/>
                <w:szCs w:val="20"/>
              </w:rPr>
            </w:pPr>
            <w:r w:rsidRPr="00467F9C">
              <w:rPr>
                <w:bCs/>
                <w:sz w:val="20"/>
                <w:szCs w:val="20"/>
              </w:rPr>
              <w:t>-663,0</w:t>
            </w:r>
          </w:p>
        </w:tc>
        <w:tc>
          <w:tcPr>
            <w:tcW w:w="1215"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20"/>
                <w:szCs w:val="20"/>
              </w:rPr>
            </w:pPr>
            <w:r w:rsidRPr="00467F9C">
              <w:rPr>
                <w:sz w:val="20"/>
                <w:szCs w:val="20"/>
              </w:rPr>
              <w:t>0,0</w:t>
            </w:r>
          </w:p>
        </w:tc>
      </w:tr>
      <w:tr w:rsidR="005E541F" w:rsidRPr="00467F9C" w:rsidTr="00A95989">
        <w:trPr>
          <w:trHeight w:val="361"/>
        </w:trPr>
        <w:tc>
          <w:tcPr>
            <w:tcW w:w="4820" w:type="dxa"/>
            <w:tcBorders>
              <w:top w:val="nil"/>
              <w:left w:val="single" w:sz="4" w:space="0" w:color="auto"/>
              <w:bottom w:val="single" w:sz="4" w:space="0" w:color="auto"/>
              <w:right w:val="single" w:sz="4" w:space="0" w:color="auto"/>
            </w:tcBorders>
            <w:shd w:val="clear" w:color="auto" w:fill="auto"/>
            <w:hideMark/>
          </w:tcPr>
          <w:p w:rsidR="005E541F" w:rsidRDefault="005E541F" w:rsidP="00191861">
            <w:pPr>
              <w:jc w:val="both"/>
              <w:rPr>
                <w:i/>
                <w:iCs/>
                <w:sz w:val="20"/>
                <w:szCs w:val="20"/>
              </w:rPr>
            </w:pPr>
            <w:r w:rsidRPr="00467F9C">
              <w:rPr>
                <w:i/>
                <w:iCs/>
                <w:sz w:val="20"/>
                <w:szCs w:val="20"/>
              </w:rPr>
              <w:t>Управление средствами нормированного страхового запаса</w:t>
            </w:r>
          </w:p>
          <w:p w:rsidR="000F1997" w:rsidRPr="000F1997" w:rsidRDefault="000F1997" w:rsidP="00191861">
            <w:pPr>
              <w:jc w:val="both"/>
              <w:rPr>
                <w:i/>
                <w:iCs/>
                <w:sz w:val="4"/>
                <w:szCs w:val="4"/>
              </w:rPr>
            </w:pPr>
          </w:p>
          <w:p w:rsidR="00A95989" w:rsidRPr="00A95989" w:rsidRDefault="00A95989" w:rsidP="00191861">
            <w:pPr>
              <w:jc w:val="both"/>
              <w:rPr>
                <w:i/>
                <w:iCs/>
                <w:sz w:val="6"/>
                <w:szCs w:val="6"/>
              </w:rPr>
            </w:pPr>
          </w:p>
        </w:tc>
        <w:tc>
          <w:tcPr>
            <w:tcW w:w="1309" w:type="dxa"/>
            <w:tcBorders>
              <w:top w:val="nil"/>
              <w:left w:val="nil"/>
              <w:bottom w:val="single" w:sz="4" w:space="0" w:color="auto"/>
              <w:right w:val="single" w:sz="4" w:space="0" w:color="auto"/>
            </w:tcBorders>
            <w:shd w:val="clear" w:color="auto" w:fill="FFFFFF" w:themeFill="background1"/>
            <w:vAlign w:val="center"/>
            <w:hideMark/>
          </w:tcPr>
          <w:p w:rsidR="005E541F" w:rsidRPr="00467F9C" w:rsidRDefault="005E541F" w:rsidP="007569A1">
            <w:pPr>
              <w:ind w:left="-111" w:right="-79"/>
              <w:jc w:val="center"/>
              <w:rPr>
                <w:i/>
                <w:iCs/>
                <w:sz w:val="20"/>
                <w:szCs w:val="20"/>
              </w:rPr>
            </w:pPr>
            <w:r w:rsidRPr="00467F9C">
              <w:rPr>
                <w:i/>
                <w:iCs/>
                <w:sz w:val="20"/>
                <w:szCs w:val="20"/>
              </w:rPr>
              <w:t>73 839,7</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5E541F" w:rsidRPr="00467F9C" w:rsidRDefault="005E541F" w:rsidP="007569A1">
            <w:pPr>
              <w:ind w:left="-145" w:right="-83"/>
              <w:jc w:val="center"/>
              <w:rPr>
                <w:i/>
                <w:iCs/>
                <w:sz w:val="20"/>
                <w:szCs w:val="20"/>
              </w:rPr>
            </w:pPr>
            <w:r w:rsidRPr="00467F9C">
              <w:rPr>
                <w:i/>
                <w:iCs/>
                <w:sz w:val="20"/>
                <w:szCs w:val="20"/>
              </w:rPr>
              <w:t>18 740,0</w:t>
            </w:r>
          </w:p>
        </w:tc>
        <w:tc>
          <w:tcPr>
            <w:tcW w:w="144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Cs/>
                <w:sz w:val="20"/>
                <w:szCs w:val="20"/>
              </w:rPr>
            </w:pPr>
            <w:r w:rsidRPr="00467F9C">
              <w:rPr>
                <w:bCs/>
                <w:sz w:val="20"/>
                <w:szCs w:val="20"/>
              </w:rPr>
              <w:t>-55 099,7</w:t>
            </w:r>
          </w:p>
        </w:tc>
        <w:tc>
          <w:tcPr>
            <w:tcW w:w="1215"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i/>
                <w:iCs/>
                <w:sz w:val="20"/>
                <w:szCs w:val="20"/>
              </w:rPr>
            </w:pPr>
            <w:r w:rsidRPr="00467F9C">
              <w:rPr>
                <w:i/>
                <w:iCs/>
                <w:sz w:val="20"/>
                <w:szCs w:val="20"/>
              </w:rPr>
              <w:t>25,4</w:t>
            </w:r>
          </w:p>
        </w:tc>
      </w:tr>
      <w:tr w:rsidR="005E541F" w:rsidRPr="00467F9C" w:rsidTr="00A95989">
        <w:trPr>
          <w:trHeight w:val="439"/>
        </w:trPr>
        <w:tc>
          <w:tcPr>
            <w:tcW w:w="4820" w:type="dxa"/>
            <w:tcBorders>
              <w:top w:val="nil"/>
              <w:left w:val="single" w:sz="4" w:space="0" w:color="auto"/>
              <w:bottom w:val="single" w:sz="4" w:space="0" w:color="auto"/>
              <w:right w:val="single" w:sz="4" w:space="0" w:color="auto"/>
            </w:tcBorders>
            <w:shd w:val="clear" w:color="auto" w:fill="auto"/>
            <w:hideMark/>
          </w:tcPr>
          <w:p w:rsidR="005E541F" w:rsidRDefault="005E541F" w:rsidP="00191861">
            <w:pPr>
              <w:jc w:val="both"/>
              <w:rPr>
                <w:sz w:val="20"/>
                <w:szCs w:val="20"/>
              </w:rPr>
            </w:pPr>
            <w:r w:rsidRPr="00467F9C">
              <w:rPr>
                <w:sz w:val="20"/>
                <w:szCs w:val="20"/>
              </w:rPr>
              <w:t xml:space="preserve">Финансовое обеспечение формирования НСЗ </w:t>
            </w:r>
            <w:proofErr w:type="spellStart"/>
            <w:r w:rsidRPr="00467F9C">
              <w:rPr>
                <w:sz w:val="20"/>
                <w:szCs w:val="20"/>
              </w:rPr>
              <w:t>терфонда</w:t>
            </w:r>
            <w:proofErr w:type="spellEnd"/>
            <w:r w:rsidRPr="00467F9C">
              <w:rPr>
                <w:sz w:val="20"/>
                <w:szCs w:val="20"/>
              </w:rPr>
              <w:t xml:space="preserve"> ОМС (</w:t>
            </w:r>
            <w:proofErr w:type="spellStart"/>
            <w:r w:rsidRPr="00467F9C">
              <w:rPr>
                <w:sz w:val="20"/>
                <w:szCs w:val="20"/>
              </w:rPr>
              <w:t>Софинансирование</w:t>
            </w:r>
            <w:proofErr w:type="spellEnd"/>
            <w:r w:rsidRPr="00467F9C">
              <w:rPr>
                <w:sz w:val="20"/>
                <w:szCs w:val="20"/>
              </w:rPr>
              <w:t xml:space="preserve"> расходов медицинских организаций на оплату труда врачей и среднего медицинского персонала) (Предоставление субсидий бюджетным, </w:t>
            </w:r>
            <w:proofErr w:type="spellStart"/>
            <w:r w:rsidRPr="00467F9C">
              <w:rPr>
                <w:sz w:val="20"/>
                <w:szCs w:val="20"/>
              </w:rPr>
              <w:t>автономнывм</w:t>
            </w:r>
            <w:proofErr w:type="spellEnd"/>
            <w:r w:rsidRPr="00467F9C">
              <w:rPr>
                <w:sz w:val="20"/>
                <w:szCs w:val="20"/>
              </w:rPr>
              <w:t xml:space="preserve"> учреждениям и иным некоммерческим организациям)</w:t>
            </w:r>
          </w:p>
          <w:p w:rsidR="000F1997" w:rsidRPr="000F1997" w:rsidRDefault="000F1997" w:rsidP="00191861">
            <w:pPr>
              <w:jc w:val="both"/>
              <w:rPr>
                <w:sz w:val="4"/>
                <w:szCs w:val="4"/>
              </w:rPr>
            </w:pPr>
          </w:p>
          <w:p w:rsidR="00A95989" w:rsidRPr="00A95989" w:rsidRDefault="00A95989" w:rsidP="00191861">
            <w:pPr>
              <w:jc w:val="both"/>
              <w:rPr>
                <w:sz w:val="4"/>
                <w:szCs w:val="4"/>
              </w:rPr>
            </w:pPr>
          </w:p>
        </w:tc>
        <w:tc>
          <w:tcPr>
            <w:tcW w:w="1309" w:type="dxa"/>
            <w:tcBorders>
              <w:top w:val="nil"/>
              <w:left w:val="nil"/>
              <w:bottom w:val="single" w:sz="4" w:space="0" w:color="auto"/>
              <w:right w:val="single" w:sz="4" w:space="0" w:color="auto"/>
            </w:tcBorders>
            <w:shd w:val="clear" w:color="auto" w:fill="FFFFFF" w:themeFill="background1"/>
            <w:vAlign w:val="center"/>
            <w:hideMark/>
          </w:tcPr>
          <w:p w:rsidR="005E541F" w:rsidRPr="00467F9C" w:rsidRDefault="005E541F" w:rsidP="007569A1">
            <w:pPr>
              <w:ind w:left="-111" w:right="-79"/>
              <w:jc w:val="center"/>
              <w:rPr>
                <w:sz w:val="20"/>
                <w:szCs w:val="20"/>
              </w:rPr>
            </w:pPr>
            <w:r w:rsidRPr="00467F9C">
              <w:rPr>
                <w:sz w:val="20"/>
                <w:szCs w:val="20"/>
              </w:rPr>
              <w:t>50 944,6</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5E541F" w:rsidRPr="00467F9C" w:rsidRDefault="005E541F" w:rsidP="007569A1">
            <w:pPr>
              <w:ind w:left="-145" w:right="-83"/>
              <w:jc w:val="center"/>
              <w:rPr>
                <w:sz w:val="20"/>
                <w:szCs w:val="20"/>
              </w:rPr>
            </w:pPr>
            <w:r w:rsidRPr="00467F9C">
              <w:rPr>
                <w:sz w:val="20"/>
                <w:szCs w:val="20"/>
              </w:rPr>
              <w:t>245,9</w:t>
            </w:r>
          </w:p>
        </w:tc>
        <w:tc>
          <w:tcPr>
            <w:tcW w:w="144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Cs/>
                <w:sz w:val="20"/>
                <w:szCs w:val="20"/>
              </w:rPr>
            </w:pPr>
            <w:r w:rsidRPr="00467F9C">
              <w:rPr>
                <w:bCs/>
                <w:sz w:val="20"/>
                <w:szCs w:val="20"/>
              </w:rPr>
              <w:t>-50 698,7</w:t>
            </w:r>
          </w:p>
        </w:tc>
        <w:tc>
          <w:tcPr>
            <w:tcW w:w="1215"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20"/>
                <w:szCs w:val="20"/>
              </w:rPr>
            </w:pPr>
            <w:r w:rsidRPr="00467F9C">
              <w:rPr>
                <w:sz w:val="20"/>
                <w:szCs w:val="20"/>
              </w:rPr>
              <w:t>0,5</w:t>
            </w:r>
          </w:p>
        </w:tc>
      </w:tr>
      <w:tr w:rsidR="005E541F" w:rsidRPr="00467F9C" w:rsidTr="00A95989">
        <w:trPr>
          <w:trHeight w:val="765"/>
        </w:trPr>
        <w:tc>
          <w:tcPr>
            <w:tcW w:w="4820" w:type="dxa"/>
            <w:tcBorders>
              <w:top w:val="nil"/>
              <w:left w:val="single" w:sz="4" w:space="0" w:color="auto"/>
              <w:bottom w:val="single" w:sz="4" w:space="0" w:color="auto"/>
              <w:right w:val="single" w:sz="4" w:space="0" w:color="auto"/>
            </w:tcBorders>
            <w:shd w:val="clear" w:color="auto" w:fill="auto"/>
            <w:hideMark/>
          </w:tcPr>
          <w:p w:rsidR="005E541F" w:rsidRDefault="005E541F" w:rsidP="00191861">
            <w:pPr>
              <w:jc w:val="both"/>
              <w:rPr>
                <w:sz w:val="20"/>
                <w:szCs w:val="20"/>
              </w:rPr>
            </w:pPr>
            <w:r w:rsidRPr="00467F9C">
              <w:rPr>
                <w:sz w:val="20"/>
                <w:szCs w:val="20"/>
              </w:rPr>
              <w:t xml:space="preserve">Финансовое обеспечение мероприятий по приобретению медицинского оборудования (Предоставление субсидий бюджетным, </w:t>
            </w:r>
            <w:proofErr w:type="spellStart"/>
            <w:r w:rsidRPr="00467F9C">
              <w:rPr>
                <w:sz w:val="20"/>
                <w:szCs w:val="20"/>
              </w:rPr>
              <w:t>автономнывм</w:t>
            </w:r>
            <w:proofErr w:type="spellEnd"/>
            <w:r w:rsidRPr="00467F9C">
              <w:rPr>
                <w:sz w:val="20"/>
                <w:szCs w:val="20"/>
              </w:rPr>
              <w:t xml:space="preserve"> учреждениям и иным некоммерческим организациям)</w:t>
            </w:r>
          </w:p>
          <w:p w:rsidR="00A95989" w:rsidRPr="00A95989" w:rsidRDefault="00A95989" w:rsidP="00191861">
            <w:pPr>
              <w:jc w:val="both"/>
              <w:rPr>
                <w:sz w:val="4"/>
                <w:szCs w:val="4"/>
              </w:rPr>
            </w:pPr>
          </w:p>
        </w:tc>
        <w:tc>
          <w:tcPr>
            <w:tcW w:w="1309" w:type="dxa"/>
            <w:tcBorders>
              <w:top w:val="nil"/>
              <w:left w:val="nil"/>
              <w:bottom w:val="single" w:sz="4" w:space="0" w:color="auto"/>
              <w:right w:val="single" w:sz="4" w:space="0" w:color="auto"/>
            </w:tcBorders>
            <w:shd w:val="clear" w:color="auto" w:fill="FFFFFF" w:themeFill="background1"/>
            <w:noWrap/>
            <w:vAlign w:val="center"/>
            <w:hideMark/>
          </w:tcPr>
          <w:p w:rsidR="005E541F" w:rsidRPr="00467F9C" w:rsidRDefault="005E541F" w:rsidP="007569A1">
            <w:pPr>
              <w:ind w:left="-111" w:right="-79"/>
              <w:jc w:val="center"/>
              <w:rPr>
                <w:sz w:val="20"/>
                <w:szCs w:val="20"/>
              </w:rPr>
            </w:pPr>
            <w:r w:rsidRPr="00467F9C">
              <w:rPr>
                <w:sz w:val="20"/>
                <w:szCs w:val="20"/>
              </w:rPr>
              <w:t>19 954,1</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5E541F" w:rsidRPr="00467F9C" w:rsidRDefault="005E541F" w:rsidP="007569A1">
            <w:pPr>
              <w:ind w:left="-145" w:right="-83"/>
              <w:jc w:val="center"/>
              <w:rPr>
                <w:sz w:val="20"/>
                <w:szCs w:val="20"/>
              </w:rPr>
            </w:pPr>
            <w:r w:rsidRPr="00467F9C">
              <w:rPr>
                <w:sz w:val="20"/>
                <w:szCs w:val="20"/>
              </w:rPr>
              <w:t>15 555,70</w:t>
            </w:r>
          </w:p>
        </w:tc>
        <w:tc>
          <w:tcPr>
            <w:tcW w:w="144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Cs/>
                <w:sz w:val="20"/>
                <w:szCs w:val="20"/>
              </w:rPr>
            </w:pPr>
            <w:r w:rsidRPr="00467F9C">
              <w:rPr>
                <w:bCs/>
                <w:sz w:val="20"/>
                <w:szCs w:val="20"/>
              </w:rPr>
              <w:t>-4 398,4</w:t>
            </w:r>
          </w:p>
        </w:tc>
        <w:tc>
          <w:tcPr>
            <w:tcW w:w="1215"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20"/>
                <w:szCs w:val="20"/>
              </w:rPr>
            </w:pPr>
            <w:r w:rsidRPr="00467F9C">
              <w:rPr>
                <w:sz w:val="20"/>
                <w:szCs w:val="20"/>
              </w:rPr>
              <w:t>78,0</w:t>
            </w:r>
          </w:p>
        </w:tc>
      </w:tr>
      <w:tr w:rsidR="005E541F" w:rsidRPr="00467F9C" w:rsidTr="00A95989">
        <w:trPr>
          <w:trHeight w:val="943"/>
        </w:trPr>
        <w:tc>
          <w:tcPr>
            <w:tcW w:w="4820" w:type="dxa"/>
            <w:tcBorders>
              <w:top w:val="nil"/>
              <w:left w:val="single" w:sz="4" w:space="0" w:color="auto"/>
              <w:bottom w:val="single" w:sz="4" w:space="0" w:color="auto"/>
              <w:right w:val="single" w:sz="4" w:space="0" w:color="auto"/>
            </w:tcBorders>
            <w:shd w:val="clear" w:color="auto" w:fill="auto"/>
            <w:hideMark/>
          </w:tcPr>
          <w:p w:rsidR="005E541F" w:rsidRDefault="005E541F" w:rsidP="00191861">
            <w:pPr>
              <w:jc w:val="both"/>
              <w:rPr>
                <w:sz w:val="20"/>
                <w:szCs w:val="20"/>
              </w:rPr>
            </w:pPr>
            <w:r w:rsidRPr="00467F9C">
              <w:rPr>
                <w:sz w:val="20"/>
                <w:szCs w:val="20"/>
              </w:rPr>
              <w:t xml:space="preserve">Организация дополнительного профессионального образования медицинских работников по программам повышения квалификации (Предоставление субсидий бюджетным, </w:t>
            </w:r>
            <w:proofErr w:type="spellStart"/>
            <w:r w:rsidRPr="00467F9C">
              <w:rPr>
                <w:sz w:val="20"/>
                <w:szCs w:val="20"/>
              </w:rPr>
              <w:t>автономнывм</w:t>
            </w:r>
            <w:proofErr w:type="spellEnd"/>
            <w:r w:rsidRPr="00467F9C">
              <w:rPr>
                <w:sz w:val="20"/>
                <w:szCs w:val="20"/>
              </w:rPr>
              <w:t xml:space="preserve"> учреждениям и иным некоммерческим организациям)</w:t>
            </w:r>
          </w:p>
          <w:p w:rsidR="00A95989" w:rsidRPr="00A95989" w:rsidRDefault="00A95989" w:rsidP="00191861">
            <w:pPr>
              <w:jc w:val="both"/>
              <w:rPr>
                <w:sz w:val="4"/>
                <w:szCs w:val="4"/>
              </w:rPr>
            </w:pPr>
          </w:p>
        </w:tc>
        <w:tc>
          <w:tcPr>
            <w:tcW w:w="1309" w:type="dxa"/>
            <w:tcBorders>
              <w:top w:val="nil"/>
              <w:left w:val="nil"/>
              <w:bottom w:val="single" w:sz="4" w:space="0" w:color="auto"/>
              <w:right w:val="single" w:sz="4" w:space="0" w:color="auto"/>
            </w:tcBorders>
            <w:shd w:val="clear" w:color="auto" w:fill="FFFFFF" w:themeFill="background1"/>
            <w:vAlign w:val="center"/>
            <w:hideMark/>
          </w:tcPr>
          <w:p w:rsidR="005E541F" w:rsidRPr="00467F9C" w:rsidRDefault="005E541F" w:rsidP="007569A1">
            <w:pPr>
              <w:ind w:left="-111" w:right="-79"/>
              <w:jc w:val="center"/>
              <w:rPr>
                <w:sz w:val="20"/>
                <w:szCs w:val="20"/>
              </w:rPr>
            </w:pPr>
            <w:r w:rsidRPr="00467F9C">
              <w:rPr>
                <w:sz w:val="20"/>
                <w:szCs w:val="20"/>
              </w:rPr>
              <w:t>68,7</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5E541F" w:rsidRPr="00467F9C" w:rsidRDefault="005E541F" w:rsidP="007569A1">
            <w:pPr>
              <w:ind w:left="-145" w:right="-83"/>
              <w:jc w:val="center"/>
              <w:rPr>
                <w:sz w:val="20"/>
                <w:szCs w:val="20"/>
              </w:rPr>
            </w:pPr>
            <w:r w:rsidRPr="00467F9C">
              <w:rPr>
                <w:sz w:val="20"/>
                <w:szCs w:val="20"/>
              </w:rPr>
              <w:t>66,2</w:t>
            </w:r>
          </w:p>
        </w:tc>
        <w:tc>
          <w:tcPr>
            <w:tcW w:w="144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Cs/>
                <w:sz w:val="20"/>
                <w:szCs w:val="20"/>
              </w:rPr>
            </w:pPr>
            <w:r w:rsidRPr="00467F9C">
              <w:rPr>
                <w:bCs/>
                <w:sz w:val="20"/>
                <w:szCs w:val="20"/>
              </w:rPr>
              <w:t>-2,5</w:t>
            </w:r>
          </w:p>
        </w:tc>
        <w:tc>
          <w:tcPr>
            <w:tcW w:w="1215"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20"/>
                <w:szCs w:val="20"/>
              </w:rPr>
            </w:pPr>
            <w:r w:rsidRPr="00467F9C">
              <w:rPr>
                <w:sz w:val="20"/>
                <w:szCs w:val="20"/>
              </w:rPr>
              <w:t>96,4</w:t>
            </w:r>
          </w:p>
        </w:tc>
      </w:tr>
      <w:tr w:rsidR="005E541F" w:rsidRPr="00467F9C" w:rsidTr="00A95989">
        <w:trPr>
          <w:trHeight w:val="626"/>
        </w:trPr>
        <w:tc>
          <w:tcPr>
            <w:tcW w:w="4820" w:type="dxa"/>
            <w:tcBorders>
              <w:top w:val="nil"/>
              <w:left w:val="single" w:sz="4" w:space="0" w:color="auto"/>
              <w:bottom w:val="single" w:sz="4" w:space="0" w:color="auto"/>
              <w:right w:val="single" w:sz="4" w:space="0" w:color="auto"/>
            </w:tcBorders>
            <w:shd w:val="clear" w:color="auto" w:fill="auto"/>
            <w:hideMark/>
          </w:tcPr>
          <w:p w:rsidR="005E541F" w:rsidRDefault="005E541F" w:rsidP="00191861">
            <w:pPr>
              <w:jc w:val="both"/>
              <w:rPr>
                <w:sz w:val="20"/>
                <w:szCs w:val="20"/>
              </w:rPr>
            </w:pPr>
            <w:r w:rsidRPr="00467F9C">
              <w:rPr>
                <w:sz w:val="20"/>
                <w:szCs w:val="20"/>
              </w:rPr>
              <w:t xml:space="preserve">Финансовое обеспечение организации ОМС на территориях субъектов РФ за счет НСЗ (Межбюджетные трансферты) </w:t>
            </w:r>
          </w:p>
          <w:p w:rsidR="00A95989" w:rsidRPr="00A95989" w:rsidRDefault="00A95989" w:rsidP="00191861">
            <w:pPr>
              <w:jc w:val="both"/>
              <w:rPr>
                <w:sz w:val="4"/>
                <w:szCs w:val="4"/>
              </w:rPr>
            </w:pPr>
          </w:p>
          <w:p w:rsidR="005E541F" w:rsidRPr="00467F9C" w:rsidRDefault="005E541F" w:rsidP="00191861">
            <w:pPr>
              <w:jc w:val="both"/>
              <w:rPr>
                <w:sz w:val="20"/>
                <w:szCs w:val="20"/>
              </w:rPr>
            </w:pPr>
          </w:p>
        </w:tc>
        <w:tc>
          <w:tcPr>
            <w:tcW w:w="1309" w:type="dxa"/>
            <w:tcBorders>
              <w:top w:val="nil"/>
              <w:left w:val="nil"/>
              <w:bottom w:val="single" w:sz="4" w:space="0" w:color="auto"/>
              <w:right w:val="single" w:sz="4" w:space="0" w:color="auto"/>
            </w:tcBorders>
            <w:shd w:val="clear" w:color="auto" w:fill="FFFFFF" w:themeFill="background1"/>
            <w:vAlign w:val="center"/>
            <w:hideMark/>
          </w:tcPr>
          <w:p w:rsidR="005E541F" w:rsidRPr="00467F9C" w:rsidRDefault="005E541F" w:rsidP="007569A1">
            <w:pPr>
              <w:ind w:left="-111" w:right="-79"/>
              <w:jc w:val="center"/>
              <w:rPr>
                <w:sz w:val="20"/>
                <w:szCs w:val="20"/>
              </w:rPr>
            </w:pPr>
            <w:r w:rsidRPr="00467F9C">
              <w:rPr>
                <w:sz w:val="20"/>
                <w:szCs w:val="20"/>
              </w:rPr>
              <w:t>2 872,3</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5E541F" w:rsidRPr="00467F9C" w:rsidRDefault="005E541F" w:rsidP="007569A1">
            <w:pPr>
              <w:ind w:left="-145" w:right="-83"/>
              <w:jc w:val="center"/>
              <w:rPr>
                <w:sz w:val="20"/>
                <w:szCs w:val="20"/>
              </w:rPr>
            </w:pPr>
            <w:r w:rsidRPr="00467F9C">
              <w:rPr>
                <w:sz w:val="20"/>
                <w:szCs w:val="20"/>
              </w:rPr>
              <w:t>2 872,2</w:t>
            </w:r>
          </w:p>
        </w:tc>
        <w:tc>
          <w:tcPr>
            <w:tcW w:w="1444"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bCs/>
                <w:sz w:val="20"/>
                <w:szCs w:val="20"/>
              </w:rPr>
            </w:pPr>
            <w:r w:rsidRPr="00467F9C">
              <w:rPr>
                <w:bCs/>
                <w:sz w:val="20"/>
                <w:szCs w:val="20"/>
              </w:rPr>
              <w:t>-0,1</w:t>
            </w:r>
          </w:p>
        </w:tc>
        <w:tc>
          <w:tcPr>
            <w:tcW w:w="1215" w:type="dxa"/>
            <w:tcBorders>
              <w:top w:val="nil"/>
              <w:left w:val="nil"/>
              <w:bottom w:val="single" w:sz="4" w:space="0" w:color="auto"/>
              <w:right w:val="single" w:sz="4" w:space="0" w:color="auto"/>
            </w:tcBorders>
            <w:shd w:val="clear" w:color="auto" w:fill="auto"/>
            <w:vAlign w:val="center"/>
            <w:hideMark/>
          </w:tcPr>
          <w:p w:rsidR="005E541F" w:rsidRPr="00467F9C" w:rsidRDefault="005E541F" w:rsidP="00191861">
            <w:pPr>
              <w:jc w:val="center"/>
              <w:rPr>
                <w:sz w:val="20"/>
                <w:szCs w:val="20"/>
              </w:rPr>
            </w:pPr>
            <w:r w:rsidRPr="00467F9C">
              <w:rPr>
                <w:sz w:val="20"/>
                <w:szCs w:val="20"/>
              </w:rPr>
              <w:t xml:space="preserve">100,0 </w:t>
            </w:r>
          </w:p>
        </w:tc>
      </w:tr>
    </w:tbl>
    <w:p w:rsidR="005E541F" w:rsidRPr="00467F9C" w:rsidRDefault="005E541F" w:rsidP="00191861">
      <w:pPr>
        <w:pStyle w:val="af8"/>
        <w:ind w:firstLine="709"/>
        <w:jc w:val="right"/>
        <w:rPr>
          <w:sz w:val="28"/>
          <w:szCs w:val="28"/>
        </w:rPr>
      </w:pPr>
    </w:p>
    <w:p w:rsidR="005E541F" w:rsidRPr="00467F9C" w:rsidRDefault="005E541F" w:rsidP="00191861">
      <w:pPr>
        <w:pStyle w:val="a3"/>
        <w:tabs>
          <w:tab w:val="left" w:pos="720"/>
          <w:tab w:val="left" w:pos="2700"/>
          <w:tab w:val="left" w:pos="3060"/>
        </w:tabs>
        <w:ind w:firstLine="709"/>
        <w:jc w:val="both"/>
      </w:pPr>
      <w:r w:rsidRPr="00467F9C">
        <w:t xml:space="preserve">В отчетном периоде основная доля средств Фонда – 96,0% направлена на реализацию </w:t>
      </w:r>
      <w:proofErr w:type="spellStart"/>
      <w:r w:rsidRPr="00467F9C">
        <w:t>Терпрограммы</w:t>
      </w:r>
      <w:proofErr w:type="spellEnd"/>
      <w:r w:rsidRPr="00467F9C">
        <w:t xml:space="preserve"> ОМС в рамках базовой и сверх базовой </w:t>
      </w:r>
      <w:r w:rsidRPr="00467F9C">
        <w:lastRenderedPageBreak/>
        <w:t xml:space="preserve">программы ОМС; </w:t>
      </w:r>
      <w:r w:rsidRPr="00467F9C">
        <w:rPr>
          <w:iCs/>
        </w:rPr>
        <w:t xml:space="preserve">2,7% – на </w:t>
      </w:r>
      <w:r w:rsidRPr="00467F9C">
        <w:t>финансовое обеспечение н</w:t>
      </w:r>
      <w:r w:rsidRPr="00467F9C">
        <w:rPr>
          <w:iCs/>
        </w:rPr>
        <w:t xml:space="preserve">епрограммных направлений деятельности Фонда; </w:t>
      </w:r>
      <w:r w:rsidRPr="00467F9C">
        <w:t xml:space="preserve">1,3% – </w:t>
      </w:r>
      <w:r w:rsidRPr="00467F9C">
        <w:rPr>
          <w:iCs/>
        </w:rPr>
        <w:t xml:space="preserve">на </w:t>
      </w:r>
      <w:r w:rsidRPr="00467F9C">
        <w:t xml:space="preserve">выполнение функций аппаратом Фонда.  </w:t>
      </w:r>
    </w:p>
    <w:p w:rsidR="005E541F" w:rsidRPr="00467F9C" w:rsidRDefault="005E541F" w:rsidP="00191861">
      <w:pPr>
        <w:pStyle w:val="af8"/>
        <w:ind w:firstLine="709"/>
        <w:jc w:val="both"/>
        <w:rPr>
          <w:b/>
          <w:sz w:val="28"/>
          <w:szCs w:val="28"/>
          <w:highlight w:val="green"/>
        </w:rPr>
      </w:pPr>
      <w:r w:rsidRPr="00467F9C">
        <w:rPr>
          <w:sz w:val="28"/>
          <w:szCs w:val="28"/>
        </w:rPr>
        <w:t xml:space="preserve">Расходы на выполнение управленческих функций Фонда </w:t>
      </w:r>
      <w:r w:rsidRPr="00467F9C">
        <w:rPr>
          <w:b/>
          <w:sz w:val="28"/>
          <w:szCs w:val="28"/>
        </w:rPr>
        <w:t xml:space="preserve">(раздел «Общегосударственные вопросы») </w:t>
      </w:r>
      <w:r w:rsidRPr="00467F9C">
        <w:rPr>
          <w:sz w:val="28"/>
          <w:szCs w:val="28"/>
        </w:rPr>
        <w:t>исполнены в сумме 45 512,5 тыс. рублей (95,9% от годовых бюджетных назначений), в сравнении с предыдущим годом увеличились на 3 622,2 тыс. рублей или на 8,6%.</w:t>
      </w:r>
    </w:p>
    <w:p w:rsidR="005E541F" w:rsidRPr="00467F9C" w:rsidRDefault="005E541F" w:rsidP="00191861">
      <w:pPr>
        <w:pStyle w:val="a3"/>
        <w:tabs>
          <w:tab w:val="left" w:pos="720"/>
          <w:tab w:val="left" w:pos="2700"/>
          <w:tab w:val="left" w:pos="3060"/>
        </w:tabs>
        <w:ind w:firstLine="709"/>
        <w:jc w:val="both"/>
      </w:pPr>
      <w:r w:rsidRPr="00467F9C">
        <w:t>В 2021 году расходы по разделу «Здравоохранение»</w:t>
      </w:r>
      <w:r w:rsidRPr="00467F9C">
        <w:rPr>
          <w:i/>
        </w:rPr>
        <w:t xml:space="preserve"> </w:t>
      </w:r>
      <w:r w:rsidRPr="00467F9C">
        <w:t xml:space="preserve">(программные и непрограммные мероприятия) в сравнении с 2020 годом увеличились на                                655 399,5 тыс. рублей или 23,5% и составили 3 443 228,0 тыс. рублей (95,3% от годовых бюджетных назначений).   </w:t>
      </w:r>
    </w:p>
    <w:p w:rsidR="005E541F" w:rsidRPr="00467F9C" w:rsidRDefault="005E541F" w:rsidP="00191861">
      <w:pPr>
        <w:pStyle w:val="a3"/>
        <w:tabs>
          <w:tab w:val="left" w:pos="720"/>
          <w:tab w:val="left" w:pos="2700"/>
          <w:tab w:val="left" w:pos="3060"/>
        </w:tabs>
        <w:ind w:firstLine="709"/>
        <w:jc w:val="both"/>
      </w:pPr>
      <w:r w:rsidRPr="00467F9C">
        <w:t xml:space="preserve">Расходы на реализацию </w:t>
      </w:r>
      <w:proofErr w:type="spellStart"/>
      <w:r w:rsidRPr="00467F9C">
        <w:rPr>
          <w:i/>
        </w:rPr>
        <w:t>Терпрограммы</w:t>
      </w:r>
      <w:proofErr w:type="spellEnd"/>
      <w:r w:rsidRPr="00467F9C">
        <w:rPr>
          <w:i/>
        </w:rPr>
        <w:t xml:space="preserve"> ОМС</w:t>
      </w:r>
      <w:r w:rsidRPr="00467F9C">
        <w:t xml:space="preserve"> в отчетном периоде в целом составили 3 347 368,6 тыс. рублей и в сравнении с объемом расходов в предыдущем году (2 724 470,4 тыс. рублей) выросли на 622 898,2 тыс. рублей или 22,9%. </w:t>
      </w:r>
      <w:proofErr w:type="spellStart"/>
      <w:r w:rsidRPr="00467F9C">
        <w:t>Терпрограмма</w:t>
      </w:r>
      <w:proofErr w:type="spellEnd"/>
      <w:r w:rsidRPr="00467F9C">
        <w:t xml:space="preserve"> ОМС исполнена на 98,0% от годовых бюджетных назначений.</w:t>
      </w:r>
    </w:p>
    <w:p w:rsidR="005E541F" w:rsidRPr="00467F9C" w:rsidRDefault="005E541F" w:rsidP="00191861">
      <w:pPr>
        <w:ind w:firstLine="708"/>
        <w:jc w:val="both"/>
        <w:rPr>
          <w:sz w:val="28"/>
          <w:szCs w:val="28"/>
        </w:rPr>
      </w:pPr>
      <w:bookmarkStart w:id="14" w:name="_Hlk102031446"/>
      <w:r w:rsidRPr="00467F9C">
        <w:rPr>
          <w:sz w:val="28"/>
          <w:szCs w:val="28"/>
        </w:rPr>
        <w:t xml:space="preserve">На низком уровне исполнены расходы по </w:t>
      </w:r>
      <w:proofErr w:type="spellStart"/>
      <w:r w:rsidRPr="00467F9C">
        <w:rPr>
          <w:sz w:val="28"/>
          <w:szCs w:val="28"/>
        </w:rPr>
        <w:t>Терпрограмме</w:t>
      </w:r>
      <w:proofErr w:type="spellEnd"/>
      <w:r w:rsidRPr="00467F9C">
        <w:rPr>
          <w:sz w:val="28"/>
          <w:szCs w:val="28"/>
        </w:rPr>
        <w:t xml:space="preserve"> ОМС за счет средств резервного фонда Правительства РФ:</w:t>
      </w:r>
    </w:p>
    <w:p w:rsidR="005E541F" w:rsidRPr="00467F9C" w:rsidRDefault="005E541F" w:rsidP="00191861">
      <w:pPr>
        <w:ind w:firstLine="708"/>
        <w:jc w:val="both"/>
        <w:rPr>
          <w:sz w:val="28"/>
          <w:szCs w:val="28"/>
        </w:rPr>
      </w:pPr>
      <w:r w:rsidRPr="00467F9C">
        <w:rPr>
          <w:sz w:val="28"/>
          <w:szCs w:val="28"/>
        </w:rPr>
        <w:t xml:space="preserve">- на проведение углубленной диспансеризации застрахованных по ОМС лиц, перенесших заболевание COVID-19, расходы произведены в сумме 208,4 тыс. рублей или 14,1% от годовых бюджетных назначений (1 475,2 тыс. рублей) по фактически принятым счетам, предъявленным медицинскими организациями; </w:t>
      </w:r>
    </w:p>
    <w:p w:rsidR="005E541F" w:rsidRPr="00467F9C" w:rsidRDefault="005E541F" w:rsidP="00191861">
      <w:pPr>
        <w:ind w:firstLine="360"/>
        <w:jc w:val="both"/>
        <w:rPr>
          <w:sz w:val="28"/>
          <w:szCs w:val="28"/>
        </w:rPr>
      </w:pPr>
      <w:r w:rsidRPr="00467F9C">
        <w:rPr>
          <w:sz w:val="28"/>
          <w:szCs w:val="28"/>
        </w:rPr>
        <w:tab/>
        <w:t xml:space="preserve">- на оказание медицинской помощи, в том числе лицам с заболеванием и (или) подозрением на заболевание COVID-19, расходы составили 7 119,8 тыс. рублей или 15,9% от годовых бюджетных назначений (44 710,2 тыс. рублей). Средства были направлены на лечение жителей округа в условиях круглосуточного стационара в других субъектах РФ по фактически предъявленным Фонду территориальными фондами ОМС счетам. </w:t>
      </w:r>
    </w:p>
    <w:p w:rsidR="005E541F" w:rsidRPr="00467F9C" w:rsidRDefault="005E541F" w:rsidP="00191861">
      <w:pPr>
        <w:ind w:firstLine="708"/>
        <w:jc w:val="both"/>
        <w:rPr>
          <w:sz w:val="28"/>
          <w:szCs w:val="28"/>
        </w:rPr>
      </w:pPr>
      <w:r w:rsidRPr="00467F9C">
        <w:rPr>
          <w:sz w:val="28"/>
          <w:szCs w:val="28"/>
        </w:rPr>
        <w:t xml:space="preserve">Не исполнены расходы в сумме 13 583,8 тыс. рублей, предусмотренные в рамках государственной программы РФ «Развитие здравоохранения» на оказание медицинской помощи в условиях круглосуточного стационара лицам, застрахованным по ОМС, с заболеванием (подозрением на заболевание)                              COVID-19, в связи с тем, что оплата данного вида медицинской помощи произведена в рамках </w:t>
      </w:r>
      <w:proofErr w:type="spellStart"/>
      <w:r w:rsidRPr="00467F9C">
        <w:rPr>
          <w:sz w:val="28"/>
          <w:szCs w:val="28"/>
        </w:rPr>
        <w:t>Терпрограммы</w:t>
      </w:r>
      <w:proofErr w:type="spellEnd"/>
      <w:r w:rsidRPr="00467F9C">
        <w:rPr>
          <w:sz w:val="28"/>
          <w:szCs w:val="28"/>
        </w:rPr>
        <w:t xml:space="preserve"> ОМС за счет средств из  ФФ ОМС и окружного бюджета.</w:t>
      </w:r>
    </w:p>
    <w:bookmarkEnd w:id="14"/>
    <w:p w:rsidR="005E541F" w:rsidRPr="00467F9C" w:rsidRDefault="005E541F" w:rsidP="00191861">
      <w:pPr>
        <w:jc w:val="both"/>
        <w:rPr>
          <w:sz w:val="28"/>
          <w:szCs w:val="28"/>
        </w:rPr>
      </w:pPr>
      <w:r w:rsidRPr="00467F9C">
        <w:rPr>
          <w:sz w:val="28"/>
          <w:szCs w:val="28"/>
        </w:rPr>
        <w:tab/>
      </w:r>
      <w:r w:rsidRPr="00467F9C">
        <w:rPr>
          <w:b/>
          <w:i/>
          <w:sz w:val="28"/>
          <w:szCs w:val="28"/>
        </w:rPr>
        <w:t>Расходы на оплату счетов за лечение жителей округа в других субъектах РФ</w:t>
      </w:r>
      <w:r w:rsidRPr="00467F9C">
        <w:rPr>
          <w:sz w:val="28"/>
          <w:szCs w:val="28"/>
        </w:rPr>
        <w:t xml:space="preserve"> сложились на 29,8% ниже уровня 2020 года и составили 63 768,4 тыс. рублей или 100% от годовых бюджетных назначений.</w:t>
      </w:r>
    </w:p>
    <w:p w:rsidR="005E541F" w:rsidRPr="00467F9C" w:rsidRDefault="005E541F" w:rsidP="00191861">
      <w:pPr>
        <w:ind w:firstLine="709"/>
        <w:jc w:val="both"/>
        <w:rPr>
          <w:sz w:val="28"/>
          <w:szCs w:val="28"/>
        </w:rPr>
      </w:pPr>
      <w:r w:rsidRPr="00467F9C">
        <w:rPr>
          <w:sz w:val="28"/>
          <w:szCs w:val="28"/>
        </w:rPr>
        <w:t xml:space="preserve">За отчетный период расходы по </w:t>
      </w:r>
      <w:r w:rsidRPr="00467F9C">
        <w:rPr>
          <w:b/>
          <w:i/>
          <w:sz w:val="28"/>
          <w:szCs w:val="28"/>
        </w:rPr>
        <w:t>непрограммным направлениям деятельности органов управления территориальных государственных внебюджетных фондов</w:t>
      </w:r>
      <w:r w:rsidRPr="00467F9C">
        <w:rPr>
          <w:i/>
          <w:sz w:val="28"/>
          <w:szCs w:val="28"/>
        </w:rPr>
        <w:t xml:space="preserve"> </w:t>
      </w:r>
      <w:r w:rsidRPr="00467F9C">
        <w:rPr>
          <w:sz w:val="28"/>
          <w:szCs w:val="28"/>
        </w:rPr>
        <w:t xml:space="preserve">в целом исполнены в сумме 98 859,4   тыс. рублей (48,2% от годовых бюджетных назначений), что выше расходов 2020 года </w:t>
      </w:r>
      <w:r w:rsidR="00A95989">
        <w:rPr>
          <w:sz w:val="28"/>
          <w:szCs w:val="28"/>
        </w:rPr>
        <w:t xml:space="preserve">                          </w:t>
      </w:r>
      <w:proofErr w:type="gramStart"/>
      <w:r w:rsidR="00A95989">
        <w:rPr>
          <w:sz w:val="28"/>
          <w:szCs w:val="28"/>
        </w:rPr>
        <w:t xml:space="preserve">   </w:t>
      </w:r>
      <w:r w:rsidRPr="00467F9C">
        <w:rPr>
          <w:sz w:val="28"/>
          <w:szCs w:val="28"/>
        </w:rPr>
        <w:t>(</w:t>
      </w:r>
      <w:proofErr w:type="gramEnd"/>
      <w:r w:rsidRPr="00467F9C">
        <w:rPr>
          <w:sz w:val="28"/>
          <w:szCs w:val="28"/>
        </w:rPr>
        <w:t xml:space="preserve">63 358,1 тыс. рублей) на 35 501,3 тыс. рублей или 56%. </w:t>
      </w:r>
    </w:p>
    <w:p w:rsidR="005E541F" w:rsidRPr="00467F9C" w:rsidRDefault="005E541F" w:rsidP="00191861">
      <w:pPr>
        <w:ind w:firstLine="709"/>
        <w:jc w:val="both"/>
        <w:rPr>
          <w:sz w:val="28"/>
          <w:szCs w:val="28"/>
        </w:rPr>
      </w:pPr>
      <w:r w:rsidRPr="00467F9C">
        <w:rPr>
          <w:b/>
          <w:i/>
          <w:sz w:val="28"/>
          <w:szCs w:val="28"/>
        </w:rPr>
        <w:t>Расходы по оплате счетов за лечение иногородних граждан на территории округа</w:t>
      </w:r>
      <w:r w:rsidRPr="00467F9C">
        <w:rPr>
          <w:sz w:val="28"/>
          <w:szCs w:val="28"/>
        </w:rPr>
        <w:t xml:space="preserve"> составили 77 119,4 тыс. рублей (62% от годовых бюджетных </w:t>
      </w:r>
      <w:r w:rsidRPr="00467F9C">
        <w:rPr>
          <w:sz w:val="28"/>
          <w:szCs w:val="28"/>
        </w:rPr>
        <w:lastRenderedPageBreak/>
        <w:t>назначений), что в 2 раза превышает аналогичные расходы предыдущего года</w:t>
      </w:r>
      <w:proofErr w:type="gramStart"/>
      <w:r w:rsidR="00A95989">
        <w:rPr>
          <w:sz w:val="28"/>
          <w:szCs w:val="28"/>
        </w:rPr>
        <w:t xml:space="preserve"> </w:t>
      </w:r>
      <w:r w:rsidRPr="00467F9C">
        <w:rPr>
          <w:sz w:val="28"/>
          <w:szCs w:val="28"/>
        </w:rPr>
        <w:t xml:space="preserve">  (</w:t>
      </w:r>
      <w:proofErr w:type="gramEnd"/>
      <w:r w:rsidRPr="00467F9C">
        <w:rPr>
          <w:sz w:val="28"/>
          <w:szCs w:val="28"/>
        </w:rPr>
        <w:t xml:space="preserve">38 534,7 тыс. рублей)  </w:t>
      </w:r>
    </w:p>
    <w:p w:rsidR="005E541F" w:rsidRPr="00467F9C" w:rsidRDefault="005E541F" w:rsidP="00191861">
      <w:pPr>
        <w:ind w:firstLine="709"/>
        <w:jc w:val="both"/>
        <w:rPr>
          <w:sz w:val="28"/>
          <w:szCs w:val="28"/>
        </w:rPr>
      </w:pPr>
      <w:r w:rsidRPr="00467F9C">
        <w:rPr>
          <w:sz w:val="28"/>
          <w:szCs w:val="28"/>
        </w:rPr>
        <w:t>Не исполнялись расходы по осуществлению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осмотров населения, при годовых бюджетных назначениях в объеме 663,0 тыс. рублей,  в связи с отсутствием в 2021 году случаев впервые выявленных онкологических заболеваний в ходе проведения диспансеризации и профилактических осмотров населения.</w:t>
      </w:r>
    </w:p>
    <w:p w:rsidR="005E541F" w:rsidRPr="00467F9C" w:rsidRDefault="005E541F" w:rsidP="00191861">
      <w:pPr>
        <w:ind w:firstLine="709"/>
        <w:jc w:val="both"/>
        <w:rPr>
          <w:sz w:val="28"/>
          <w:szCs w:val="28"/>
        </w:rPr>
      </w:pPr>
      <w:r w:rsidRPr="00467F9C">
        <w:rPr>
          <w:sz w:val="28"/>
          <w:szCs w:val="28"/>
        </w:rPr>
        <w:t>В отчетном периоде расходы за счет</w:t>
      </w:r>
      <w:r w:rsidRPr="00467F9C">
        <w:rPr>
          <w:b/>
          <w:i/>
          <w:sz w:val="28"/>
          <w:szCs w:val="28"/>
        </w:rPr>
        <w:t xml:space="preserve"> средств НСЗ</w:t>
      </w:r>
      <w:r w:rsidRPr="00467F9C">
        <w:rPr>
          <w:sz w:val="28"/>
          <w:szCs w:val="28"/>
        </w:rPr>
        <w:t xml:space="preserve"> в целом исполнены в сумме 18 740,0 тыс. рублей или 25,4% от годовых бюджетных назначений), что ниже расходов 2020 года (24 823,3 тыс. рублей) на 6 083,3 тыс. рублей или 7,5%. </w:t>
      </w:r>
    </w:p>
    <w:p w:rsidR="005E541F" w:rsidRPr="00467F9C" w:rsidRDefault="005E541F" w:rsidP="00A95989">
      <w:pPr>
        <w:ind w:firstLine="708"/>
        <w:jc w:val="both"/>
        <w:rPr>
          <w:bCs/>
          <w:sz w:val="28"/>
          <w:szCs w:val="28"/>
          <w:highlight w:val="yellow"/>
        </w:rPr>
      </w:pPr>
      <w:r w:rsidRPr="00467F9C">
        <w:rPr>
          <w:sz w:val="28"/>
          <w:szCs w:val="28"/>
        </w:rPr>
        <w:t xml:space="preserve">В анализируемом периоде </w:t>
      </w:r>
      <w:proofErr w:type="spellStart"/>
      <w:r w:rsidRPr="00467F9C">
        <w:rPr>
          <w:b/>
          <w:i/>
          <w:sz w:val="28"/>
          <w:szCs w:val="28"/>
        </w:rPr>
        <w:t>с</w:t>
      </w:r>
      <w:r w:rsidRPr="00467F9C">
        <w:rPr>
          <w:b/>
          <w:i/>
          <w:iCs/>
          <w:sz w:val="28"/>
          <w:szCs w:val="28"/>
        </w:rPr>
        <w:t>офинансирование</w:t>
      </w:r>
      <w:proofErr w:type="spellEnd"/>
      <w:r w:rsidRPr="00467F9C">
        <w:rPr>
          <w:b/>
          <w:i/>
          <w:iCs/>
          <w:sz w:val="28"/>
          <w:szCs w:val="28"/>
        </w:rPr>
        <w:t xml:space="preserve"> расходов медицинских организаций на оплату труда врачей и среднего медицинского персонала</w:t>
      </w:r>
      <w:r w:rsidRPr="00467F9C">
        <w:rPr>
          <w:iCs/>
          <w:sz w:val="28"/>
          <w:szCs w:val="28"/>
        </w:rPr>
        <w:t xml:space="preserve"> при плановых назначениях в сумме 50 944,6 тыс. рублей составило 245,9 тыс. рублей или 0,5%.</w:t>
      </w:r>
      <w:r w:rsidRPr="00467F9C">
        <w:rPr>
          <w:bCs/>
          <w:sz w:val="28"/>
          <w:szCs w:val="28"/>
        </w:rPr>
        <w:t xml:space="preserve"> </w:t>
      </w:r>
      <w:proofErr w:type="spellStart"/>
      <w:r w:rsidRPr="00467F9C">
        <w:rPr>
          <w:bCs/>
          <w:sz w:val="28"/>
          <w:szCs w:val="28"/>
        </w:rPr>
        <w:t>Софинансирование</w:t>
      </w:r>
      <w:proofErr w:type="spellEnd"/>
      <w:r w:rsidRPr="00467F9C">
        <w:rPr>
          <w:bCs/>
          <w:sz w:val="28"/>
          <w:szCs w:val="28"/>
        </w:rPr>
        <w:t xml:space="preserve"> указанных расходов осуществлялось Фондом на основании заявок ГБУЗ «Чукотская окружная больница», согласованных с Департаментом здравоохранения Чукотского автономного округа.</w:t>
      </w:r>
      <w:r w:rsidRPr="00467F9C">
        <w:rPr>
          <w:sz w:val="28"/>
          <w:szCs w:val="28"/>
        </w:rPr>
        <w:t xml:space="preserve"> За 2021 год численность привлеченных в ГБУЗ «Чукотская окружная больница» врачей и среднего медицинского персонала, сверх установленной   на   </w:t>
      </w:r>
      <w:proofErr w:type="gramStart"/>
      <w:r w:rsidRPr="00467F9C">
        <w:rPr>
          <w:sz w:val="28"/>
          <w:szCs w:val="28"/>
        </w:rPr>
        <w:t>начало  отчетного</w:t>
      </w:r>
      <w:proofErr w:type="gramEnd"/>
      <w:r w:rsidR="00A95989">
        <w:rPr>
          <w:sz w:val="28"/>
          <w:szCs w:val="28"/>
        </w:rPr>
        <w:t xml:space="preserve"> </w:t>
      </w:r>
      <w:r w:rsidRPr="00467F9C">
        <w:rPr>
          <w:sz w:val="28"/>
          <w:szCs w:val="28"/>
        </w:rPr>
        <w:t>периода штатной численности данной категории специалистов, составило                          1 единицу.</w:t>
      </w:r>
    </w:p>
    <w:p w:rsidR="005E541F" w:rsidRPr="00467F9C" w:rsidRDefault="005E541F" w:rsidP="00191861">
      <w:pPr>
        <w:pStyle w:val="af8"/>
        <w:ind w:firstLine="709"/>
        <w:jc w:val="both"/>
        <w:rPr>
          <w:sz w:val="28"/>
          <w:szCs w:val="28"/>
        </w:rPr>
      </w:pPr>
      <w:r w:rsidRPr="00467F9C">
        <w:rPr>
          <w:sz w:val="28"/>
          <w:szCs w:val="28"/>
        </w:rPr>
        <w:t>Расходы</w:t>
      </w:r>
      <w:r w:rsidRPr="00467F9C">
        <w:rPr>
          <w:b/>
          <w:i/>
          <w:sz w:val="28"/>
          <w:szCs w:val="28"/>
        </w:rPr>
        <w:t xml:space="preserve"> по приобретению медицинского оборудования</w:t>
      </w:r>
      <w:r w:rsidRPr="00467F9C">
        <w:rPr>
          <w:sz w:val="28"/>
          <w:szCs w:val="28"/>
        </w:rPr>
        <w:t xml:space="preserve"> за счет средств НСЗ составили 15 555,7 тыс. рублей или 78,0% от годовых бюджетных </w:t>
      </w:r>
      <w:proofErr w:type="gramStart"/>
      <w:r w:rsidRPr="00467F9C">
        <w:rPr>
          <w:sz w:val="28"/>
          <w:szCs w:val="28"/>
        </w:rPr>
        <w:t>назначений  (</w:t>
      </w:r>
      <w:proofErr w:type="gramEnd"/>
      <w:r w:rsidRPr="00467F9C">
        <w:rPr>
          <w:sz w:val="28"/>
          <w:szCs w:val="28"/>
        </w:rPr>
        <w:t>19 954,1 тыс. рублей).   ГБУЗ «Чукотская окружная больница» в рамках мероприятия приобретено 107 единиц оборудования при плане – 112 единиц. Неиспользование средств в сумме 4 398,4 тыс. рублей связано с длительностью проведения конкурсных процедур, сложной логистикой.</w:t>
      </w:r>
    </w:p>
    <w:p w:rsidR="005E541F" w:rsidRPr="00467F9C" w:rsidRDefault="005E541F" w:rsidP="00191861">
      <w:pPr>
        <w:pStyle w:val="af8"/>
        <w:ind w:firstLine="709"/>
        <w:jc w:val="both"/>
        <w:rPr>
          <w:sz w:val="28"/>
          <w:szCs w:val="28"/>
        </w:rPr>
      </w:pPr>
      <w:r w:rsidRPr="00467F9C">
        <w:rPr>
          <w:sz w:val="28"/>
          <w:szCs w:val="28"/>
        </w:rPr>
        <w:t xml:space="preserve">Расходы </w:t>
      </w:r>
      <w:r w:rsidRPr="00467F9C">
        <w:rPr>
          <w:b/>
          <w:i/>
          <w:sz w:val="28"/>
          <w:szCs w:val="28"/>
        </w:rPr>
        <w:t>на</w:t>
      </w:r>
      <w:r w:rsidRPr="00467F9C">
        <w:rPr>
          <w:sz w:val="28"/>
          <w:szCs w:val="28"/>
        </w:rPr>
        <w:t xml:space="preserve"> </w:t>
      </w:r>
      <w:r w:rsidRPr="00467F9C">
        <w:rPr>
          <w:b/>
          <w:i/>
          <w:sz w:val="28"/>
          <w:szCs w:val="28"/>
        </w:rPr>
        <w:t>организацию дополнительного профессионального образования медицинских работников по программам повышения квалификации</w:t>
      </w:r>
      <w:r w:rsidRPr="00467F9C">
        <w:rPr>
          <w:sz w:val="28"/>
          <w:szCs w:val="28"/>
        </w:rPr>
        <w:t xml:space="preserve"> за счет средств НСЗ в 2021 году составили 66,2 тыс. рублей или 96,4% от годовых бюджетных назначений (68,7 тыс. рублей).   При плане обучения специалистов в количестве 12 человек, обучение прошли 11 человек.</w:t>
      </w:r>
    </w:p>
    <w:p w:rsidR="005E541F" w:rsidRPr="00467F9C" w:rsidRDefault="005E541F" w:rsidP="00191861">
      <w:pPr>
        <w:ind w:firstLine="708"/>
        <w:jc w:val="both"/>
        <w:rPr>
          <w:sz w:val="28"/>
          <w:szCs w:val="28"/>
        </w:rPr>
      </w:pPr>
      <w:r w:rsidRPr="00467F9C">
        <w:t>В</w:t>
      </w:r>
      <w:r w:rsidRPr="00467F9C">
        <w:rPr>
          <w:sz w:val="28"/>
          <w:szCs w:val="28"/>
        </w:rPr>
        <w:t xml:space="preserve"> 2021 году средства НСЗ в сумме 2 872,2   тыс. рублей, поступившие в бюджет Фонда от штрафных санкций, в полном объеме направлены </w:t>
      </w:r>
      <w:r w:rsidRPr="00467F9C">
        <w:rPr>
          <w:b/>
          <w:i/>
          <w:sz w:val="28"/>
          <w:szCs w:val="28"/>
        </w:rPr>
        <w:t>на</w:t>
      </w:r>
      <w:r w:rsidRPr="00467F9C">
        <w:rPr>
          <w:sz w:val="28"/>
          <w:szCs w:val="28"/>
        </w:rPr>
        <w:t xml:space="preserve"> </w:t>
      </w:r>
      <w:r w:rsidRPr="00467F9C">
        <w:rPr>
          <w:b/>
          <w:i/>
          <w:sz w:val="28"/>
          <w:szCs w:val="28"/>
        </w:rPr>
        <w:t xml:space="preserve">организацию ОМС на территориях субъектов РФ – </w:t>
      </w:r>
      <w:r w:rsidRPr="00467F9C">
        <w:rPr>
          <w:sz w:val="28"/>
          <w:szCs w:val="28"/>
        </w:rPr>
        <w:t>оплату медицинской помощи, оказанной за пределами региона лицам, застрахованным на территории Чукотского автономного округа.</w:t>
      </w:r>
    </w:p>
    <w:p w:rsidR="005E541F" w:rsidRPr="00467F9C" w:rsidRDefault="005E541F" w:rsidP="00191861">
      <w:pPr>
        <w:ind w:firstLine="708"/>
        <w:jc w:val="both"/>
        <w:rPr>
          <w:sz w:val="28"/>
          <w:szCs w:val="28"/>
        </w:rPr>
      </w:pPr>
      <w:r w:rsidRPr="00467F9C">
        <w:rPr>
          <w:sz w:val="28"/>
          <w:szCs w:val="28"/>
        </w:rPr>
        <w:t>В отчетном периоде на ведение дела СМО направлены средства в сумме 27 033,6</w:t>
      </w:r>
      <w:r w:rsidRPr="00467F9C">
        <w:rPr>
          <w:b/>
          <w:sz w:val="28"/>
          <w:szCs w:val="28"/>
        </w:rPr>
        <w:t xml:space="preserve"> </w:t>
      </w:r>
      <w:r w:rsidRPr="00467F9C">
        <w:rPr>
          <w:sz w:val="28"/>
          <w:szCs w:val="28"/>
        </w:rPr>
        <w:t xml:space="preserve">тыс. рублей, сформированные в размере 0,83% от объема средств, направленных на оплату медицинской помощи, оказанной на территории Чукотского автономного округа, что не превышает установленный норматив. </w:t>
      </w:r>
    </w:p>
    <w:p w:rsidR="005E541F" w:rsidRPr="00467F9C" w:rsidRDefault="005E541F" w:rsidP="00191861">
      <w:pPr>
        <w:ind w:firstLine="708"/>
        <w:jc w:val="both"/>
        <w:rPr>
          <w:sz w:val="28"/>
          <w:szCs w:val="28"/>
        </w:rPr>
      </w:pPr>
      <w:r w:rsidRPr="00467F9C">
        <w:rPr>
          <w:sz w:val="28"/>
          <w:szCs w:val="28"/>
        </w:rPr>
        <w:t xml:space="preserve">Согласно договору о финансовом обеспечении обязательного медицинского страхования, заключенному между Фондом и СМО, окончательный расчет за оказанную медицинскую помощь осуществляется в следующем месяце. Таким </w:t>
      </w:r>
      <w:r w:rsidRPr="00467F9C">
        <w:rPr>
          <w:sz w:val="28"/>
          <w:szCs w:val="28"/>
        </w:rPr>
        <w:lastRenderedPageBreak/>
        <w:t>образом, окончательный расчет за медицинскую помощь, оказанную в декабре 2020 года, был произведен в январе 2021 года, а за медицинскую помощь, оказанную в декабре 2021 года - в январе 2022 года.</w:t>
      </w:r>
    </w:p>
    <w:p w:rsidR="005E541F" w:rsidRPr="00A95989" w:rsidRDefault="005E541F" w:rsidP="00191861">
      <w:pPr>
        <w:ind w:firstLine="708"/>
        <w:jc w:val="both"/>
        <w:rPr>
          <w:sz w:val="10"/>
          <w:szCs w:val="10"/>
        </w:rPr>
      </w:pPr>
    </w:p>
    <w:p w:rsidR="005E541F" w:rsidRDefault="005E541F" w:rsidP="00191861">
      <w:pPr>
        <w:ind w:firstLine="709"/>
        <w:jc w:val="both"/>
        <w:rPr>
          <w:rStyle w:val="FontStyle70"/>
          <w:b/>
          <w:sz w:val="28"/>
          <w:szCs w:val="28"/>
        </w:rPr>
      </w:pPr>
      <w:r w:rsidRPr="00467F9C">
        <w:rPr>
          <w:b/>
          <w:sz w:val="28"/>
          <w:szCs w:val="28"/>
        </w:rPr>
        <w:t>3. А</w:t>
      </w:r>
      <w:r w:rsidRPr="00467F9C">
        <w:rPr>
          <w:rStyle w:val="FontStyle70"/>
          <w:b/>
          <w:sz w:val="28"/>
          <w:szCs w:val="28"/>
        </w:rPr>
        <w:t xml:space="preserve">нализ исполнения </w:t>
      </w:r>
      <w:proofErr w:type="spellStart"/>
      <w:r w:rsidRPr="00467F9C">
        <w:rPr>
          <w:rStyle w:val="FontStyle70"/>
          <w:b/>
          <w:sz w:val="28"/>
          <w:szCs w:val="28"/>
        </w:rPr>
        <w:t>Терпрограммы</w:t>
      </w:r>
      <w:proofErr w:type="spellEnd"/>
      <w:r w:rsidRPr="00467F9C">
        <w:rPr>
          <w:rStyle w:val="FontStyle70"/>
          <w:b/>
          <w:sz w:val="28"/>
          <w:szCs w:val="28"/>
        </w:rPr>
        <w:t xml:space="preserve"> ОМС в 2021 году</w:t>
      </w:r>
    </w:p>
    <w:p w:rsidR="00A95989" w:rsidRPr="00A95989" w:rsidRDefault="00A95989" w:rsidP="00191861">
      <w:pPr>
        <w:ind w:firstLine="709"/>
        <w:jc w:val="both"/>
        <w:rPr>
          <w:rStyle w:val="FontStyle70"/>
          <w:b/>
          <w:sz w:val="10"/>
          <w:szCs w:val="10"/>
        </w:rPr>
      </w:pPr>
    </w:p>
    <w:p w:rsidR="005E541F" w:rsidRPr="00467F9C" w:rsidRDefault="005E541F" w:rsidP="00191861">
      <w:pPr>
        <w:autoSpaceDE w:val="0"/>
        <w:autoSpaceDN w:val="0"/>
        <w:adjustRightInd w:val="0"/>
        <w:ind w:firstLine="709"/>
        <w:jc w:val="both"/>
        <w:rPr>
          <w:sz w:val="28"/>
          <w:szCs w:val="28"/>
        </w:rPr>
      </w:pPr>
      <w:r w:rsidRPr="00467F9C">
        <w:rPr>
          <w:sz w:val="28"/>
          <w:szCs w:val="28"/>
        </w:rPr>
        <w:t xml:space="preserve">Основным направлением расходования средств бюджета Фонда в отчетном периоде, как и в предыдущие годы, являлось финансовое обеспечение организации ОМС на территории округа в рамках </w:t>
      </w:r>
      <w:proofErr w:type="spellStart"/>
      <w:r w:rsidRPr="00467F9C">
        <w:rPr>
          <w:sz w:val="28"/>
          <w:szCs w:val="28"/>
        </w:rPr>
        <w:t>Терпрограммы</w:t>
      </w:r>
      <w:proofErr w:type="spellEnd"/>
      <w:r w:rsidRPr="00467F9C">
        <w:rPr>
          <w:sz w:val="28"/>
          <w:szCs w:val="28"/>
        </w:rPr>
        <w:t xml:space="preserve"> ОМС.</w:t>
      </w:r>
    </w:p>
    <w:p w:rsidR="005E541F" w:rsidRPr="00467F9C" w:rsidRDefault="005E541F" w:rsidP="00191861">
      <w:pPr>
        <w:autoSpaceDE w:val="0"/>
        <w:autoSpaceDN w:val="0"/>
        <w:adjustRightInd w:val="0"/>
        <w:ind w:firstLine="709"/>
        <w:jc w:val="both"/>
        <w:rPr>
          <w:sz w:val="28"/>
          <w:szCs w:val="28"/>
        </w:rPr>
      </w:pPr>
      <w:r w:rsidRPr="00467F9C">
        <w:rPr>
          <w:sz w:val="28"/>
          <w:szCs w:val="28"/>
        </w:rPr>
        <w:t xml:space="preserve">Счетная палата отмечает, что представленный с Годовым отчетом об исполнении бюджета Фонда за 2021 год отчет о выполнении </w:t>
      </w:r>
      <w:proofErr w:type="spellStart"/>
      <w:r w:rsidRPr="00467F9C">
        <w:rPr>
          <w:sz w:val="28"/>
          <w:szCs w:val="28"/>
        </w:rPr>
        <w:t>Терпрограммы</w:t>
      </w:r>
      <w:proofErr w:type="spellEnd"/>
      <w:r w:rsidRPr="00467F9C">
        <w:rPr>
          <w:sz w:val="28"/>
          <w:szCs w:val="28"/>
        </w:rPr>
        <w:t xml:space="preserve"> ОМС в 2021 году подготовлен некачественно – не содержит  полной информации по ее исполнению, в том числе анализа исполнения показателей в сравнении с 2020 годом, с указанием причин их количественного изменения (увеличения, уменьшения). </w:t>
      </w:r>
    </w:p>
    <w:p w:rsidR="005E541F" w:rsidRPr="00467F9C" w:rsidRDefault="005E541F" w:rsidP="00191861">
      <w:pPr>
        <w:autoSpaceDE w:val="0"/>
        <w:autoSpaceDN w:val="0"/>
        <w:adjustRightInd w:val="0"/>
        <w:ind w:firstLine="709"/>
        <w:jc w:val="both"/>
        <w:rPr>
          <w:sz w:val="28"/>
          <w:szCs w:val="28"/>
        </w:rPr>
      </w:pPr>
      <w:r w:rsidRPr="00467F9C">
        <w:rPr>
          <w:sz w:val="28"/>
          <w:szCs w:val="28"/>
        </w:rPr>
        <w:t xml:space="preserve">В течение 2021 года в системе ОМС осуществляли деятельность два учреждения здравоохранения: </w:t>
      </w:r>
    </w:p>
    <w:p w:rsidR="005E541F" w:rsidRPr="00467F9C" w:rsidRDefault="005E541F" w:rsidP="00191861">
      <w:pPr>
        <w:autoSpaceDE w:val="0"/>
        <w:autoSpaceDN w:val="0"/>
        <w:adjustRightInd w:val="0"/>
        <w:ind w:firstLine="709"/>
        <w:jc w:val="both"/>
        <w:rPr>
          <w:sz w:val="28"/>
          <w:szCs w:val="28"/>
        </w:rPr>
      </w:pPr>
      <w:r w:rsidRPr="00467F9C">
        <w:rPr>
          <w:sz w:val="28"/>
          <w:szCs w:val="28"/>
        </w:rPr>
        <w:t>- ГБУЗ «Чукотская окружная больница» оказывало медицинскую помощь в полном объеме;</w:t>
      </w:r>
    </w:p>
    <w:p w:rsidR="005E541F" w:rsidRPr="00467F9C" w:rsidRDefault="005E541F" w:rsidP="00191861">
      <w:pPr>
        <w:autoSpaceDE w:val="0"/>
        <w:autoSpaceDN w:val="0"/>
        <w:adjustRightInd w:val="0"/>
        <w:ind w:firstLine="709"/>
        <w:jc w:val="both"/>
        <w:rPr>
          <w:sz w:val="28"/>
          <w:szCs w:val="28"/>
        </w:rPr>
      </w:pPr>
      <w:r w:rsidRPr="00467F9C">
        <w:rPr>
          <w:sz w:val="28"/>
          <w:szCs w:val="28"/>
        </w:rPr>
        <w:t>- ФГБУЗ «Медико-санитарная часть №4 ФМБА России» оказывало амбулаторно-поликлиническую помощь и медицинскую помощь в условиях дневного стационара.</w:t>
      </w:r>
    </w:p>
    <w:p w:rsidR="005E541F" w:rsidRPr="00467F9C" w:rsidRDefault="005E541F" w:rsidP="00191861">
      <w:pPr>
        <w:autoSpaceDE w:val="0"/>
        <w:autoSpaceDN w:val="0"/>
        <w:adjustRightInd w:val="0"/>
        <w:ind w:firstLine="709"/>
        <w:jc w:val="both"/>
        <w:rPr>
          <w:sz w:val="28"/>
          <w:szCs w:val="28"/>
        </w:rPr>
      </w:pPr>
      <w:r w:rsidRPr="00467F9C">
        <w:rPr>
          <w:sz w:val="28"/>
          <w:szCs w:val="28"/>
        </w:rPr>
        <w:t>По состоянию на 1 января 2020 года в региональном сегменте единого регистра застрахованных лиц Чукотского автономного округа числились 46 102 человека, в том числе по группам застрахованных лиц: работающие – 26 033 человека; неработающие – 20 069 человек.</w:t>
      </w:r>
    </w:p>
    <w:p w:rsidR="005E541F" w:rsidRPr="00467F9C" w:rsidRDefault="005E541F" w:rsidP="00191861">
      <w:pPr>
        <w:tabs>
          <w:tab w:val="left" w:pos="720"/>
          <w:tab w:val="left" w:pos="2700"/>
          <w:tab w:val="left" w:pos="3060"/>
        </w:tabs>
        <w:ind w:firstLine="709"/>
        <w:jc w:val="both"/>
        <w:rPr>
          <w:sz w:val="28"/>
          <w:szCs w:val="28"/>
        </w:rPr>
      </w:pPr>
      <w:r w:rsidRPr="00467F9C">
        <w:rPr>
          <w:sz w:val="28"/>
          <w:szCs w:val="28"/>
        </w:rPr>
        <w:t xml:space="preserve">Согласно показателям ТПГГ, утвержденной Постановлением №1                              </w:t>
      </w:r>
      <w:proofErr w:type="gramStart"/>
      <w:r w:rsidRPr="00467F9C">
        <w:rPr>
          <w:sz w:val="28"/>
          <w:szCs w:val="28"/>
        </w:rPr>
        <w:t xml:space="preserve">   (</w:t>
      </w:r>
      <w:proofErr w:type="gramEnd"/>
      <w:r w:rsidRPr="00467F9C">
        <w:rPr>
          <w:sz w:val="28"/>
          <w:szCs w:val="28"/>
        </w:rPr>
        <w:t xml:space="preserve">в редакции от 23.12.2021г. ), стоимость </w:t>
      </w:r>
      <w:proofErr w:type="spellStart"/>
      <w:r w:rsidRPr="00467F9C">
        <w:rPr>
          <w:sz w:val="28"/>
          <w:szCs w:val="28"/>
        </w:rPr>
        <w:t>Терпрограммы</w:t>
      </w:r>
      <w:proofErr w:type="spellEnd"/>
      <w:r w:rsidRPr="00467F9C">
        <w:rPr>
          <w:sz w:val="28"/>
          <w:szCs w:val="28"/>
        </w:rPr>
        <w:t xml:space="preserve"> ОМС на 2021 год утверждена в сумме 3 350 402,9 тыс. рублей. Исполнение </w:t>
      </w:r>
      <w:proofErr w:type="spellStart"/>
      <w:r w:rsidRPr="00467F9C">
        <w:rPr>
          <w:sz w:val="28"/>
          <w:szCs w:val="28"/>
        </w:rPr>
        <w:t>Терпрограммы</w:t>
      </w:r>
      <w:proofErr w:type="spellEnd"/>
      <w:r w:rsidRPr="00467F9C">
        <w:rPr>
          <w:sz w:val="28"/>
          <w:szCs w:val="28"/>
        </w:rPr>
        <w:t xml:space="preserve"> </w:t>
      </w:r>
      <w:proofErr w:type="gramStart"/>
      <w:r w:rsidRPr="00467F9C">
        <w:rPr>
          <w:sz w:val="28"/>
          <w:szCs w:val="28"/>
        </w:rPr>
        <w:t>ОМС  согласно</w:t>
      </w:r>
      <w:proofErr w:type="gramEnd"/>
      <w:r w:rsidRPr="00467F9C">
        <w:rPr>
          <w:sz w:val="28"/>
          <w:szCs w:val="28"/>
        </w:rPr>
        <w:t xml:space="preserve"> отчету по выполнению </w:t>
      </w:r>
      <w:proofErr w:type="spellStart"/>
      <w:r w:rsidRPr="00467F9C">
        <w:rPr>
          <w:sz w:val="28"/>
          <w:szCs w:val="28"/>
        </w:rPr>
        <w:t>Терпрограммы</w:t>
      </w:r>
      <w:proofErr w:type="spellEnd"/>
      <w:r w:rsidRPr="00467F9C">
        <w:rPr>
          <w:sz w:val="28"/>
          <w:szCs w:val="28"/>
        </w:rPr>
        <w:t xml:space="preserve"> ОМС  составило                             3 334 803,2 тыс. рублей или 99,5% от утвержденного объема  по следующим  направлениям расходов:</w:t>
      </w:r>
    </w:p>
    <w:p w:rsidR="005E541F" w:rsidRPr="00467F9C" w:rsidRDefault="005E541F" w:rsidP="00191861">
      <w:pPr>
        <w:ind w:firstLine="709"/>
        <w:jc w:val="both"/>
        <w:rPr>
          <w:sz w:val="28"/>
          <w:szCs w:val="28"/>
        </w:rPr>
      </w:pPr>
      <w:r w:rsidRPr="00467F9C">
        <w:rPr>
          <w:sz w:val="28"/>
          <w:szCs w:val="28"/>
        </w:rPr>
        <w:t xml:space="preserve"> - 3 160 906,5 тыс. рублей – за медицинскую помощь (подтвержденную реестрами счетов), оказанную в медицинских организациях Чукотского автономного округа гражданам, застрахованным на территории региона;</w:t>
      </w:r>
    </w:p>
    <w:p w:rsidR="005E541F" w:rsidRPr="00467F9C" w:rsidRDefault="005E541F" w:rsidP="00191861">
      <w:pPr>
        <w:widowControl w:val="0"/>
        <w:tabs>
          <w:tab w:val="left" w:pos="993"/>
        </w:tabs>
        <w:autoSpaceDE w:val="0"/>
        <w:autoSpaceDN w:val="0"/>
        <w:adjustRightInd w:val="0"/>
        <w:jc w:val="both"/>
        <w:rPr>
          <w:sz w:val="28"/>
          <w:szCs w:val="28"/>
        </w:rPr>
      </w:pPr>
      <w:r w:rsidRPr="00467F9C">
        <w:rPr>
          <w:sz w:val="28"/>
          <w:szCs w:val="28"/>
        </w:rPr>
        <w:t xml:space="preserve">           -  56 639,1 тыс. рублей – средства направлены СМО в медицинские организации в порядке авансирования и не подтверждены в 2021 году счетами медицинских организаций на оплату медицинской помощи;</w:t>
      </w:r>
    </w:p>
    <w:p w:rsidR="005E541F" w:rsidRPr="00467F9C" w:rsidRDefault="005E541F" w:rsidP="00191861">
      <w:pPr>
        <w:widowControl w:val="0"/>
        <w:tabs>
          <w:tab w:val="left" w:pos="1134"/>
        </w:tabs>
        <w:autoSpaceDE w:val="0"/>
        <w:autoSpaceDN w:val="0"/>
        <w:adjustRightInd w:val="0"/>
        <w:jc w:val="both"/>
        <w:rPr>
          <w:sz w:val="28"/>
          <w:szCs w:val="28"/>
        </w:rPr>
      </w:pPr>
      <w:r w:rsidRPr="00467F9C">
        <w:rPr>
          <w:sz w:val="28"/>
          <w:szCs w:val="28"/>
        </w:rPr>
        <w:t xml:space="preserve">           - 58 531,2 тыс. рублей – за медицинскую помощь, оказанную гражданам Чукотского автономного округа в медицинских организациях других субъектов РФ;  </w:t>
      </w:r>
    </w:p>
    <w:p w:rsidR="005E541F" w:rsidRPr="00467F9C" w:rsidRDefault="005E541F" w:rsidP="00191861">
      <w:pPr>
        <w:widowControl w:val="0"/>
        <w:tabs>
          <w:tab w:val="left" w:pos="1134"/>
        </w:tabs>
        <w:autoSpaceDE w:val="0"/>
        <w:autoSpaceDN w:val="0"/>
        <w:adjustRightInd w:val="0"/>
        <w:jc w:val="both"/>
        <w:rPr>
          <w:sz w:val="28"/>
          <w:szCs w:val="28"/>
        </w:rPr>
      </w:pPr>
      <w:r w:rsidRPr="00467F9C">
        <w:rPr>
          <w:sz w:val="28"/>
          <w:szCs w:val="28"/>
        </w:rPr>
        <w:t xml:space="preserve">           - 27 033,6 тыс. рублей – на содержание страховой медицинской организации;</w:t>
      </w:r>
    </w:p>
    <w:p w:rsidR="005E541F" w:rsidRPr="00467F9C" w:rsidRDefault="005E541F" w:rsidP="00191861">
      <w:pPr>
        <w:widowControl w:val="0"/>
        <w:tabs>
          <w:tab w:val="left" w:pos="1134"/>
        </w:tabs>
        <w:autoSpaceDE w:val="0"/>
        <w:autoSpaceDN w:val="0"/>
        <w:adjustRightInd w:val="0"/>
        <w:jc w:val="both"/>
        <w:rPr>
          <w:sz w:val="28"/>
          <w:szCs w:val="28"/>
        </w:rPr>
      </w:pPr>
      <w:r w:rsidRPr="00467F9C">
        <w:rPr>
          <w:sz w:val="28"/>
          <w:szCs w:val="28"/>
        </w:rPr>
        <w:t xml:space="preserve">           - 3 684,2 тыс. рублей – окончательный расчет за оказанную медицинскую помощь медицинскими организациями в декабре 2020 года;</w:t>
      </w:r>
    </w:p>
    <w:p w:rsidR="005E541F" w:rsidRPr="00467F9C" w:rsidRDefault="005E541F" w:rsidP="00191861">
      <w:pPr>
        <w:widowControl w:val="0"/>
        <w:tabs>
          <w:tab w:val="left" w:pos="1134"/>
        </w:tabs>
        <w:autoSpaceDE w:val="0"/>
        <w:autoSpaceDN w:val="0"/>
        <w:adjustRightInd w:val="0"/>
        <w:jc w:val="both"/>
        <w:rPr>
          <w:sz w:val="28"/>
          <w:szCs w:val="28"/>
        </w:rPr>
      </w:pPr>
      <w:r w:rsidRPr="00467F9C">
        <w:rPr>
          <w:sz w:val="28"/>
          <w:szCs w:val="28"/>
        </w:rPr>
        <w:t xml:space="preserve">           - 28 008,6 тыс. рублей – средства, подлежащие перечислению СМО медицинским организациям для оплаты медицинской помощи, но не </w:t>
      </w:r>
      <w:r w:rsidRPr="00467F9C">
        <w:rPr>
          <w:sz w:val="28"/>
          <w:szCs w:val="28"/>
        </w:rPr>
        <w:lastRenderedPageBreak/>
        <w:t xml:space="preserve">перечисленные по причине применения СМО санкций к медицинским организациям за нарушения, выявленные при проведении контроля предоставления медицинской помощи. </w:t>
      </w:r>
    </w:p>
    <w:p w:rsidR="005E541F" w:rsidRPr="00467F9C" w:rsidRDefault="005E541F" w:rsidP="00191861">
      <w:pPr>
        <w:widowControl w:val="0"/>
        <w:tabs>
          <w:tab w:val="left" w:pos="1134"/>
        </w:tabs>
        <w:autoSpaceDE w:val="0"/>
        <w:autoSpaceDN w:val="0"/>
        <w:adjustRightInd w:val="0"/>
        <w:jc w:val="both"/>
        <w:rPr>
          <w:sz w:val="28"/>
          <w:szCs w:val="28"/>
        </w:rPr>
      </w:pPr>
      <w:bookmarkStart w:id="15" w:name="_Hlk102061629"/>
      <w:r w:rsidRPr="00467F9C">
        <w:rPr>
          <w:sz w:val="28"/>
          <w:szCs w:val="28"/>
        </w:rPr>
        <w:t xml:space="preserve">            Бюджетные ассигнования на реализацию </w:t>
      </w:r>
      <w:proofErr w:type="spellStart"/>
      <w:r w:rsidRPr="00467F9C">
        <w:rPr>
          <w:sz w:val="28"/>
          <w:szCs w:val="28"/>
        </w:rPr>
        <w:t>Терпрограммы</w:t>
      </w:r>
      <w:proofErr w:type="spellEnd"/>
      <w:r w:rsidRPr="00467F9C">
        <w:rPr>
          <w:sz w:val="28"/>
          <w:szCs w:val="28"/>
        </w:rPr>
        <w:t xml:space="preserve"> ОМС, отраженные в Годовом отчете об исполнении бюджета Фонда и отчете о выполнении </w:t>
      </w:r>
      <w:proofErr w:type="spellStart"/>
      <w:r w:rsidRPr="00467F9C">
        <w:rPr>
          <w:sz w:val="28"/>
          <w:szCs w:val="28"/>
        </w:rPr>
        <w:t>Терпрограммы</w:t>
      </w:r>
      <w:proofErr w:type="spellEnd"/>
      <w:r w:rsidRPr="00467F9C">
        <w:rPr>
          <w:sz w:val="28"/>
          <w:szCs w:val="28"/>
        </w:rPr>
        <w:t xml:space="preserve"> ОМС, разнятся по плановым показателям на 65 006,3 тыс. рублей, по исполнению расходов – на 12 565,4 тыс. рублей, отклонения приведены в таблице 5.</w:t>
      </w:r>
    </w:p>
    <w:p w:rsidR="005E541F" w:rsidRPr="00467F9C" w:rsidRDefault="005E541F" w:rsidP="00191861">
      <w:pPr>
        <w:widowControl w:val="0"/>
        <w:tabs>
          <w:tab w:val="left" w:pos="1134"/>
        </w:tabs>
        <w:autoSpaceDE w:val="0"/>
        <w:autoSpaceDN w:val="0"/>
        <w:adjustRightInd w:val="0"/>
        <w:jc w:val="right"/>
      </w:pPr>
      <w:r w:rsidRPr="00467F9C">
        <w:rPr>
          <w:sz w:val="28"/>
          <w:szCs w:val="28"/>
        </w:rPr>
        <w:t>Таблица 5 (тыс. рублей)</w:t>
      </w:r>
    </w:p>
    <w:tbl>
      <w:tblPr>
        <w:tblStyle w:val="af5"/>
        <w:tblW w:w="9935" w:type="dxa"/>
        <w:tblLook w:val="04A0" w:firstRow="1" w:lastRow="0" w:firstColumn="1" w:lastColumn="0" w:noHBand="0" w:noVBand="1"/>
      </w:tblPr>
      <w:tblGrid>
        <w:gridCol w:w="1980"/>
        <w:gridCol w:w="1236"/>
        <w:gridCol w:w="1496"/>
        <w:gridCol w:w="1247"/>
        <w:gridCol w:w="1236"/>
        <w:gridCol w:w="1493"/>
        <w:gridCol w:w="1247"/>
      </w:tblGrid>
      <w:tr w:rsidR="005E541F" w:rsidRPr="00467F9C" w:rsidTr="009B70F2">
        <w:trPr>
          <w:trHeight w:val="342"/>
        </w:trPr>
        <w:tc>
          <w:tcPr>
            <w:tcW w:w="1980" w:type="dxa"/>
            <w:vMerge w:val="restart"/>
            <w:vAlign w:val="center"/>
          </w:tcPr>
          <w:p w:rsidR="005E541F" w:rsidRPr="00467F9C" w:rsidRDefault="005E541F" w:rsidP="00A95989">
            <w:pPr>
              <w:jc w:val="center"/>
              <w:rPr>
                <w:sz w:val="20"/>
                <w:szCs w:val="20"/>
              </w:rPr>
            </w:pPr>
            <w:r w:rsidRPr="00467F9C">
              <w:rPr>
                <w:sz w:val="20"/>
                <w:szCs w:val="20"/>
              </w:rPr>
              <w:t>Наименование показателя</w:t>
            </w:r>
          </w:p>
        </w:tc>
        <w:tc>
          <w:tcPr>
            <w:tcW w:w="3979" w:type="dxa"/>
            <w:gridSpan w:val="3"/>
            <w:vAlign w:val="center"/>
          </w:tcPr>
          <w:p w:rsidR="005E541F" w:rsidRPr="00467F9C" w:rsidRDefault="005E541F" w:rsidP="00A95989">
            <w:pPr>
              <w:jc w:val="center"/>
              <w:rPr>
                <w:sz w:val="20"/>
                <w:szCs w:val="20"/>
              </w:rPr>
            </w:pPr>
            <w:r w:rsidRPr="00467F9C">
              <w:rPr>
                <w:sz w:val="20"/>
                <w:szCs w:val="20"/>
              </w:rPr>
              <w:t>Утверждено</w:t>
            </w:r>
          </w:p>
        </w:tc>
        <w:tc>
          <w:tcPr>
            <w:tcW w:w="3976" w:type="dxa"/>
            <w:gridSpan w:val="3"/>
            <w:vAlign w:val="center"/>
          </w:tcPr>
          <w:p w:rsidR="005E541F" w:rsidRPr="00467F9C" w:rsidRDefault="005E541F" w:rsidP="00A95989">
            <w:pPr>
              <w:jc w:val="center"/>
              <w:rPr>
                <w:sz w:val="20"/>
                <w:szCs w:val="20"/>
              </w:rPr>
            </w:pPr>
            <w:r w:rsidRPr="00467F9C">
              <w:rPr>
                <w:sz w:val="20"/>
                <w:szCs w:val="20"/>
              </w:rPr>
              <w:t>Исполнено</w:t>
            </w:r>
          </w:p>
        </w:tc>
      </w:tr>
      <w:tr w:rsidR="005E541F" w:rsidRPr="00467F9C" w:rsidTr="00A95989">
        <w:tc>
          <w:tcPr>
            <w:tcW w:w="1980" w:type="dxa"/>
            <w:vMerge/>
          </w:tcPr>
          <w:p w:rsidR="005E541F" w:rsidRPr="00467F9C" w:rsidRDefault="005E541F" w:rsidP="00A95989">
            <w:pPr>
              <w:jc w:val="center"/>
              <w:rPr>
                <w:sz w:val="20"/>
                <w:szCs w:val="20"/>
              </w:rPr>
            </w:pPr>
          </w:p>
        </w:tc>
        <w:tc>
          <w:tcPr>
            <w:tcW w:w="1236" w:type="dxa"/>
          </w:tcPr>
          <w:p w:rsidR="005E541F" w:rsidRPr="00467F9C" w:rsidRDefault="005E541F" w:rsidP="00A95989">
            <w:pPr>
              <w:jc w:val="center"/>
              <w:rPr>
                <w:sz w:val="20"/>
                <w:szCs w:val="20"/>
              </w:rPr>
            </w:pPr>
            <w:r w:rsidRPr="00467F9C">
              <w:rPr>
                <w:sz w:val="20"/>
                <w:szCs w:val="20"/>
              </w:rPr>
              <w:t>Годовой отчет об исполнении бюджета Фонда</w:t>
            </w:r>
          </w:p>
        </w:tc>
        <w:tc>
          <w:tcPr>
            <w:tcW w:w="1496" w:type="dxa"/>
          </w:tcPr>
          <w:p w:rsidR="005E541F" w:rsidRPr="00467F9C" w:rsidRDefault="005E541F" w:rsidP="00A95989">
            <w:pPr>
              <w:jc w:val="center"/>
              <w:rPr>
                <w:sz w:val="20"/>
                <w:szCs w:val="20"/>
              </w:rPr>
            </w:pPr>
            <w:r w:rsidRPr="00467F9C">
              <w:rPr>
                <w:sz w:val="20"/>
                <w:szCs w:val="20"/>
              </w:rPr>
              <w:t xml:space="preserve">Отчет о выполнении </w:t>
            </w:r>
            <w:proofErr w:type="spellStart"/>
            <w:r w:rsidRPr="00467F9C">
              <w:rPr>
                <w:sz w:val="20"/>
                <w:szCs w:val="20"/>
              </w:rPr>
              <w:t>Терпрограммы</w:t>
            </w:r>
            <w:proofErr w:type="spellEnd"/>
            <w:r w:rsidRPr="00467F9C">
              <w:rPr>
                <w:sz w:val="20"/>
                <w:szCs w:val="20"/>
              </w:rPr>
              <w:t xml:space="preserve"> ОМС</w:t>
            </w:r>
          </w:p>
        </w:tc>
        <w:tc>
          <w:tcPr>
            <w:tcW w:w="1247" w:type="dxa"/>
          </w:tcPr>
          <w:p w:rsidR="005E541F" w:rsidRPr="00467F9C" w:rsidRDefault="005E541F" w:rsidP="00A95989">
            <w:pPr>
              <w:jc w:val="center"/>
              <w:rPr>
                <w:sz w:val="20"/>
                <w:szCs w:val="20"/>
              </w:rPr>
            </w:pPr>
            <w:r w:rsidRPr="00467F9C">
              <w:rPr>
                <w:sz w:val="20"/>
                <w:szCs w:val="20"/>
              </w:rPr>
              <w:t>Отклонения (гр. 3- гр.2)</w:t>
            </w:r>
          </w:p>
        </w:tc>
        <w:tc>
          <w:tcPr>
            <w:tcW w:w="1236" w:type="dxa"/>
            <w:vAlign w:val="center"/>
          </w:tcPr>
          <w:p w:rsidR="005E541F" w:rsidRPr="00467F9C" w:rsidRDefault="005E541F" w:rsidP="00A95989">
            <w:pPr>
              <w:jc w:val="center"/>
              <w:rPr>
                <w:sz w:val="20"/>
                <w:szCs w:val="20"/>
              </w:rPr>
            </w:pPr>
            <w:r w:rsidRPr="00467F9C">
              <w:rPr>
                <w:sz w:val="20"/>
                <w:szCs w:val="20"/>
              </w:rPr>
              <w:t>Годовой отчет об исполнении бюджета Фонда</w:t>
            </w:r>
          </w:p>
        </w:tc>
        <w:tc>
          <w:tcPr>
            <w:tcW w:w="1493" w:type="dxa"/>
          </w:tcPr>
          <w:p w:rsidR="005E541F" w:rsidRPr="00467F9C" w:rsidRDefault="005E541F" w:rsidP="00A95989">
            <w:pPr>
              <w:jc w:val="center"/>
              <w:rPr>
                <w:sz w:val="20"/>
                <w:szCs w:val="20"/>
              </w:rPr>
            </w:pPr>
            <w:r w:rsidRPr="00467F9C">
              <w:rPr>
                <w:sz w:val="20"/>
                <w:szCs w:val="20"/>
              </w:rPr>
              <w:t xml:space="preserve">Отчет о выполнении </w:t>
            </w:r>
            <w:proofErr w:type="spellStart"/>
            <w:r w:rsidRPr="00467F9C">
              <w:rPr>
                <w:sz w:val="20"/>
                <w:szCs w:val="20"/>
              </w:rPr>
              <w:t>Терпрограммы</w:t>
            </w:r>
            <w:proofErr w:type="spellEnd"/>
            <w:r w:rsidRPr="00467F9C">
              <w:rPr>
                <w:sz w:val="20"/>
                <w:szCs w:val="20"/>
              </w:rPr>
              <w:t xml:space="preserve"> ОМС</w:t>
            </w:r>
          </w:p>
        </w:tc>
        <w:tc>
          <w:tcPr>
            <w:tcW w:w="1247" w:type="dxa"/>
          </w:tcPr>
          <w:p w:rsidR="005E541F" w:rsidRPr="00467F9C" w:rsidRDefault="005E541F" w:rsidP="00A95989">
            <w:pPr>
              <w:jc w:val="center"/>
              <w:rPr>
                <w:sz w:val="20"/>
                <w:szCs w:val="20"/>
              </w:rPr>
            </w:pPr>
            <w:r w:rsidRPr="00467F9C">
              <w:rPr>
                <w:sz w:val="20"/>
                <w:szCs w:val="20"/>
              </w:rPr>
              <w:t>Отклонения (гр.6-гр.5)</w:t>
            </w:r>
          </w:p>
        </w:tc>
      </w:tr>
      <w:tr w:rsidR="005E541F" w:rsidRPr="00467F9C" w:rsidTr="00A95989">
        <w:tc>
          <w:tcPr>
            <w:tcW w:w="1980" w:type="dxa"/>
            <w:vAlign w:val="center"/>
          </w:tcPr>
          <w:p w:rsidR="005E541F" w:rsidRPr="00467F9C" w:rsidRDefault="005E541F" w:rsidP="00191861">
            <w:pPr>
              <w:jc w:val="center"/>
              <w:rPr>
                <w:sz w:val="20"/>
                <w:szCs w:val="20"/>
              </w:rPr>
            </w:pPr>
            <w:r w:rsidRPr="00467F9C">
              <w:rPr>
                <w:sz w:val="20"/>
                <w:szCs w:val="20"/>
              </w:rPr>
              <w:t>1</w:t>
            </w:r>
          </w:p>
        </w:tc>
        <w:tc>
          <w:tcPr>
            <w:tcW w:w="1236" w:type="dxa"/>
            <w:vAlign w:val="center"/>
          </w:tcPr>
          <w:p w:rsidR="005E541F" w:rsidRPr="00467F9C" w:rsidRDefault="005E541F" w:rsidP="00191861">
            <w:pPr>
              <w:jc w:val="center"/>
              <w:rPr>
                <w:sz w:val="20"/>
                <w:szCs w:val="20"/>
              </w:rPr>
            </w:pPr>
            <w:r w:rsidRPr="00467F9C">
              <w:rPr>
                <w:sz w:val="20"/>
                <w:szCs w:val="20"/>
              </w:rPr>
              <w:t>2</w:t>
            </w:r>
          </w:p>
        </w:tc>
        <w:tc>
          <w:tcPr>
            <w:tcW w:w="1496" w:type="dxa"/>
            <w:vAlign w:val="center"/>
          </w:tcPr>
          <w:p w:rsidR="005E541F" w:rsidRPr="00467F9C" w:rsidRDefault="005E541F" w:rsidP="00191861">
            <w:pPr>
              <w:jc w:val="center"/>
              <w:rPr>
                <w:sz w:val="20"/>
                <w:szCs w:val="20"/>
              </w:rPr>
            </w:pPr>
            <w:r w:rsidRPr="00467F9C">
              <w:rPr>
                <w:sz w:val="20"/>
                <w:szCs w:val="20"/>
              </w:rPr>
              <w:t>3</w:t>
            </w:r>
          </w:p>
        </w:tc>
        <w:tc>
          <w:tcPr>
            <w:tcW w:w="1247" w:type="dxa"/>
            <w:vAlign w:val="center"/>
          </w:tcPr>
          <w:p w:rsidR="005E541F" w:rsidRPr="00467F9C" w:rsidRDefault="005E541F" w:rsidP="00191861">
            <w:pPr>
              <w:jc w:val="center"/>
              <w:rPr>
                <w:sz w:val="20"/>
                <w:szCs w:val="20"/>
              </w:rPr>
            </w:pPr>
            <w:r w:rsidRPr="00467F9C">
              <w:rPr>
                <w:sz w:val="20"/>
                <w:szCs w:val="20"/>
              </w:rPr>
              <w:t>4</w:t>
            </w:r>
          </w:p>
        </w:tc>
        <w:tc>
          <w:tcPr>
            <w:tcW w:w="1236" w:type="dxa"/>
            <w:vAlign w:val="center"/>
          </w:tcPr>
          <w:p w:rsidR="005E541F" w:rsidRPr="00467F9C" w:rsidRDefault="005E541F" w:rsidP="00191861">
            <w:pPr>
              <w:jc w:val="center"/>
              <w:rPr>
                <w:sz w:val="20"/>
                <w:szCs w:val="20"/>
              </w:rPr>
            </w:pPr>
            <w:r w:rsidRPr="00467F9C">
              <w:rPr>
                <w:sz w:val="20"/>
                <w:szCs w:val="20"/>
              </w:rPr>
              <w:t>5</w:t>
            </w:r>
          </w:p>
        </w:tc>
        <w:tc>
          <w:tcPr>
            <w:tcW w:w="1493" w:type="dxa"/>
            <w:vAlign w:val="center"/>
          </w:tcPr>
          <w:p w:rsidR="005E541F" w:rsidRPr="00467F9C" w:rsidRDefault="005E541F" w:rsidP="00191861">
            <w:pPr>
              <w:jc w:val="center"/>
              <w:rPr>
                <w:sz w:val="20"/>
                <w:szCs w:val="20"/>
              </w:rPr>
            </w:pPr>
            <w:r w:rsidRPr="00467F9C">
              <w:rPr>
                <w:sz w:val="20"/>
                <w:szCs w:val="20"/>
              </w:rPr>
              <w:t>6</w:t>
            </w:r>
          </w:p>
        </w:tc>
        <w:tc>
          <w:tcPr>
            <w:tcW w:w="1247" w:type="dxa"/>
            <w:vAlign w:val="center"/>
          </w:tcPr>
          <w:p w:rsidR="005E541F" w:rsidRPr="00467F9C" w:rsidRDefault="005E541F" w:rsidP="00191861">
            <w:pPr>
              <w:jc w:val="center"/>
              <w:rPr>
                <w:sz w:val="20"/>
                <w:szCs w:val="20"/>
              </w:rPr>
            </w:pPr>
            <w:r w:rsidRPr="00467F9C">
              <w:rPr>
                <w:sz w:val="20"/>
                <w:szCs w:val="20"/>
              </w:rPr>
              <w:t>7</w:t>
            </w:r>
          </w:p>
        </w:tc>
      </w:tr>
      <w:tr w:rsidR="005E541F" w:rsidRPr="00467F9C" w:rsidTr="009B70F2">
        <w:trPr>
          <w:trHeight w:val="424"/>
        </w:trPr>
        <w:tc>
          <w:tcPr>
            <w:tcW w:w="1980" w:type="dxa"/>
          </w:tcPr>
          <w:p w:rsidR="009B70F2" w:rsidRPr="009B70F2" w:rsidRDefault="009B70F2" w:rsidP="00191861">
            <w:pPr>
              <w:rPr>
                <w:sz w:val="6"/>
                <w:szCs w:val="6"/>
              </w:rPr>
            </w:pPr>
          </w:p>
          <w:p w:rsidR="005E541F" w:rsidRDefault="005E541F" w:rsidP="00191861">
            <w:pPr>
              <w:rPr>
                <w:sz w:val="20"/>
                <w:szCs w:val="20"/>
              </w:rPr>
            </w:pPr>
            <w:proofErr w:type="spellStart"/>
            <w:r w:rsidRPr="00467F9C">
              <w:rPr>
                <w:sz w:val="20"/>
                <w:szCs w:val="20"/>
              </w:rPr>
              <w:t>Терпрограмма</w:t>
            </w:r>
            <w:proofErr w:type="spellEnd"/>
            <w:r w:rsidRPr="00467F9C">
              <w:rPr>
                <w:sz w:val="20"/>
                <w:szCs w:val="20"/>
              </w:rPr>
              <w:t xml:space="preserve"> ОМС</w:t>
            </w:r>
          </w:p>
          <w:p w:rsidR="00A95989" w:rsidRPr="00A95989" w:rsidRDefault="00A95989" w:rsidP="00191861">
            <w:pPr>
              <w:rPr>
                <w:sz w:val="6"/>
                <w:szCs w:val="6"/>
              </w:rPr>
            </w:pPr>
          </w:p>
        </w:tc>
        <w:tc>
          <w:tcPr>
            <w:tcW w:w="1236" w:type="dxa"/>
            <w:vAlign w:val="center"/>
          </w:tcPr>
          <w:p w:rsidR="005E541F" w:rsidRPr="00467F9C" w:rsidRDefault="005E541F" w:rsidP="00191861">
            <w:pPr>
              <w:jc w:val="center"/>
              <w:rPr>
                <w:sz w:val="20"/>
                <w:szCs w:val="20"/>
              </w:rPr>
            </w:pPr>
            <w:r w:rsidRPr="00467F9C">
              <w:rPr>
                <w:sz w:val="20"/>
                <w:szCs w:val="20"/>
              </w:rPr>
              <w:t>3 415 409,2</w:t>
            </w:r>
          </w:p>
        </w:tc>
        <w:tc>
          <w:tcPr>
            <w:tcW w:w="1496" w:type="dxa"/>
            <w:vAlign w:val="center"/>
          </w:tcPr>
          <w:p w:rsidR="005E541F" w:rsidRPr="00467F9C" w:rsidRDefault="005E541F" w:rsidP="00191861">
            <w:pPr>
              <w:jc w:val="center"/>
              <w:rPr>
                <w:sz w:val="20"/>
                <w:szCs w:val="20"/>
              </w:rPr>
            </w:pPr>
            <w:r w:rsidRPr="00467F9C">
              <w:rPr>
                <w:sz w:val="20"/>
                <w:szCs w:val="20"/>
              </w:rPr>
              <w:t>3 350 402,9</w:t>
            </w:r>
          </w:p>
        </w:tc>
        <w:tc>
          <w:tcPr>
            <w:tcW w:w="1247" w:type="dxa"/>
            <w:vAlign w:val="center"/>
          </w:tcPr>
          <w:p w:rsidR="005E541F" w:rsidRPr="00467F9C" w:rsidRDefault="005E541F" w:rsidP="00191861">
            <w:pPr>
              <w:jc w:val="center"/>
              <w:rPr>
                <w:sz w:val="20"/>
                <w:szCs w:val="20"/>
              </w:rPr>
            </w:pPr>
            <w:r w:rsidRPr="00467F9C">
              <w:rPr>
                <w:sz w:val="20"/>
                <w:szCs w:val="20"/>
              </w:rPr>
              <w:t>- 65 006,3</w:t>
            </w:r>
          </w:p>
        </w:tc>
        <w:tc>
          <w:tcPr>
            <w:tcW w:w="1236" w:type="dxa"/>
            <w:vAlign w:val="center"/>
          </w:tcPr>
          <w:p w:rsidR="005E541F" w:rsidRPr="00467F9C" w:rsidRDefault="005E541F" w:rsidP="00191861">
            <w:pPr>
              <w:jc w:val="center"/>
              <w:rPr>
                <w:sz w:val="20"/>
                <w:szCs w:val="20"/>
              </w:rPr>
            </w:pPr>
            <w:r w:rsidRPr="00467F9C">
              <w:rPr>
                <w:sz w:val="20"/>
                <w:szCs w:val="20"/>
              </w:rPr>
              <w:t>3 347 368,6</w:t>
            </w:r>
          </w:p>
        </w:tc>
        <w:tc>
          <w:tcPr>
            <w:tcW w:w="1493" w:type="dxa"/>
            <w:vAlign w:val="center"/>
          </w:tcPr>
          <w:p w:rsidR="005E541F" w:rsidRPr="00467F9C" w:rsidRDefault="005E541F" w:rsidP="00191861">
            <w:pPr>
              <w:jc w:val="center"/>
              <w:rPr>
                <w:sz w:val="20"/>
                <w:szCs w:val="20"/>
              </w:rPr>
            </w:pPr>
            <w:r w:rsidRPr="00467F9C">
              <w:rPr>
                <w:sz w:val="20"/>
                <w:szCs w:val="20"/>
              </w:rPr>
              <w:t>3 334 803,2</w:t>
            </w:r>
          </w:p>
        </w:tc>
        <w:tc>
          <w:tcPr>
            <w:tcW w:w="1247" w:type="dxa"/>
            <w:vAlign w:val="center"/>
          </w:tcPr>
          <w:p w:rsidR="005E541F" w:rsidRPr="00467F9C" w:rsidRDefault="005E541F" w:rsidP="00191861">
            <w:pPr>
              <w:jc w:val="center"/>
              <w:rPr>
                <w:sz w:val="20"/>
                <w:szCs w:val="20"/>
              </w:rPr>
            </w:pPr>
            <w:r w:rsidRPr="00467F9C">
              <w:rPr>
                <w:sz w:val="20"/>
                <w:szCs w:val="20"/>
              </w:rPr>
              <w:t>- 12 565,4</w:t>
            </w:r>
          </w:p>
        </w:tc>
      </w:tr>
    </w:tbl>
    <w:p w:rsidR="005E541F" w:rsidRPr="00467F9C" w:rsidRDefault="005E541F" w:rsidP="00191861">
      <w:pPr>
        <w:ind w:firstLine="709"/>
        <w:jc w:val="both"/>
        <w:rPr>
          <w:sz w:val="28"/>
          <w:szCs w:val="28"/>
        </w:rPr>
      </w:pPr>
      <w:r w:rsidRPr="00467F9C">
        <w:rPr>
          <w:sz w:val="28"/>
          <w:szCs w:val="28"/>
        </w:rPr>
        <w:t xml:space="preserve">      </w:t>
      </w:r>
    </w:p>
    <w:p w:rsidR="005E541F" w:rsidRPr="00467F9C" w:rsidRDefault="005E541F" w:rsidP="00191861">
      <w:pPr>
        <w:widowControl w:val="0"/>
        <w:tabs>
          <w:tab w:val="left" w:pos="1134"/>
        </w:tabs>
        <w:autoSpaceDE w:val="0"/>
        <w:autoSpaceDN w:val="0"/>
        <w:adjustRightInd w:val="0"/>
        <w:jc w:val="both"/>
        <w:rPr>
          <w:sz w:val="28"/>
          <w:szCs w:val="28"/>
        </w:rPr>
      </w:pPr>
      <w:r w:rsidRPr="00467F9C">
        <w:rPr>
          <w:sz w:val="28"/>
          <w:szCs w:val="28"/>
        </w:rPr>
        <w:t xml:space="preserve">           Расхождения в показателях обусловлены тем, что в отчет о выполнении </w:t>
      </w:r>
      <w:proofErr w:type="spellStart"/>
      <w:r w:rsidRPr="00467F9C">
        <w:rPr>
          <w:sz w:val="28"/>
          <w:szCs w:val="28"/>
        </w:rPr>
        <w:t>Терпрограммы</w:t>
      </w:r>
      <w:proofErr w:type="spellEnd"/>
      <w:r w:rsidRPr="00467F9C">
        <w:rPr>
          <w:sz w:val="28"/>
          <w:szCs w:val="28"/>
        </w:rPr>
        <w:t xml:space="preserve"> ОМС включаются только те расходы по </w:t>
      </w:r>
      <w:proofErr w:type="spellStart"/>
      <w:r w:rsidRPr="00467F9C">
        <w:rPr>
          <w:sz w:val="28"/>
          <w:szCs w:val="28"/>
        </w:rPr>
        <w:t>Терпрограмме</w:t>
      </w:r>
      <w:proofErr w:type="spellEnd"/>
      <w:r w:rsidRPr="00467F9C">
        <w:rPr>
          <w:sz w:val="28"/>
          <w:szCs w:val="28"/>
        </w:rPr>
        <w:t xml:space="preserve"> ОМС, финансовое обеспечение которых предусмотрено Постановлением №1 по утверждению ТПГГ.</w:t>
      </w:r>
    </w:p>
    <w:p w:rsidR="005E541F" w:rsidRPr="00467F9C" w:rsidRDefault="005E541F" w:rsidP="00191861">
      <w:pPr>
        <w:widowControl w:val="0"/>
        <w:tabs>
          <w:tab w:val="left" w:pos="1134"/>
        </w:tabs>
        <w:autoSpaceDE w:val="0"/>
        <w:autoSpaceDN w:val="0"/>
        <w:adjustRightInd w:val="0"/>
        <w:jc w:val="both"/>
        <w:rPr>
          <w:sz w:val="28"/>
          <w:szCs w:val="28"/>
        </w:rPr>
      </w:pPr>
      <w:r w:rsidRPr="00467F9C">
        <w:rPr>
          <w:sz w:val="28"/>
          <w:szCs w:val="28"/>
        </w:rPr>
        <w:t xml:space="preserve">           Так отклонение по плановым назначениям в сумме 65 006,3 тыс. рублей связано с </w:t>
      </w:r>
      <w:proofErr w:type="spellStart"/>
      <w:r w:rsidRPr="00467F9C">
        <w:rPr>
          <w:sz w:val="28"/>
          <w:szCs w:val="28"/>
        </w:rPr>
        <w:t>невключением</w:t>
      </w:r>
      <w:proofErr w:type="spellEnd"/>
      <w:r w:rsidRPr="00467F9C">
        <w:rPr>
          <w:sz w:val="28"/>
          <w:szCs w:val="28"/>
        </w:rPr>
        <w:t xml:space="preserve"> в стоимость </w:t>
      </w:r>
      <w:proofErr w:type="spellStart"/>
      <w:r w:rsidRPr="00467F9C">
        <w:rPr>
          <w:sz w:val="28"/>
          <w:szCs w:val="28"/>
        </w:rPr>
        <w:t>Терпрограммы</w:t>
      </w:r>
      <w:proofErr w:type="spellEnd"/>
      <w:r w:rsidRPr="00467F9C">
        <w:rPr>
          <w:sz w:val="28"/>
          <w:szCs w:val="28"/>
        </w:rPr>
        <w:t xml:space="preserve"> ОМС (приложение 4 </w:t>
      </w:r>
      <w:proofErr w:type="gramStart"/>
      <w:r w:rsidRPr="00467F9C">
        <w:rPr>
          <w:sz w:val="28"/>
          <w:szCs w:val="28"/>
        </w:rPr>
        <w:t>к  Постановлению</w:t>
      </w:r>
      <w:proofErr w:type="gramEnd"/>
      <w:r w:rsidRPr="00467F9C">
        <w:rPr>
          <w:sz w:val="28"/>
          <w:szCs w:val="28"/>
        </w:rPr>
        <w:t xml:space="preserve"> №1):</w:t>
      </w:r>
    </w:p>
    <w:p w:rsidR="005E541F" w:rsidRPr="00467F9C" w:rsidRDefault="005E541F" w:rsidP="00191861">
      <w:pPr>
        <w:widowControl w:val="0"/>
        <w:tabs>
          <w:tab w:val="left" w:pos="1134"/>
        </w:tabs>
        <w:autoSpaceDE w:val="0"/>
        <w:autoSpaceDN w:val="0"/>
        <w:adjustRightInd w:val="0"/>
        <w:jc w:val="both"/>
        <w:rPr>
          <w:sz w:val="28"/>
          <w:szCs w:val="28"/>
        </w:rPr>
      </w:pPr>
      <w:r w:rsidRPr="00467F9C">
        <w:rPr>
          <w:sz w:val="28"/>
          <w:szCs w:val="28"/>
        </w:rPr>
        <w:t xml:space="preserve">           целевых средств в общей сумме 56 896,9 тыс. рублей (без учета средств на межтерриториальные расчеты в сумме 2 872,3 </w:t>
      </w:r>
      <w:proofErr w:type="spellStart"/>
      <w:r w:rsidRPr="00467F9C">
        <w:rPr>
          <w:sz w:val="28"/>
          <w:szCs w:val="28"/>
        </w:rPr>
        <w:t>тыс.рублей</w:t>
      </w:r>
      <w:proofErr w:type="spellEnd"/>
      <w:r w:rsidRPr="00467F9C">
        <w:rPr>
          <w:sz w:val="28"/>
          <w:szCs w:val="28"/>
        </w:rPr>
        <w:t>) на оказание медицинской помощи лицам, с заболеванием COVID-19;</w:t>
      </w:r>
    </w:p>
    <w:p w:rsidR="005E541F" w:rsidRPr="00467F9C" w:rsidRDefault="005E541F" w:rsidP="00191861">
      <w:pPr>
        <w:widowControl w:val="0"/>
        <w:tabs>
          <w:tab w:val="left" w:pos="1134"/>
        </w:tabs>
        <w:autoSpaceDE w:val="0"/>
        <w:autoSpaceDN w:val="0"/>
        <w:adjustRightInd w:val="0"/>
        <w:jc w:val="both"/>
        <w:rPr>
          <w:sz w:val="28"/>
          <w:szCs w:val="28"/>
        </w:rPr>
      </w:pPr>
      <w:r w:rsidRPr="00467F9C">
        <w:rPr>
          <w:sz w:val="28"/>
          <w:szCs w:val="28"/>
        </w:rPr>
        <w:t xml:space="preserve">           остатка субвенций 2020 года на межтерриториальные расчеты в сумме                           8 109,4 тыс. рублей.</w:t>
      </w:r>
    </w:p>
    <w:p w:rsidR="005E541F" w:rsidRPr="00467F9C" w:rsidRDefault="005E541F" w:rsidP="00191861">
      <w:pPr>
        <w:widowControl w:val="0"/>
        <w:tabs>
          <w:tab w:val="left" w:pos="1134"/>
        </w:tabs>
        <w:autoSpaceDE w:val="0"/>
        <w:autoSpaceDN w:val="0"/>
        <w:adjustRightInd w:val="0"/>
        <w:jc w:val="both"/>
        <w:rPr>
          <w:sz w:val="28"/>
          <w:szCs w:val="28"/>
        </w:rPr>
      </w:pPr>
      <w:r w:rsidRPr="00467F9C">
        <w:rPr>
          <w:sz w:val="28"/>
          <w:szCs w:val="28"/>
        </w:rPr>
        <w:t xml:space="preserve">            Расхождение показателей по исполнению расходов в сумме                            12 565,4 тыс. рублей связано с </w:t>
      </w:r>
      <w:proofErr w:type="spellStart"/>
      <w:r w:rsidRPr="00467F9C">
        <w:rPr>
          <w:sz w:val="28"/>
          <w:szCs w:val="28"/>
        </w:rPr>
        <w:t>неотнесением</w:t>
      </w:r>
      <w:proofErr w:type="spellEnd"/>
      <w:r w:rsidRPr="00467F9C">
        <w:rPr>
          <w:sz w:val="28"/>
          <w:szCs w:val="28"/>
        </w:rPr>
        <w:t xml:space="preserve"> на </w:t>
      </w:r>
      <w:proofErr w:type="spellStart"/>
      <w:r w:rsidRPr="00467F9C">
        <w:rPr>
          <w:sz w:val="28"/>
          <w:szCs w:val="28"/>
        </w:rPr>
        <w:t>Терпрограмму</w:t>
      </w:r>
      <w:proofErr w:type="spellEnd"/>
      <w:r w:rsidRPr="00467F9C">
        <w:rPr>
          <w:sz w:val="28"/>
          <w:szCs w:val="28"/>
        </w:rPr>
        <w:t xml:space="preserve"> ОМС (Постановление №1) следующих расходов:</w:t>
      </w:r>
    </w:p>
    <w:p w:rsidR="005E541F" w:rsidRPr="00467F9C" w:rsidRDefault="005E541F" w:rsidP="00191861">
      <w:pPr>
        <w:widowControl w:val="0"/>
        <w:tabs>
          <w:tab w:val="left" w:pos="1134"/>
        </w:tabs>
        <w:autoSpaceDE w:val="0"/>
        <w:autoSpaceDN w:val="0"/>
        <w:adjustRightInd w:val="0"/>
        <w:jc w:val="both"/>
        <w:rPr>
          <w:sz w:val="28"/>
          <w:szCs w:val="28"/>
        </w:rPr>
      </w:pPr>
      <w:r w:rsidRPr="00467F9C">
        <w:rPr>
          <w:sz w:val="28"/>
          <w:szCs w:val="28"/>
        </w:rPr>
        <w:t xml:space="preserve">            по оказанию медицинской помощи лицам, с заболеванием COVID-19</w:t>
      </w:r>
      <w:proofErr w:type="gramStart"/>
      <w:r w:rsidRPr="00467F9C">
        <w:rPr>
          <w:sz w:val="28"/>
          <w:szCs w:val="28"/>
        </w:rPr>
        <w:tab/>
        <w:t xml:space="preserve">  за</w:t>
      </w:r>
      <w:proofErr w:type="gramEnd"/>
      <w:r w:rsidR="00A95989">
        <w:rPr>
          <w:sz w:val="28"/>
          <w:szCs w:val="28"/>
        </w:rPr>
        <w:t xml:space="preserve"> </w:t>
      </w:r>
      <w:r w:rsidRPr="00467F9C">
        <w:rPr>
          <w:sz w:val="28"/>
          <w:szCs w:val="28"/>
        </w:rPr>
        <w:t xml:space="preserve">счет целевых средств в общей сумме 4 456,0 тыс. рублей (без учета расходов в сумме 2 872,3 </w:t>
      </w:r>
      <w:proofErr w:type="spellStart"/>
      <w:r w:rsidRPr="00467F9C">
        <w:rPr>
          <w:sz w:val="28"/>
          <w:szCs w:val="28"/>
        </w:rPr>
        <w:t>тыс.рублей</w:t>
      </w:r>
      <w:proofErr w:type="spellEnd"/>
      <w:r w:rsidRPr="00467F9C">
        <w:rPr>
          <w:sz w:val="28"/>
          <w:szCs w:val="28"/>
        </w:rPr>
        <w:t xml:space="preserve"> по межтерриториальным расчетам);</w:t>
      </w:r>
    </w:p>
    <w:p w:rsidR="005E541F" w:rsidRPr="00467F9C" w:rsidRDefault="005E541F" w:rsidP="00191861">
      <w:pPr>
        <w:widowControl w:val="0"/>
        <w:tabs>
          <w:tab w:val="left" w:pos="1134"/>
        </w:tabs>
        <w:autoSpaceDE w:val="0"/>
        <w:autoSpaceDN w:val="0"/>
        <w:adjustRightInd w:val="0"/>
        <w:jc w:val="both"/>
        <w:rPr>
          <w:sz w:val="28"/>
          <w:szCs w:val="28"/>
          <w:highlight w:val="yellow"/>
        </w:rPr>
      </w:pPr>
      <w:r w:rsidRPr="00467F9C">
        <w:rPr>
          <w:sz w:val="28"/>
          <w:szCs w:val="28"/>
        </w:rPr>
        <w:t xml:space="preserve">            по межтерриториальным расчетам за счет остатка субвенций 2020 года в сумме 8 109,4 тыс. рублей.</w:t>
      </w:r>
    </w:p>
    <w:bookmarkEnd w:id="15"/>
    <w:p w:rsidR="005E541F" w:rsidRPr="00467F9C" w:rsidRDefault="005E541F" w:rsidP="00191861">
      <w:pPr>
        <w:ind w:firstLine="708"/>
        <w:jc w:val="both"/>
        <w:rPr>
          <w:sz w:val="28"/>
          <w:szCs w:val="28"/>
        </w:rPr>
      </w:pPr>
      <w:r w:rsidRPr="00467F9C">
        <w:rPr>
          <w:bCs/>
          <w:sz w:val="28"/>
          <w:szCs w:val="28"/>
        </w:rPr>
        <w:t xml:space="preserve">Финансирование </w:t>
      </w:r>
      <w:proofErr w:type="spellStart"/>
      <w:r w:rsidRPr="00467F9C">
        <w:rPr>
          <w:bCs/>
          <w:sz w:val="28"/>
          <w:szCs w:val="28"/>
        </w:rPr>
        <w:t>Терпрограммы</w:t>
      </w:r>
      <w:proofErr w:type="spellEnd"/>
      <w:r w:rsidRPr="00467F9C">
        <w:rPr>
          <w:bCs/>
          <w:sz w:val="28"/>
          <w:szCs w:val="28"/>
        </w:rPr>
        <w:t xml:space="preserve"> ОМС осуществлялось Фондом через страховую медицинскую организацию. Фондом в 2021 году СМО направлены средства в сумме 3 379 794,8 тыс. рублей, в том числе: для оплаты медицинской помощи в соответствии с договором о финансовом обеспечении ОМС, заключенным </w:t>
      </w:r>
      <w:proofErr w:type="gramStart"/>
      <w:r w:rsidRPr="00467F9C">
        <w:rPr>
          <w:bCs/>
          <w:sz w:val="28"/>
          <w:szCs w:val="28"/>
        </w:rPr>
        <w:t>с  Фондом</w:t>
      </w:r>
      <w:proofErr w:type="gramEnd"/>
      <w:r w:rsidRPr="00467F9C">
        <w:rPr>
          <w:bCs/>
          <w:sz w:val="28"/>
          <w:szCs w:val="28"/>
        </w:rPr>
        <w:t xml:space="preserve"> – 3 295 833,9 тыс. рублей, из них на ведение дела СМО – 27 033,6 тыс. рублей. </w:t>
      </w:r>
    </w:p>
    <w:p w:rsidR="005E541F" w:rsidRPr="00467F9C" w:rsidRDefault="005E541F" w:rsidP="00191861">
      <w:pPr>
        <w:ind w:firstLine="709"/>
        <w:jc w:val="both"/>
        <w:rPr>
          <w:b/>
          <w:bCs/>
          <w:sz w:val="28"/>
          <w:szCs w:val="28"/>
        </w:rPr>
      </w:pPr>
    </w:p>
    <w:p w:rsidR="00BA201D" w:rsidRDefault="00BA201D" w:rsidP="00191861">
      <w:pPr>
        <w:ind w:firstLine="709"/>
        <w:jc w:val="both"/>
        <w:rPr>
          <w:b/>
          <w:bCs/>
          <w:sz w:val="28"/>
          <w:szCs w:val="28"/>
        </w:rPr>
      </w:pPr>
    </w:p>
    <w:p w:rsidR="005E541F" w:rsidRPr="00467F9C" w:rsidRDefault="005E541F" w:rsidP="00191861">
      <w:pPr>
        <w:ind w:firstLine="709"/>
        <w:jc w:val="both"/>
        <w:rPr>
          <w:b/>
          <w:bCs/>
          <w:sz w:val="28"/>
          <w:szCs w:val="28"/>
        </w:rPr>
      </w:pPr>
      <w:r w:rsidRPr="00467F9C">
        <w:rPr>
          <w:b/>
          <w:bCs/>
          <w:sz w:val="28"/>
          <w:szCs w:val="28"/>
        </w:rPr>
        <w:lastRenderedPageBreak/>
        <w:t>4. Анализ использования средств нормированного страхового запаса Фонда</w:t>
      </w:r>
    </w:p>
    <w:p w:rsidR="005E541F" w:rsidRPr="00467F9C" w:rsidRDefault="005E541F" w:rsidP="00191861">
      <w:pPr>
        <w:ind w:firstLine="709"/>
        <w:jc w:val="both"/>
        <w:rPr>
          <w:bCs/>
          <w:sz w:val="6"/>
          <w:szCs w:val="6"/>
        </w:rPr>
      </w:pPr>
      <w:r w:rsidRPr="00467F9C">
        <w:rPr>
          <w:bCs/>
          <w:sz w:val="28"/>
          <w:szCs w:val="28"/>
        </w:rPr>
        <w:t xml:space="preserve"> </w:t>
      </w:r>
    </w:p>
    <w:p w:rsidR="005E541F" w:rsidRPr="00BA201D" w:rsidRDefault="005E541F" w:rsidP="00191861">
      <w:pPr>
        <w:ind w:firstLine="709"/>
        <w:jc w:val="both"/>
        <w:rPr>
          <w:sz w:val="6"/>
          <w:szCs w:val="6"/>
        </w:rPr>
      </w:pPr>
    </w:p>
    <w:p w:rsidR="005E541F" w:rsidRPr="00467F9C" w:rsidRDefault="005E541F" w:rsidP="00191861">
      <w:pPr>
        <w:ind w:firstLine="709"/>
        <w:jc w:val="both"/>
        <w:rPr>
          <w:bCs/>
          <w:sz w:val="28"/>
          <w:szCs w:val="28"/>
        </w:rPr>
      </w:pPr>
      <w:r w:rsidRPr="00467F9C">
        <w:rPr>
          <w:sz w:val="28"/>
          <w:szCs w:val="28"/>
        </w:rPr>
        <w:t>В соответствии со статьей 5 Закона о бюджете Фонда, для обеспечения финансовой устойчивости системы ОМС на территории округа, установлен нормированный страховой запас Фонда на 2021 год в размере                                263 211,6 тыс. рублей</w:t>
      </w:r>
      <w:r w:rsidRPr="00467F9C">
        <w:rPr>
          <w:bCs/>
          <w:sz w:val="28"/>
          <w:szCs w:val="28"/>
        </w:rPr>
        <w:t xml:space="preserve">. В отчетном периоде НСЗ не превысил законодательно установленный размер и сформирован в сумме </w:t>
      </w:r>
      <w:r w:rsidRPr="00467F9C">
        <w:rPr>
          <w:sz w:val="28"/>
          <w:szCs w:val="28"/>
        </w:rPr>
        <w:t xml:space="preserve">227 396,1 </w:t>
      </w:r>
      <w:r w:rsidRPr="00467F9C">
        <w:rPr>
          <w:bCs/>
          <w:sz w:val="28"/>
          <w:szCs w:val="28"/>
        </w:rPr>
        <w:t xml:space="preserve">тыс. рублей, </w:t>
      </w:r>
      <w:r w:rsidRPr="00467F9C">
        <w:rPr>
          <w:sz w:val="28"/>
          <w:szCs w:val="28"/>
        </w:rPr>
        <w:t xml:space="preserve">израсходован в объеме 166 747,6 тыс. рублей. </w:t>
      </w:r>
      <w:r w:rsidRPr="00467F9C">
        <w:rPr>
          <w:bCs/>
          <w:sz w:val="28"/>
          <w:szCs w:val="28"/>
        </w:rPr>
        <w:t xml:space="preserve">Расходование средств НСЗ осуществлялось на цели, предусмотренные пунктом 2 статьи 5 Закона о бюджете Фонда. </w:t>
      </w:r>
    </w:p>
    <w:p w:rsidR="005E541F" w:rsidRPr="00467F9C" w:rsidRDefault="005E541F" w:rsidP="00191861">
      <w:pPr>
        <w:ind w:firstLine="709"/>
        <w:jc w:val="both"/>
        <w:rPr>
          <w:bCs/>
          <w:sz w:val="28"/>
          <w:szCs w:val="28"/>
        </w:rPr>
      </w:pPr>
      <w:r w:rsidRPr="00BA201D">
        <w:rPr>
          <w:bCs/>
          <w:sz w:val="28"/>
          <w:szCs w:val="28"/>
        </w:rPr>
        <w:t>Информация по формированию и использованию НСЗ приведена</w:t>
      </w:r>
      <w:r w:rsidRPr="00BA201D">
        <w:rPr>
          <w:bCs/>
          <w:sz w:val="27"/>
          <w:szCs w:val="27"/>
        </w:rPr>
        <w:t xml:space="preserve"> </w:t>
      </w:r>
      <w:r w:rsidRPr="00BA201D">
        <w:rPr>
          <w:bCs/>
          <w:sz w:val="28"/>
          <w:szCs w:val="28"/>
        </w:rPr>
        <w:t>в</w:t>
      </w:r>
      <w:r w:rsidRPr="00BA201D">
        <w:rPr>
          <w:bCs/>
          <w:sz w:val="27"/>
          <w:szCs w:val="27"/>
        </w:rPr>
        <w:t xml:space="preserve"> таблице</w:t>
      </w:r>
      <w:r w:rsidR="00BA201D">
        <w:rPr>
          <w:bCs/>
          <w:sz w:val="27"/>
          <w:szCs w:val="27"/>
        </w:rPr>
        <w:t xml:space="preserve"> </w:t>
      </w:r>
      <w:r w:rsidR="00BA201D" w:rsidRPr="00BA201D">
        <w:rPr>
          <w:bCs/>
          <w:sz w:val="27"/>
          <w:szCs w:val="27"/>
        </w:rPr>
        <w:t>5</w:t>
      </w:r>
      <w:r w:rsidRPr="00467F9C">
        <w:rPr>
          <w:bCs/>
          <w:sz w:val="28"/>
          <w:szCs w:val="28"/>
        </w:rPr>
        <w:t>.</w:t>
      </w:r>
    </w:p>
    <w:p w:rsidR="005E541F" w:rsidRPr="00467F9C" w:rsidRDefault="005E541F" w:rsidP="00191861">
      <w:pPr>
        <w:ind w:firstLine="708"/>
        <w:jc w:val="right"/>
        <w:rPr>
          <w:b/>
          <w:sz w:val="10"/>
          <w:szCs w:val="10"/>
        </w:rPr>
      </w:pPr>
      <w:r w:rsidRPr="00467F9C">
        <w:rPr>
          <w:bCs/>
          <w:sz w:val="28"/>
          <w:szCs w:val="28"/>
        </w:rPr>
        <w:t>Таблица 5</w:t>
      </w:r>
    </w:p>
    <w:tbl>
      <w:tblPr>
        <w:tblStyle w:val="af5"/>
        <w:tblW w:w="9924" w:type="dxa"/>
        <w:tblLayout w:type="fixed"/>
        <w:tblLook w:val="04A0" w:firstRow="1" w:lastRow="0" w:firstColumn="1" w:lastColumn="0" w:noHBand="0" w:noVBand="1"/>
      </w:tblPr>
      <w:tblGrid>
        <w:gridCol w:w="4248"/>
        <w:gridCol w:w="1138"/>
        <w:gridCol w:w="6"/>
        <w:gridCol w:w="3250"/>
        <w:gridCol w:w="1276"/>
        <w:gridCol w:w="6"/>
      </w:tblGrid>
      <w:tr w:rsidR="005E541F" w:rsidRPr="00467F9C" w:rsidTr="00BA201D">
        <w:tc>
          <w:tcPr>
            <w:tcW w:w="5392" w:type="dxa"/>
            <w:gridSpan w:val="3"/>
            <w:vAlign w:val="center"/>
          </w:tcPr>
          <w:p w:rsidR="005E541F" w:rsidRPr="00467F9C" w:rsidRDefault="005E541F" w:rsidP="00191861">
            <w:pPr>
              <w:pStyle w:val="31"/>
              <w:jc w:val="center"/>
              <w:rPr>
                <w:sz w:val="18"/>
                <w:szCs w:val="18"/>
              </w:rPr>
            </w:pPr>
            <w:r w:rsidRPr="00467F9C">
              <w:rPr>
                <w:sz w:val="18"/>
                <w:szCs w:val="18"/>
              </w:rPr>
              <w:t>Формирование НСЗ</w:t>
            </w:r>
          </w:p>
        </w:tc>
        <w:tc>
          <w:tcPr>
            <w:tcW w:w="4532" w:type="dxa"/>
            <w:gridSpan w:val="3"/>
            <w:vAlign w:val="center"/>
          </w:tcPr>
          <w:p w:rsidR="005E541F" w:rsidRPr="00467F9C" w:rsidRDefault="005E541F" w:rsidP="00191861">
            <w:pPr>
              <w:pStyle w:val="31"/>
              <w:jc w:val="center"/>
              <w:rPr>
                <w:sz w:val="18"/>
                <w:szCs w:val="18"/>
              </w:rPr>
            </w:pPr>
            <w:r w:rsidRPr="00467F9C">
              <w:rPr>
                <w:sz w:val="18"/>
                <w:szCs w:val="18"/>
              </w:rPr>
              <w:t>Расходование НСЗ</w:t>
            </w:r>
          </w:p>
        </w:tc>
      </w:tr>
      <w:tr w:rsidR="005E541F" w:rsidRPr="00467F9C" w:rsidTr="00BA201D">
        <w:trPr>
          <w:gridAfter w:val="1"/>
          <w:wAfter w:w="6" w:type="dxa"/>
        </w:trPr>
        <w:tc>
          <w:tcPr>
            <w:tcW w:w="4248" w:type="dxa"/>
            <w:vAlign w:val="center"/>
          </w:tcPr>
          <w:p w:rsidR="005E541F" w:rsidRPr="00467F9C" w:rsidRDefault="005E541F" w:rsidP="00BA201D">
            <w:pPr>
              <w:pStyle w:val="31"/>
              <w:ind w:firstLine="30"/>
              <w:jc w:val="center"/>
              <w:rPr>
                <w:sz w:val="18"/>
                <w:szCs w:val="18"/>
              </w:rPr>
            </w:pPr>
            <w:r w:rsidRPr="00467F9C">
              <w:rPr>
                <w:sz w:val="18"/>
                <w:szCs w:val="18"/>
              </w:rPr>
              <w:t>Источники формирования</w:t>
            </w:r>
          </w:p>
        </w:tc>
        <w:tc>
          <w:tcPr>
            <w:tcW w:w="1138" w:type="dxa"/>
            <w:vAlign w:val="center"/>
          </w:tcPr>
          <w:p w:rsidR="005E541F" w:rsidRDefault="005E541F" w:rsidP="00BA201D">
            <w:pPr>
              <w:pStyle w:val="31"/>
              <w:ind w:left="-99" w:right="-100" w:firstLine="0"/>
              <w:jc w:val="center"/>
              <w:rPr>
                <w:sz w:val="18"/>
                <w:szCs w:val="18"/>
              </w:rPr>
            </w:pPr>
            <w:r w:rsidRPr="00467F9C">
              <w:rPr>
                <w:sz w:val="18"/>
                <w:szCs w:val="18"/>
              </w:rPr>
              <w:t>Сумма (тыс. рублей)</w:t>
            </w:r>
          </w:p>
          <w:p w:rsidR="00BA201D" w:rsidRPr="00BA201D" w:rsidRDefault="00BA201D" w:rsidP="00BA201D">
            <w:pPr>
              <w:pStyle w:val="31"/>
              <w:ind w:left="-99" w:right="-100" w:firstLine="0"/>
              <w:jc w:val="center"/>
              <w:rPr>
                <w:sz w:val="4"/>
                <w:szCs w:val="4"/>
              </w:rPr>
            </w:pPr>
          </w:p>
        </w:tc>
        <w:tc>
          <w:tcPr>
            <w:tcW w:w="3256" w:type="dxa"/>
            <w:gridSpan w:val="2"/>
            <w:vAlign w:val="center"/>
          </w:tcPr>
          <w:p w:rsidR="005E541F" w:rsidRPr="00467F9C" w:rsidRDefault="005E541F" w:rsidP="00BA201D">
            <w:pPr>
              <w:pStyle w:val="31"/>
              <w:ind w:firstLine="4"/>
              <w:jc w:val="center"/>
              <w:rPr>
                <w:sz w:val="18"/>
                <w:szCs w:val="18"/>
              </w:rPr>
            </w:pPr>
            <w:r w:rsidRPr="00467F9C">
              <w:rPr>
                <w:sz w:val="18"/>
                <w:szCs w:val="18"/>
              </w:rPr>
              <w:t>Направление расходов</w:t>
            </w:r>
          </w:p>
        </w:tc>
        <w:tc>
          <w:tcPr>
            <w:tcW w:w="1276" w:type="dxa"/>
          </w:tcPr>
          <w:p w:rsidR="005E541F" w:rsidRPr="00467F9C" w:rsidRDefault="005E541F" w:rsidP="00BA201D">
            <w:pPr>
              <w:pStyle w:val="31"/>
              <w:ind w:left="-115" w:right="-110" w:firstLine="0"/>
              <w:jc w:val="center"/>
              <w:rPr>
                <w:sz w:val="18"/>
                <w:szCs w:val="18"/>
              </w:rPr>
            </w:pPr>
            <w:r w:rsidRPr="00467F9C">
              <w:rPr>
                <w:sz w:val="18"/>
                <w:szCs w:val="18"/>
              </w:rPr>
              <w:t>Сумма (тыс. рублей)</w:t>
            </w:r>
          </w:p>
        </w:tc>
      </w:tr>
      <w:tr w:rsidR="005E541F" w:rsidRPr="00467F9C" w:rsidTr="00BA201D">
        <w:trPr>
          <w:gridAfter w:val="1"/>
          <w:wAfter w:w="6" w:type="dxa"/>
        </w:trPr>
        <w:tc>
          <w:tcPr>
            <w:tcW w:w="4248" w:type="dxa"/>
            <w:vAlign w:val="center"/>
          </w:tcPr>
          <w:p w:rsidR="005E541F" w:rsidRPr="00467F9C" w:rsidRDefault="005E541F" w:rsidP="00BA201D">
            <w:pPr>
              <w:pStyle w:val="31"/>
              <w:ind w:firstLine="30"/>
              <w:jc w:val="center"/>
              <w:rPr>
                <w:sz w:val="18"/>
                <w:szCs w:val="18"/>
              </w:rPr>
            </w:pPr>
            <w:r w:rsidRPr="00467F9C">
              <w:rPr>
                <w:sz w:val="18"/>
                <w:szCs w:val="18"/>
              </w:rPr>
              <w:t>1</w:t>
            </w:r>
          </w:p>
        </w:tc>
        <w:tc>
          <w:tcPr>
            <w:tcW w:w="1138" w:type="dxa"/>
            <w:vAlign w:val="center"/>
          </w:tcPr>
          <w:p w:rsidR="005E541F" w:rsidRPr="00467F9C" w:rsidRDefault="005E541F" w:rsidP="00BA201D">
            <w:pPr>
              <w:pStyle w:val="31"/>
              <w:ind w:firstLine="0"/>
              <w:jc w:val="center"/>
              <w:rPr>
                <w:sz w:val="18"/>
                <w:szCs w:val="18"/>
              </w:rPr>
            </w:pPr>
            <w:r w:rsidRPr="00467F9C">
              <w:rPr>
                <w:sz w:val="18"/>
                <w:szCs w:val="18"/>
              </w:rPr>
              <w:t>2</w:t>
            </w:r>
          </w:p>
        </w:tc>
        <w:tc>
          <w:tcPr>
            <w:tcW w:w="3256" w:type="dxa"/>
            <w:gridSpan w:val="2"/>
            <w:vAlign w:val="center"/>
          </w:tcPr>
          <w:p w:rsidR="005E541F" w:rsidRPr="00467F9C" w:rsidRDefault="005E541F" w:rsidP="00BA201D">
            <w:pPr>
              <w:pStyle w:val="31"/>
              <w:ind w:firstLine="4"/>
              <w:jc w:val="center"/>
              <w:rPr>
                <w:sz w:val="18"/>
                <w:szCs w:val="18"/>
              </w:rPr>
            </w:pPr>
            <w:r w:rsidRPr="00467F9C">
              <w:rPr>
                <w:sz w:val="18"/>
                <w:szCs w:val="18"/>
              </w:rPr>
              <w:t>3</w:t>
            </w:r>
          </w:p>
        </w:tc>
        <w:tc>
          <w:tcPr>
            <w:tcW w:w="1276" w:type="dxa"/>
            <w:vAlign w:val="center"/>
          </w:tcPr>
          <w:p w:rsidR="005E541F" w:rsidRPr="00467F9C" w:rsidRDefault="005E541F" w:rsidP="00BA201D">
            <w:pPr>
              <w:pStyle w:val="31"/>
              <w:ind w:firstLine="0"/>
              <w:jc w:val="center"/>
              <w:rPr>
                <w:sz w:val="18"/>
                <w:szCs w:val="18"/>
              </w:rPr>
            </w:pPr>
            <w:r w:rsidRPr="00467F9C">
              <w:rPr>
                <w:sz w:val="18"/>
                <w:szCs w:val="18"/>
              </w:rPr>
              <w:t>4</w:t>
            </w:r>
          </w:p>
        </w:tc>
      </w:tr>
      <w:tr w:rsidR="005E541F" w:rsidRPr="00467F9C" w:rsidTr="00BA201D">
        <w:trPr>
          <w:gridAfter w:val="1"/>
          <w:wAfter w:w="6" w:type="dxa"/>
        </w:trPr>
        <w:tc>
          <w:tcPr>
            <w:tcW w:w="4248" w:type="dxa"/>
          </w:tcPr>
          <w:p w:rsidR="005E541F" w:rsidRPr="00467F9C" w:rsidRDefault="005E541F" w:rsidP="00BA201D">
            <w:pPr>
              <w:pStyle w:val="31"/>
              <w:ind w:firstLine="30"/>
              <w:rPr>
                <w:sz w:val="18"/>
                <w:szCs w:val="18"/>
              </w:rPr>
            </w:pPr>
            <w:r w:rsidRPr="00467F9C">
              <w:rPr>
                <w:sz w:val="18"/>
                <w:szCs w:val="18"/>
              </w:rPr>
              <w:t>Поступления от СМО по итогам экспертиз качества медпомощи</w:t>
            </w:r>
          </w:p>
        </w:tc>
        <w:tc>
          <w:tcPr>
            <w:tcW w:w="1138" w:type="dxa"/>
            <w:vAlign w:val="center"/>
          </w:tcPr>
          <w:p w:rsidR="005E541F" w:rsidRPr="00467F9C" w:rsidRDefault="005E541F" w:rsidP="00BA201D">
            <w:pPr>
              <w:pStyle w:val="31"/>
              <w:ind w:firstLine="0"/>
              <w:jc w:val="center"/>
              <w:rPr>
                <w:sz w:val="18"/>
                <w:szCs w:val="18"/>
              </w:rPr>
            </w:pPr>
            <w:r w:rsidRPr="00467F9C">
              <w:rPr>
                <w:sz w:val="18"/>
                <w:szCs w:val="18"/>
              </w:rPr>
              <w:t>20 866,7</w:t>
            </w:r>
          </w:p>
        </w:tc>
        <w:tc>
          <w:tcPr>
            <w:tcW w:w="3256" w:type="dxa"/>
            <w:gridSpan w:val="2"/>
            <w:vMerge w:val="restart"/>
          </w:tcPr>
          <w:p w:rsidR="005E541F" w:rsidRPr="00467F9C" w:rsidRDefault="005E541F" w:rsidP="00BA201D">
            <w:pPr>
              <w:ind w:firstLine="4"/>
              <w:jc w:val="both"/>
              <w:rPr>
                <w:sz w:val="18"/>
                <w:szCs w:val="18"/>
              </w:rPr>
            </w:pPr>
            <w:r w:rsidRPr="00467F9C">
              <w:rPr>
                <w:sz w:val="18"/>
                <w:szCs w:val="18"/>
              </w:rPr>
              <w:t>На приобретение медицинского оборудования и обучение медицинских работников по программам повышения квалификации</w:t>
            </w:r>
          </w:p>
        </w:tc>
        <w:tc>
          <w:tcPr>
            <w:tcW w:w="1276" w:type="dxa"/>
            <w:vMerge w:val="restart"/>
            <w:vAlign w:val="center"/>
          </w:tcPr>
          <w:p w:rsidR="005E541F" w:rsidRPr="00467F9C" w:rsidRDefault="005E541F" w:rsidP="00BA201D">
            <w:pPr>
              <w:pStyle w:val="31"/>
              <w:ind w:firstLine="0"/>
              <w:jc w:val="center"/>
              <w:rPr>
                <w:sz w:val="18"/>
                <w:szCs w:val="18"/>
              </w:rPr>
            </w:pPr>
            <w:r w:rsidRPr="00467F9C">
              <w:rPr>
                <w:sz w:val="18"/>
                <w:szCs w:val="18"/>
              </w:rPr>
              <w:t>15 621,9</w:t>
            </w:r>
          </w:p>
        </w:tc>
      </w:tr>
      <w:tr w:rsidR="005E541F" w:rsidRPr="00467F9C" w:rsidTr="00BA201D">
        <w:trPr>
          <w:gridAfter w:val="1"/>
          <w:wAfter w:w="6" w:type="dxa"/>
          <w:trHeight w:val="410"/>
        </w:trPr>
        <w:tc>
          <w:tcPr>
            <w:tcW w:w="4248" w:type="dxa"/>
          </w:tcPr>
          <w:p w:rsidR="005E541F" w:rsidRPr="00467F9C" w:rsidRDefault="005E541F" w:rsidP="00BA201D">
            <w:pPr>
              <w:pStyle w:val="31"/>
              <w:ind w:firstLine="30"/>
              <w:rPr>
                <w:sz w:val="18"/>
                <w:szCs w:val="18"/>
              </w:rPr>
            </w:pPr>
            <w:r w:rsidRPr="00467F9C">
              <w:rPr>
                <w:sz w:val="18"/>
                <w:szCs w:val="18"/>
              </w:rPr>
              <w:t>Поступления по результатам экспертиз предоставления медпомощи, проведенных Фондом</w:t>
            </w:r>
          </w:p>
        </w:tc>
        <w:tc>
          <w:tcPr>
            <w:tcW w:w="1138" w:type="dxa"/>
            <w:vAlign w:val="center"/>
          </w:tcPr>
          <w:p w:rsidR="005E541F" w:rsidRPr="00467F9C" w:rsidRDefault="005E541F" w:rsidP="00BA201D">
            <w:pPr>
              <w:pStyle w:val="31"/>
              <w:ind w:firstLine="0"/>
              <w:jc w:val="center"/>
              <w:rPr>
                <w:sz w:val="18"/>
                <w:szCs w:val="18"/>
              </w:rPr>
            </w:pPr>
            <w:r w:rsidRPr="00467F9C">
              <w:rPr>
                <w:sz w:val="18"/>
                <w:szCs w:val="18"/>
              </w:rPr>
              <w:t>4 704,9</w:t>
            </w:r>
          </w:p>
        </w:tc>
        <w:tc>
          <w:tcPr>
            <w:tcW w:w="3256" w:type="dxa"/>
            <w:gridSpan w:val="2"/>
            <w:vMerge/>
          </w:tcPr>
          <w:p w:rsidR="005E541F" w:rsidRPr="00467F9C" w:rsidRDefault="005E541F" w:rsidP="00BA201D">
            <w:pPr>
              <w:ind w:firstLine="4"/>
              <w:jc w:val="both"/>
              <w:rPr>
                <w:sz w:val="18"/>
                <w:szCs w:val="18"/>
              </w:rPr>
            </w:pPr>
          </w:p>
        </w:tc>
        <w:tc>
          <w:tcPr>
            <w:tcW w:w="1276" w:type="dxa"/>
            <w:vMerge/>
            <w:vAlign w:val="center"/>
          </w:tcPr>
          <w:p w:rsidR="005E541F" w:rsidRPr="00467F9C" w:rsidRDefault="005E541F" w:rsidP="00BA201D">
            <w:pPr>
              <w:pStyle w:val="31"/>
              <w:ind w:firstLine="0"/>
              <w:jc w:val="center"/>
              <w:rPr>
                <w:sz w:val="18"/>
                <w:szCs w:val="18"/>
              </w:rPr>
            </w:pPr>
          </w:p>
        </w:tc>
      </w:tr>
      <w:tr w:rsidR="005E541F" w:rsidRPr="00467F9C" w:rsidTr="00BA201D">
        <w:trPr>
          <w:gridAfter w:val="1"/>
          <w:wAfter w:w="6" w:type="dxa"/>
        </w:trPr>
        <w:tc>
          <w:tcPr>
            <w:tcW w:w="4248" w:type="dxa"/>
            <w:vAlign w:val="center"/>
          </w:tcPr>
          <w:p w:rsidR="005E541F" w:rsidRPr="00467F9C" w:rsidRDefault="005E541F" w:rsidP="00BA201D">
            <w:pPr>
              <w:pStyle w:val="31"/>
              <w:ind w:firstLine="30"/>
              <w:rPr>
                <w:sz w:val="18"/>
                <w:szCs w:val="18"/>
              </w:rPr>
            </w:pPr>
            <w:r w:rsidRPr="00467F9C">
              <w:rPr>
                <w:sz w:val="18"/>
                <w:szCs w:val="18"/>
              </w:rPr>
              <w:t>Поступления иных штрафов</w:t>
            </w:r>
          </w:p>
        </w:tc>
        <w:tc>
          <w:tcPr>
            <w:tcW w:w="1138" w:type="dxa"/>
            <w:vAlign w:val="center"/>
          </w:tcPr>
          <w:p w:rsidR="005E541F" w:rsidRPr="00467F9C" w:rsidRDefault="005E541F" w:rsidP="00BA201D">
            <w:pPr>
              <w:pStyle w:val="31"/>
              <w:ind w:firstLine="0"/>
              <w:jc w:val="center"/>
              <w:rPr>
                <w:sz w:val="18"/>
                <w:szCs w:val="18"/>
              </w:rPr>
            </w:pPr>
            <w:r w:rsidRPr="00467F9C">
              <w:rPr>
                <w:sz w:val="18"/>
                <w:szCs w:val="18"/>
              </w:rPr>
              <w:t>2 872,3</w:t>
            </w:r>
          </w:p>
        </w:tc>
        <w:tc>
          <w:tcPr>
            <w:tcW w:w="3256" w:type="dxa"/>
            <w:gridSpan w:val="2"/>
          </w:tcPr>
          <w:p w:rsidR="005E541F" w:rsidRPr="00467F9C" w:rsidRDefault="005E541F" w:rsidP="00BA201D">
            <w:pPr>
              <w:pStyle w:val="31"/>
              <w:ind w:firstLine="4"/>
              <w:rPr>
                <w:sz w:val="18"/>
                <w:szCs w:val="18"/>
              </w:rPr>
            </w:pPr>
            <w:proofErr w:type="spellStart"/>
            <w:r w:rsidRPr="00467F9C">
              <w:rPr>
                <w:sz w:val="18"/>
                <w:szCs w:val="18"/>
              </w:rPr>
              <w:t>Межтерриториальныне</w:t>
            </w:r>
            <w:proofErr w:type="spellEnd"/>
            <w:r w:rsidRPr="00467F9C">
              <w:rPr>
                <w:sz w:val="18"/>
                <w:szCs w:val="18"/>
              </w:rPr>
              <w:t xml:space="preserve"> расчеты за оказанную медицинскую помощь</w:t>
            </w:r>
          </w:p>
        </w:tc>
        <w:tc>
          <w:tcPr>
            <w:tcW w:w="1276" w:type="dxa"/>
            <w:vAlign w:val="center"/>
          </w:tcPr>
          <w:p w:rsidR="005E541F" w:rsidRPr="00467F9C" w:rsidRDefault="005E541F" w:rsidP="00BA201D">
            <w:pPr>
              <w:pStyle w:val="31"/>
              <w:ind w:firstLine="0"/>
              <w:jc w:val="center"/>
              <w:rPr>
                <w:sz w:val="18"/>
                <w:szCs w:val="18"/>
              </w:rPr>
            </w:pPr>
            <w:r w:rsidRPr="00467F9C">
              <w:rPr>
                <w:sz w:val="18"/>
                <w:szCs w:val="18"/>
              </w:rPr>
              <w:t>2 872,2</w:t>
            </w:r>
          </w:p>
        </w:tc>
      </w:tr>
      <w:tr w:rsidR="005E541F" w:rsidRPr="00467F9C" w:rsidTr="00BA201D">
        <w:trPr>
          <w:gridAfter w:val="1"/>
          <w:wAfter w:w="6" w:type="dxa"/>
        </w:trPr>
        <w:tc>
          <w:tcPr>
            <w:tcW w:w="4248" w:type="dxa"/>
          </w:tcPr>
          <w:p w:rsidR="005E541F" w:rsidRPr="00467F9C" w:rsidRDefault="005E541F" w:rsidP="00BA201D">
            <w:pPr>
              <w:pStyle w:val="31"/>
              <w:ind w:firstLine="30"/>
              <w:rPr>
                <w:sz w:val="18"/>
                <w:szCs w:val="18"/>
              </w:rPr>
            </w:pPr>
            <w:r w:rsidRPr="00467F9C">
              <w:rPr>
                <w:sz w:val="18"/>
                <w:szCs w:val="18"/>
              </w:rPr>
              <w:t xml:space="preserve">Прочие межбюджетные трансферты, передаваемые бюджетам </w:t>
            </w:r>
            <w:proofErr w:type="spellStart"/>
            <w:r w:rsidRPr="00467F9C">
              <w:rPr>
                <w:sz w:val="18"/>
                <w:szCs w:val="18"/>
              </w:rPr>
              <w:t>терфондов</w:t>
            </w:r>
            <w:proofErr w:type="spellEnd"/>
            <w:r w:rsidRPr="00467F9C">
              <w:rPr>
                <w:sz w:val="18"/>
                <w:szCs w:val="18"/>
              </w:rPr>
              <w:t xml:space="preserve"> ОМС (компенсация за оказанную медпомощь на территории округа лицам, застрахованным в других субъектах РФ</w:t>
            </w:r>
          </w:p>
        </w:tc>
        <w:tc>
          <w:tcPr>
            <w:tcW w:w="1138" w:type="dxa"/>
            <w:vAlign w:val="center"/>
          </w:tcPr>
          <w:p w:rsidR="005E541F" w:rsidRPr="00467F9C" w:rsidRDefault="005E541F" w:rsidP="00BA201D">
            <w:pPr>
              <w:pStyle w:val="31"/>
              <w:ind w:firstLine="0"/>
              <w:jc w:val="center"/>
              <w:rPr>
                <w:sz w:val="18"/>
                <w:szCs w:val="18"/>
              </w:rPr>
            </w:pPr>
            <w:r w:rsidRPr="00467F9C">
              <w:rPr>
                <w:sz w:val="18"/>
                <w:szCs w:val="18"/>
              </w:rPr>
              <w:t>76 860,8</w:t>
            </w:r>
          </w:p>
        </w:tc>
        <w:tc>
          <w:tcPr>
            <w:tcW w:w="3256" w:type="dxa"/>
            <w:gridSpan w:val="2"/>
            <w:vMerge w:val="restart"/>
            <w:vAlign w:val="center"/>
          </w:tcPr>
          <w:p w:rsidR="005E541F" w:rsidRPr="00467F9C" w:rsidRDefault="005E541F" w:rsidP="00BA201D">
            <w:pPr>
              <w:pStyle w:val="31"/>
              <w:ind w:firstLine="4"/>
              <w:rPr>
                <w:sz w:val="18"/>
                <w:szCs w:val="18"/>
              </w:rPr>
            </w:pPr>
            <w:proofErr w:type="spellStart"/>
            <w:r w:rsidRPr="00467F9C">
              <w:rPr>
                <w:sz w:val="18"/>
                <w:szCs w:val="18"/>
              </w:rPr>
              <w:t>Межтерриториальныне</w:t>
            </w:r>
            <w:proofErr w:type="spellEnd"/>
            <w:r w:rsidRPr="00467F9C">
              <w:rPr>
                <w:sz w:val="18"/>
                <w:szCs w:val="18"/>
              </w:rPr>
              <w:t xml:space="preserve"> расчеты за оказанную медицинскую помощь</w:t>
            </w:r>
          </w:p>
        </w:tc>
        <w:tc>
          <w:tcPr>
            <w:tcW w:w="1276" w:type="dxa"/>
            <w:vMerge w:val="restart"/>
            <w:vAlign w:val="center"/>
          </w:tcPr>
          <w:p w:rsidR="005E541F" w:rsidRPr="00467F9C" w:rsidRDefault="005E541F" w:rsidP="00BA201D">
            <w:pPr>
              <w:pStyle w:val="31"/>
              <w:ind w:firstLine="0"/>
              <w:jc w:val="center"/>
              <w:rPr>
                <w:sz w:val="18"/>
                <w:szCs w:val="18"/>
              </w:rPr>
            </w:pPr>
            <w:r w:rsidRPr="00467F9C">
              <w:rPr>
                <w:sz w:val="18"/>
                <w:szCs w:val="18"/>
              </w:rPr>
              <w:t>77 119,4</w:t>
            </w:r>
          </w:p>
        </w:tc>
      </w:tr>
      <w:tr w:rsidR="005E541F" w:rsidRPr="00467F9C" w:rsidTr="00BA201D">
        <w:trPr>
          <w:gridAfter w:val="1"/>
          <w:wAfter w:w="6" w:type="dxa"/>
        </w:trPr>
        <w:tc>
          <w:tcPr>
            <w:tcW w:w="4248" w:type="dxa"/>
          </w:tcPr>
          <w:p w:rsidR="005E541F" w:rsidRPr="00467F9C" w:rsidRDefault="005E541F" w:rsidP="00BA201D">
            <w:pPr>
              <w:pStyle w:val="31"/>
              <w:ind w:firstLine="30"/>
              <w:rPr>
                <w:sz w:val="18"/>
                <w:szCs w:val="18"/>
              </w:rPr>
            </w:pPr>
            <w:r w:rsidRPr="00467F9C">
              <w:rPr>
                <w:sz w:val="18"/>
                <w:szCs w:val="18"/>
              </w:rPr>
              <w:t>Субвенция из ФФ ОМС (компенсация за оказанную медпомощь на территории округа лицам, застрахованным в других субъектах РФ)</w:t>
            </w:r>
          </w:p>
        </w:tc>
        <w:tc>
          <w:tcPr>
            <w:tcW w:w="1138" w:type="dxa"/>
            <w:vAlign w:val="center"/>
          </w:tcPr>
          <w:p w:rsidR="005E541F" w:rsidRPr="00467F9C" w:rsidRDefault="005E541F" w:rsidP="00BA201D">
            <w:pPr>
              <w:pStyle w:val="31"/>
              <w:ind w:firstLine="0"/>
              <w:jc w:val="center"/>
              <w:rPr>
                <w:sz w:val="18"/>
                <w:szCs w:val="18"/>
              </w:rPr>
            </w:pPr>
            <w:r w:rsidRPr="00467F9C">
              <w:rPr>
                <w:sz w:val="18"/>
                <w:szCs w:val="18"/>
              </w:rPr>
              <w:t>258,6</w:t>
            </w:r>
          </w:p>
        </w:tc>
        <w:tc>
          <w:tcPr>
            <w:tcW w:w="3256" w:type="dxa"/>
            <w:gridSpan w:val="2"/>
            <w:vMerge/>
          </w:tcPr>
          <w:p w:rsidR="005E541F" w:rsidRPr="00467F9C" w:rsidRDefault="005E541F" w:rsidP="00BA201D">
            <w:pPr>
              <w:pStyle w:val="31"/>
              <w:ind w:firstLine="4"/>
              <w:rPr>
                <w:sz w:val="18"/>
                <w:szCs w:val="18"/>
              </w:rPr>
            </w:pPr>
          </w:p>
        </w:tc>
        <w:tc>
          <w:tcPr>
            <w:tcW w:w="1276" w:type="dxa"/>
            <w:vMerge/>
            <w:vAlign w:val="center"/>
          </w:tcPr>
          <w:p w:rsidR="005E541F" w:rsidRPr="00467F9C" w:rsidRDefault="005E541F" w:rsidP="00BA201D">
            <w:pPr>
              <w:pStyle w:val="31"/>
              <w:ind w:firstLine="0"/>
              <w:jc w:val="center"/>
              <w:rPr>
                <w:sz w:val="18"/>
                <w:szCs w:val="18"/>
              </w:rPr>
            </w:pPr>
          </w:p>
        </w:tc>
      </w:tr>
      <w:tr w:rsidR="005E541F" w:rsidRPr="00467F9C" w:rsidTr="00BA201D">
        <w:trPr>
          <w:gridAfter w:val="1"/>
          <w:wAfter w:w="6" w:type="dxa"/>
        </w:trPr>
        <w:tc>
          <w:tcPr>
            <w:tcW w:w="4248" w:type="dxa"/>
          </w:tcPr>
          <w:p w:rsidR="005E541F" w:rsidRPr="00467F9C" w:rsidRDefault="005E541F" w:rsidP="00BA201D">
            <w:pPr>
              <w:pStyle w:val="31"/>
              <w:ind w:firstLine="30"/>
              <w:rPr>
                <w:sz w:val="18"/>
                <w:szCs w:val="18"/>
              </w:rPr>
            </w:pPr>
            <w:r w:rsidRPr="00467F9C">
              <w:rPr>
                <w:sz w:val="18"/>
                <w:szCs w:val="18"/>
              </w:rPr>
              <w:t>Субвенция из ФФ ОМС (на оплату межтерриториальных расчетов за оказанную медпомощь лицам, застрахованным на территории округа, получившим медпомощь за пределами региона)</w:t>
            </w:r>
          </w:p>
        </w:tc>
        <w:tc>
          <w:tcPr>
            <w:tcW w:w="1138" w:type="dxa"/>
            <w:vAlign w:val="center"/>
          </w:tcPr>
          <w:p w:rsidR="005E541F" w:rsidRPr="00467F9C" w:rsidRDefault="005E541F" w:rsidP="00BA201D">
            <w:pPr>
              <w:pStyle w:val="31"/>
              <w:ind w:firstLine="0"/>
              <w:jc w:val="center"/>
              <w:rPr>
                <w:sz w:val="18"/>
                <w:szCs w:val="18"/>
              </w:rPr>
            </w:pPr>
            <w:r w:rsidRPr="00467F9C">
              <w:rPr>
                <w:sz w:val="18"/>
                <w:szCs w:val="18"/>
              </w:rPr>
              <w:t>63 768,4</w:t>
            </w:r>
          </w:p>
        </w:tc>
        <w:tc>
          <w:tcPr>
            <w:tcW w:w="3256" w:type="dxa"/>
            <w:gridSpan w:val="2"/>
          </w:tcPr>
          <w:p w:rsidR="005E541F" w:rsidRPr="00467F9C" w:rsidRDefault="005E541F" w:rsidP="00BA201D">
            <w:pPr>
              <w:pStyle w:val="31"/>
              <w:ind w:firstLine="4"/>
              <w:rPr>
                <w:sz w:val="18"/>
                <w:szCs w:val="18"/>
              </w:rPr>
            </w:pPr>
            <w:proofErr w:type="spellStart"/>
            <w:r w:rsidRPr="00467F9C">
              <w:rPr>
                <w:sz w:val="18"/>
                <w:szCs w:val="18"/>
              </w:rPr>
              <w:t>Межтерриториальныне</w:t>
            </w:r>
            <w:proofErr w:type="spellEnd"/>
            <w:r w:rsidRPr="00467F9C">
              <w:rPr>
                <w:sz w:val="18"/>
                <w:szCs w:val="18"/>
              </w:rPr>
              <w:t xml:space="preserve"> расчеты за оказанную медицинскую помощь</w:t>
            </w:r>
          </w:p>
        </w:tc>
        <w:tc>
          <w:tcPr>
            <w:tcW w:w="1276" w:type="dxa"/>
            <w:vAlign w:val="center"/>
          </w:tcPr>
          <w:p w:rsidR="005E541F" w:rsidRPr="00467F9C" w:rsidRDefault="005E541F" w:rsidP="00BA201D">
            <w:pPr>
              <w:pStyle w:val="31"/>
              <w:ind w:firstLine="0"/>
              <w:jc w:val="center"/>
              <w:rPr>
                <w:sz w:val="18"/>
                <w:szCs w:val="18"/>
              </w:rPr>
            </w:pPr>
            <w:r w:rsidRPr="00467F9C">
              <w:rPr>
                <w:sz w:val="18"/>
                <w:szCs w:val="18"/>
              </w:rPr>
              <w:t>63 768,4</w:t>
            </w:r>
          </w:p>
        </w:tc>
      </w:tr>
      <w:tr w:rsidR="005E541F" w:rsidRPr="00467F9C" w:rsidTr="00BA201D">
        <w:trPr>
          <w:gridAfter w:val="1"/>
          <w:wAfter w:w="6" w:type="dxa"/>
        </w:trPr>
        <w:tc>
          <w:tcPr>
            <w:tcW w:w="4248" w:type="dxa"/>
          </w:tcPr>
          <w:p w:rsidR="005E541F" w:rsidRPr="00467F9C" w:rsidRDefault="005E541F" w:rsidP="00BA201D">
            <w:pPr>
              <w:pStyle w:val="31"/>
              <w:ind w:firstLine="30"/>
              <w:rPr>
                <w:sz w:val="18"/>
                <w:szCs w:val="18"/>
              </w:rPr>
            </w:pPr>
            <w:r w:rsidRPr="00467F9C">
              <w:rPr>
                <w:sz w:val="18"/>
                <w:szCs w:val="18"/>
              </w:rPr>
              <w:t xml:space="preserve">Межбюджетные трансферты на оказание медпомощи лицам с </w:t>
            </w:r>
            <w:proofErr w:type="gramStart"/>
            <w:r w:rsidRPr="00467F9C">
              <w:rPr>
                <w:sz w:val="18"/>
                <w:szCs w:val="18"/>
              </w:rPr>
              <w:t>заболеванием  C</w:t>
            </w:r>
            <w:r w:rsidRPr="00467F9C">
              <w:rPr>
                <w:sz w:val="18"/>
                <w:szCs w:val="18"/>
                <w:lang w:val="en-US"/>
              </w:rPr>
              <w:t>OVID</w:t>
            </w:r>
            <w:proofErr w:type="gramEnd"/>
            <w:r w:rsidRPr="00467F9C">
              <w:rPr>
                <w:sz w:val="18"/>
                <w:szCs w:val="18"/>
              </w:rPr>
              <w:t>-19</w:t>
            </w:r>
          </w:p>
        </w:tc>
        <w:tc>
          <w:tcPr>
            <w:tcW w:w="1138" w:type="dxa"/>
            <w:vAlign w:val="center"/>
          </w:tcPr>
          <w:p w:rsidR="005E541F" w:rsidRPr="00467F9C" w:rsidRDefault="005E541F" w:rsidP="00BA201D">
            <w:pPr>
              <w:pStyle w:val="31"/>
              <w:ind w:firstLine="0"/>
              <w:jc w:val="center"/>
              <w:rPr>
                <w:sz w:val="18"/>
                <w:szCs w:val="18"/>
              </w:rPr>
            </w:pPr>
            <w:r w:rsidRPr="00467F9C">
              <w:rPr>
                <w:sz w:val="18"/>
                <w:szCs w:val="18"/>
                <w:lang w:val="en-US"/>
              </w:rPr>
              <w:t>7 119</w:t>
            </w:r>
            <w:r w:rsidRPr="00467F9C">
              <w:rPr>
                <w:sz w:val="18"/>
                <w:szCs w:val="18"/>
              </w:rPr>
              <w:t>,8</w:t>
            </w:r>
          </w:p>
        </w:tc>
        <w:tc>
          <w:tcPr>
            <w:tcW w:w="3256" w:type="dxa"/>
            <w:gridSpan w:val="2"/>
          </w:tcPr>
          <w:p w:rsidR="005E541F" w:rsidRPr="00467F9C" w:rsidRDefault="005E541F" w:rsidP="00BA201D">
            <w:pPr>
              <w:pStyle w:val="31"/>
              <w:ind w:firstLine="4"/>
              <w:rPr>
                <w:sz w:val="18"/>
                <w:szCs w:val="18"/>
              </w:rPr>
            </w:pPr>
            <w:proofErr w:type="spellStart"/>
            <w:r w:rsidRPr="00467F9C">
              <w:rPr>
                <w:sz w:val="18"/>
                <w:szCs w:val="18"/>
              </w:rPr>
              <w:t>Межтерриториальныне</w:t>
            </w:r>
            <w:proofErr w:type="spellEnd"/>
            <w:r w:rsidRPr="00467F9C">
              <w:rPr>
                <w:sz w:val="18"/>
                <w:szCs w:val="18"/>
              </w:rPr>
              <w:t xml:space="preserve"> расчеты за оказанную медицинскую помощь</w:t>
            </w:r>
          </w:p>
        </w:tc>
        <w:tc>
          <w:tcPr>
            <w:tcW w:w="1276" w:type="dxa"/>
            <w:vAlign w:val="center"/>
          </w:tcPr>
          <w:p w:rsidR="005E541F" w:rsidRPr="00467F9C" w:rsidRDefault="005E541F" w:rsidP="00BA201D">
            <w:pPr>
              <w:pStyle w:val="31"/>
              <w:ind w:firstLine="0"/>
              <w:jc w:val="center"/>
              <w:rPr>
                <w:sz w:val="18"/>
                <w:szCs w:val="18"/>
              </w:rPr>
            </w:pPr>
            <w:r w:rsidRPr="00467F9C">
              <w:rPr>
                <w:sz w:val="18"/>
                <w:szCs w:val="18"/>
              </w:rPr>
              <w:t>7 119,8</w:t>
            </w:r>
          </w:p>
        </w:tc>
      </w:tr>
      <w:tr w:rsidR="005E541F" w:rsidRPr="00467F9C" w:rsidTr="00BA201D">
        <w:trPr>
          <w:gridAfter w:val="1"/>
          <w:wAfter w:w="6" w:type="dxa"/>
          <w:trHeight w:val="586"/>
        </w:trPr>
        <w:tc>
          <w:tcPr>
            <w:tcW w:w="4248" w:type="dxa"/>
          </w:tcPr>
          <w:p w:rsidR="005E541F" w:rsidRPr="00467F9C" w:rsidRDefault="005E541F" w:rsidP="00BA201D">
            <w:pPr>
              <w:pStyle w:val="31"/>
              <w:ind w:firstLine="30"/>
              <w:rPr>
                <w:sz w:val="18"/>
                <w:szCs w:val="18"/>
              </w:rPr>
            </w:pPr>
            <w:r w:rsidRPr="00467F9C">
              <w:rPr>
                <w:sz w:val="18"/>
                <w:szCs w:val="18"/>
              </w:rPr>
              <w:t>Межбюджетные трансферты на финансовое обеспечение формирования НСЗ</w:t>
            </w:r>
          </w:p>
        </w:tc>
        <w:tc>
          <w:tcPr>
            <w:tcW w:w="1138" w:type="dxa"/>
            <w:vAlign w:val="center"/>
          </w:tcPr>
          <w:p w:rsidR="005E541F" w:rsidRPr="00467F9C" w:rsidRDefault="005E541F" w:rsidP="00BA201D">
            <w:pPr>
              <w:pStyle w:val="31"/>
              <w:ind w:firstLine="0"/>
              <w:jc w:val="center"/>
              <w:rPr>
                <w:sz w:val="18"/>
                <w:szCs w:val="18"/>
              </w:rPr>
            </w:pPr>
            <w:r w:rsidRPr="00467F9C">
              <w:rPr>
                <w:sz w:val="18"/>
                <w:szCs w:val="18"/>
              </w:rPr>
              <w:t>50 944,6</w:t>
            </w:r>
          </w:p>
        </w:tc>
        <w:tc>
          <w:tcPr>
            <w:tcW w:w="3256" w:type="dxa"/>
            <w:gridSpan w:val="2"/>
          </w:tcPr>
          <w:p w:rsidR="005E541F" w:rsidRPr="00467F9C" w:rsidRDefault="005E541F" w:rsidP="00BA201D">
            <w:pPr>
              <w:pStyle w:val="31"/>
              <w:ind w:firstLine="4"/>
              <w:rPr>
                <w:sz w:val="18"/>
                <w:szCs w:val="18"/>
              </w:rPr>
            </w:pPr>
            <w:proofErr w:type="spellStart"/>
            <w:r w:rsidRPr="00467F9C">
              <w:rPr>
                <w:iCs/>
                <w:sz w:val="18"/>
                <w:szCs w:val="18"/>
              </w:rPr>
              <w:t>Софинансирование</w:t>
            </w:r>
            <w:proofErr w:type="spellEnd"/>
            <w:r w:rsidRPr="00467F9C">
              <w:rPr>
                <w:iCs/>
                <w:sz w:val="18"/>
                <w:szCs w:val="18"/>
              </w:rPr>
              <w:t xml:space="preserve"> расходов медицинских организаций на оплату труда врачей и среднего медицинского персонала</w:t>
            </w:r>
          </w:p>
        </w:tc>
        <w:tc>
          <w:tcPr>
            <w:tcW w:w="1276" w:type="dxa"/>
            <w:vAlign w:val="center"/>
          </w:tcPr>
          <w:p w:rsidR="005E541F" w:rsidRPr="00467F9C" w:rsidRDefault="005E541F" w:rsidP="00BA201D">
            <w:pPr>
              <w:pStyle w:val="31"/>
              <w:ind w:firstLine="0"/>
              <w:jc w:val="center"/>
              <w:rPr>
                <w:sz w:val="18"/>
                <w:szCs w:val="18"/>
              </w:rPr>
            </w:pPr>
            <w:r w:rsidRPr="00467F9C">
              <w:rPr>
                <w:sz w:val="18"/>
                <w:szCs w:val="18"/>
              </w:rPr>
              <w:t>245,9</w:t>
            </w:r>
          </w:p>
        </w:tc>
      </w:tr>
      <w:tr w:rsidR="005E541F" w:rsidRPr="00467F9C" w:rsidTr="00BA201D">
        <w:trPr>
          <w:gridAfter w:val="1"/>
          <w:wAfter w:w="6" w:type="dxa"/>
          <w:trHeight w:val="284"/>
        </w:trPr>
        <w:tc>
          <w:tcPr>
            <w:tcW w:w="4248" w:type="dxa"/>
          </w:tcPr>
          <w:p w:rsidR="005E541F" w:rsidRPr="00467F9C" w:rsidRDefault="005E541F" w:rsidP="00BA201D">
            <w:pPr>
              <w:pStyle w:val="31"/>
              <w:ind w:firstLine="30"/>
              <w:rPr>
                <w:sz w:val="18"/>
                <w:szCs w:val="18"/>
              </w:rPr>
            </w:pPr>
            <w:r w:rsidRPr="00467F9C">
              <w:rPr>
                <w:sz w:val="18"/>
                <w:szCs w:val="18"/>
              </w:rPr>
              <w:t>ИТОГО:</w:t>
            </w:r>
          </w:p>
        </w:tc>
        <w:tc>
          <w:tcPr>
            <w:tcW w:w="1138" w:type="dxa"/>
            <w:vAlign w:val="center"/>
          </w:tcPr>
          <w:p w:rsidR="005E541F" w:rsidRPr="00467F9C" w:rsidRDefault="005E541F" w:rsidP="00BA201D">
            <w:pPr>
              <w:pStyle w:val="31"/>
              <w:ind w:firstLine="0"/>
              <w:jc w:val="center"/>
              <w:rPr>
                <w:sz w:val="18"/>
                <w:szCs w:val="18"/>
              </w:rPr>
            </w:pPr>
            <w:r w:rsidRPr="00467F9C">
              <w:rPr>
                <w:sz w:val="18"/>
                <w:szCs w:val="18"/>
              </w:rPr>
              <w:t>227 396,1</w:t>
            </w:r>
          </w:p>
        </w:tc>
        <w:tc>
          <w:tcPr>
            <w:tcW w:w="3256" w:type="dxa"/>
            <w:gridSpan w:val="2"/>
          </w:tcPr>
          <w:p w:rsidR="005E541F" w:rsidRPr="00467F9C" w:rsidRDefault="005E541F" w:rsidP="00191861">
            <w:pPr>
              <w:pStyle w:val="31"/>
              <w:rPr>
                <w:iCs/>
                <w:sz w:val="18"/>
                <w:szCs w:val="18"/>
              </w:rPr>
            </w:pPr>
          </w:p>
        </w:tc>
        <w:tc>
          <w:tcPr>
            <w:tcW w:w="1276" w:type="dxa"/>
            <w:vAlign w:val="center"/>
          </w:tcPr>
          <w:p w:rsidR="005E541F" w:rsidRPr="00467F9C" w:rsidRDefault="005E541F" w:rsidP="00BA201D">
            <w:pPr>
              <w:pStyle w:val="31"/>
              <w:ind w:firstLine="0"/>
              <w:jc w:val="center"/>
              <w:rPr>
                <w:sz w:val="18"/>
                <w:szCs w:val="18"/>
              </w:rPr>
            </w:pPr>
            <w:r w:rsidRPr="00467F9C">
              <w:rPr>
                <w:sz w:val="18"/>
                <w:szCs w:val="18"/>
              </w:rPr>
              <w:t>166 747,6</w:t>
            </w:r>
          </w:p>
        </w:tc>
      </w:tr>
    </w:tbl>
    <w:p w:rsidR="005E541F" w:rsidRPr="00467F9C" w:rsidRDefault="005E541F" w:rsidP="00191861">
      <w:pPr>
        <w:pStyle w:val="31"/>
        <w:rPr>
          <w:b/>
          <w:sz w:val="28"/>
          <w:szCs w:val="28"/>
        </w:rPr>
      </w:pPr>
    </w:p>
    <w:p w:rsidR="005E541F" w:rsidRPr="00467F9C" w:rsidRDefault="005E541F" w:rsidP="00191861">
      <w:pPr>
        <w:pStyle w:val="31"/>
        <w:rPr>
          <w:b/>
          <w:sz w:val="28"/>
          <w:szCs w:val="28"/>
        </w:rPr>
      </w:pPr>
      <w:r w:rsidRPr="00467F9C">
        <w:rPr>
          <w:b/>
          <w:sz w:val="28"/>
          <w:szCs w:val="28"/>
        </w:rPr>
        <w:t>Выводы:</w:t>
      </w:r>
    </w:p>
    <w:p w:rsidR="005E541F" w:rsidRPr="00467F9C" w:rsidRDefault="005E541F" w:rsidP="00191861">
      <w:pPr>
        <w:jc w:val="both"/>
        <w:rPr>
          <w:sz w:val="10"/>
          <w:szCs w:val="10"/>
        </w:rPr>
      </w:pPr>
    </w:p>
    <w:p w:rsidR="005E541F" w:rsidRPr="00467F9C" w:rsidRDefault="005E541F" w:rsidP="00191861">
      <w:pPr>
        <w:autoSpaceDE w:val="0"/>
        <w:autoSpaceDN w:val="0"/>
        <w:adjustRightInd w:val="0"/>
        <w:ind w:firstLine="708"/>
        <w:jc w:val="both"/>
        <w:rPr>
          <w:sz w:val="28"/>
          <w:szCs w:val="28"/>
        </w:rPr>
      </w:pPr>
      <w:r w:rsidRPr="00467F9C">
        <w:rPr>
          <w:sz w:val="28"/>
          <w:szCs w:val="28"/>
        </w:rPr>
        <w:t xml:space="preserve">1. Годовой отчет об исполнении бюджета Фонда за 2021 год представлен Правительством Чукотского автономного округа в Счетную палату с соблюдением срока, установленного статьей 149 Бюджетного кодекса. Одновременно с годовым отчетом представлены: Решение Правления Фонда о согласовании отчета об исполнении бюджета Фонда за 2021 год </w:t>
      </w:r>
      <w:r w:rsidRPr="00467F9C">
        <w:rPr>
          <w:rStyle w:val="FontStyle70"/>
          <w:sz w:val="28"/>
          <w:szCs w:val="28"/>
        </w:rPr>
        <w:t>и о</w:t>
      </w:r>
      <w:r w:rsidRPr="00467F9C">
        <w:rPr>
          <w:sz w:val="28"/>
          <w:szCs w:val="28"/>
        </w:rPr>
        <w:t xml:space="preserve">тчет о выполнении </w:t>
      </w:r>
      <w:proofErr w:type="spellStart"/>
      <w:r w:rsidRPr="00467F9C">
        <w:rPr>
          <w:sz w:val="28"/>
          <w:szCs w:val="28"/>
        </w:rPr>
        <w:t>Терпрограммы</w:t>
      </w:r>
      <w:proofErr w:type="spellEnd"/>
      <w:r w:rsidRPr="00467F9C">
        <w:rPr>
          <w:sz w:val="28"/>
          <w:szCs w:val="28"/>
        </w:rPr>
        <w:t xml:space="preserve"> ОМС в 2021 году.</w:t>
      </w:r>
    </w:p>
    <w:p w:rsidR="005E541F" w:rsidRPr="00467F9C" w:rsidRDefault="005E541F" w:rsidP="00191861">
      <w:pPr>
        <w:ind w:firstLine="709"/>
        <w:jc w:val="both"/>
        <w:rPr>
          <w:sz w:val="28"/>
          <w:szCs w:val="28"/>
        </w:rPr>
      </w:pPr>
      <w:r w:rsidRPr="00467F9C">
        <w:rPr>
          <w:sz w:val="28"/>
          <w:szCs w:val="28"/>
        </w:rPr>
        <w:t xml:space="preserve">2. В 2021 году с сфере ОМС округа осуществляли деятельность: две медицинские организации – ГБУЗ «Чукотская окружная больница»                                     (оказывало медицинскую помощь в полном объеме); ФГБУЗ «Медико-санитарная часть №4 ФМБА России» (оказывало амбулаторно-поликлиническую помощь и медицинскую помощь в условиях дневного стационара) и страховая компания – Чукотский филиал АО «Страховая компания «СОГАЗ-Мед». </w:t>
      </w:r>
    </w:p>
    <w:p w:rsidR="005E541F" w:rsidRPr="00467F9C" w:rsidRDefault="005E541F" w:rsidP="00191861">
      <w:pPr>
        <w:ind w:firstLine="709"/>
        <w:jc w:val="both"/>
        <w:rPr>
          <w:sz w:val="28"/>
          <w:szCs w:val="28"/>
        </w:rPr>
      </w:pPr>
      <w:r w:rsidRPr="00467F9C">
        <w:rPr>
          <w:sz w:val="28"/>
          <w:szCs w:val="28"/>
        </w:rPr>
        <w:lastRenderedPageBreak/>
        <w:t>В региональном сегменте единого регистра застрахованных лиц Чукотского автономного округа в отчетном периоде числились 46 102 человека, в том числе по группам застрахованных лиц: работающие – 26 033 человека; неработающие – 20 069 человек.</w:t>
      </w:r>
    </w:p>
    <w:p w:rsidR="005E541F" w:rsidRPr="00467F9C" w:rsidRDefault="005E541F" w:rsidP="00191861">
      <w:pPr>
        <w:autoSpaceDE w:val="0"/>
        <w:autoSpaceDN w:val="0"/>
        <w:adjustRightInd w:val="0"/>
        <w:ind w:firstLine="708"/>
        <w:jc w:val="both"/>
        <w:rPr>
          <w:sz w:val="28"/>
          <w:szCs w:val="28"/>
        </w:rPr>
      </w:pPr>
      <w:r w:rsidRPr="00467F9C">
        <w:rPr>
          <w:sz w:val="28"/>
          <w:szCs w:val="28"/>
        </w:rPr>
        <w:t xml:space="preserve">3. В ходе исполнения бюджета Фонда, в Закон о бюджете Фонда изменения вносились 3 раза.  В результате внесенных изменений, бюджетные ассигнования по доходам увеличены на 202 369,4 тыс. рублей и на дату последнего уточнения составили 3 631 092,9 тыс. рублей, расходы увеличены на 233 009,4 тыс. рублей и в окончательной редакции утверждены в сумме 3 661 732,9 тыс. рублей. </w:t>
      </w:r>
    </w:p>
    <w:p w:rsidR="005E541F" w:rsidRPr="00467F9C" w:rsidRDefault="005E541F" w:rsidP="00191861">
      <w:pPr>
        <w:widowControl w:val="0"/>
        <w:autoSpaceDE w:val="0"/>
        <w:autoSpaceDN w:val="0"/>
        <w:adjustRightInd w:val="0"/>
        <w:ind w:firstLine="709"/>
        <w:jc w:val="both"/>
        <w:rPr>
          <w:sz w:val="28"/>
          <w:szCs w:val="28"/>
        </w:rPr>
      </w:pPr>
      <w:r w:rsidRPr="00467F9C">
        <w:rPr>
          <w:sz w:val="28"/>
          <w:szCs w:val="28"/>
        </w:rPr>
        <w:t xml:space="preserve">Бюджет Фонда за 2021 год исполнен по доходам в сумме 3 602 921,3 тыс. рублей (99,2% от годовых бюджетных назначений), по расходам в сумме 3 488 740,5 тыс. рублей (95,3% от годовых бюджетных назначений), с профицитом 114 180,8 тыс. рублей, при запланированном дефиците в размере                                      30 640,0 тыс. рублей. </w:t>
      </w:r>
    </w:p>
    <w:p w:rsidR="005E541F" w:rsidRPr="00467F9C" w:rsidRDefault="005E541F" w:rsidP="00191861">
      <w:pPr>
        <w:pStyle w:val="a3"/>
        <w:tabs>
          <w:tab w:val="left" w:pos="720"/>
          <w:tab w:val="left" w:pos="2700"/>
          <w:tab w:val="left" w:pos="3060"/>
        </w:tabs>
        <w:jc w:val="both"/>
        <w:rPr>
          <w:bCs w:val="0"/>
        </w:rPr>
      </w:pPr>
      <w:r w:rsidRPr="00467F9C">
        <w:tab/>
        <w:t>В структуре доходов бюджета Фонда наибольший удельный вес составляют безвозмездные поступления – 99,3% (3 576 819,6 тыс. рублей), налоговые и неналоговые доходы занимают 0,7%, (26 101,6 тыс. рублей).</w:t>
      </w:r>
    </w:p>
    <w:p w:rsidR="005E541F" w:rsidRPr="00467F9C" w:rsidRDefault="005E541F" w:rsidP="00191861">
      <w:pPr>
        <w:jc w:val="both"/>
        <w:rPr>
          <w:sz w:val="28"/>
          <w:szCs w:val="28"/>
        </w:rPr>
      </w:pPr>
      <w:r w:rsidRPr="00467F9C">
        <w:tab/>
      </w:r>
      <w:r w:rsidRPr="00467F9C">
        <w:rPr>
          <w:sz w:val="28"/>
          <w:szCs w:val="28"/>
        </w:rPr>
        <w:t xml:space="preserve">В отчетном периоде основная доля средств Фонда – 98,7%                                                 </w:t>
      </w:r>
      <w:proofErr w:type="gramStart"/>
      <w:r w:rsidRPr="00467F9C">
        <w:rPr>
          <w:sz w:val="28"/>
          <w:szCs w:val="28"/>
        </w:rPr>
        <w:t xml:space="preserve">   (</w:t>
      </w:r>
      <w:proofErr w:type="gramEnd"/>
      <w:r w:rsidRPr="00467F9C">
        <w:rPr>
          <w:sz w:val="28"/>
          <w:szCs w:val="28"/>
        </w:rPr>
        <w:t xml:space="preserve">3 443 228,0 тыс. рублей) направлена на реализацию </w:t>
      </w:r>
      <w:proofErr w:type="spellStart"/>
      <w:r w:rsidRPr="00467F9C">
        <w:rPr>
          <w:sz w:val="28"/>
          <w:szCs w:val="28"/>
        </w:rPr>
        <w:t>Терпрограммы</w:t>
      </w:r>
      <w:proofErr w:type="spellEnd"/>
      <w:r w:rsidRPr="00467F9C">
        <w:rPr>
          <w:sz w:val="28"/>
          <w:szCs w:val="28"/>
        </w:rPr>
        <w:t xml:space="preserve"> ОМС в рамках базовой и сверх базовой программы ОМС и финансовое обеспечение н</w:t>
      </w:r>
      <w:r w:rsidRPr="00467F9C">
        <w:rPr>
          <w:iCs/>
          <w:sz w:val="28"/>
          <w:szCs w:val="28"/>
        </w:rPr>
        <w:t>епрограммных направлений деятельности Фонда</w:t>
      </w:r>
      <w:r w:rsidRPr="00467F9C">
        <w:rPr>
          <w:sz w:val="28"/>
          <w:szCs w:val="28"/>
        </w:rPr>
        <w:t xml:space="preserve">.  </w:t>
      </w:r>
    </w:p>
    <w:p w:rsidR="005E541F" w:rsidRPr="00467F9C" w:rsidRDefault="005E541F" w:rsidP="00191861">
      <w:pPr>
        <w:ind w:firstLine="708"/>
        <w:jc w:val="both"/>
        <w:rPr>
          <w:sz w:val="28"/>
          <w:szCs w:val="28"/>
        </w:rPr>
      </w:pPr>
      <w:r w:rsidRPr="00467F9C">
        <w:rPr>
          <w:sz w:val="28"/>
          <w:szCs w:val="28"/>
        </w:rPr>
        <w:t>Расходы на выполнение управленческих функций Фонда в бюджете Фонда составили 45 512,5 тыс. рублей или 1,3%.</w:t>
      </w:r>
    </w:p>
    <w:p w:rsidR="005E541F" w:rsidRPr="00467F9C" w:rsidRDefault="005E541F" w:rsidP="00191861">
      <w:pPr>
        <w:pStyle w:val="a3"/>
        <w:tabs>
          <w:tab w:val="left" w:pos="720"/>
          <w:tab w:val="left" w:pos="2700"/>
          <w:tab w:val="left" w:pos="3060"/>
        </w:tabs>
        <w:ind w:firstLine="709"/>
        <w:jc w:val="both"/>
      </w:pPr>
      <w:r w:rsidRPr="00467F9C">
        <w:t>4. </w:t>
      </w:r>
      <w:bookmarkStart w:id="16" w:name="_Hlk102033791"/>
      <w:r w:rsidRPr="00467F9C">
        <w:t xml:space="preserve">Расходы на реализацию </w:t>
      </w:r>
      <w:proofErr w:type="spellStart"/>
      <w:r w:rsidRPr="00467F9C">
        <w:t>Терпрограммы</w:t>
      </w:r>
      <w:proofErr w:type="spellEnd"/>
      <w:r w:rsidRPr="00467F9C">
        <w:t xml:space="preserve"> ОМС в отчетном периоде в целом составили 3 347 368,6 тыс. рублей и в сравнении с объемом расходов в предыдущем году (2 724 470,4 тыс. рублей) выросли на 622 898,2 тыс. рублей или 22,9%. </w:t>
      </w:r>
      <w:proofErr w:type="spellStart"/>
      <w:r w:rsidRPr="00467F9C">
        <w:t>Терпрограмма</w:t>
      </w:r>
      <w:proofErr w:type="spellEnd"/>
      <w:r w:rsidRPr="00467F9C">
        <w:t xml:space="preserve"> ОМС исполнена на 98,0% от годовых бюджетных назначений.</w:t>
      </w:r>
    </w:p>
    <w:p w:rsidR="005E541F" w:rsidRPr="00467F9C" w:rsidRDefault="005E541F" w:rsidP="00191861">
      <w:pPr>
        <w:ind w:firstLine="708"/>
        <w:jc w:val="both"/>
        <w:rPr>
          <w:sz w:val="28"/>
          <w:szCs w:val="28"/>
        </w:rPr>
      </w:pPr>
      <w:r w:rsidRPr="00467F9C">
        <w:rPr>
          <w:sz w:val="28"/>
          <w:szCs w:val="28"/>
        </w:rPr>
        <w:t xml:space="preserve">На низком уровне исполнены расходы по </w:t>
      </w:r>
      <w:proofErr w:type="spellStart"/>
      <w:r w:rsidRPr="00467F9C">
        <w:rPr>
          <w:sz w:val="28"/>
          <w:szCs w:val="28"/>
        </w:rPr>
        <w:t>Терпрограмме</w:t>
      </w:r>
      <w:proofErr w:type="spellEnd"/>
      <w:r w:rsidRPr="00467F9C">
        <w:rPr>
          <w:sz w:val="28"/>
          <w:szCs w:val="28"/>
        </w:rPr>
        <w:t xml:space="preserve"> ОМС за счет средств резервного фонда Правительства РФ:</w:t>
      </w:r>
    </w:p>
    <w:p w:rsidR="005E541F" w:rsidRPr="00467F9C" w:rsidRDefault="005E541F" w:rsidP="00191861">
      <w:pPr>
        <w:ind w:firstLine="708"/>
        <w:jc w:val="both"/>
        <w:rPr>
          <w:sz w:val="28"/>
          <w:szCs w:val="28"/>
        </w:rPr>
      </w:pPr>
      <w:r w:rsidRPr="00467F9C">
        <w:rPr>
          <w:sz w:val="28"/>
          <w:szCs w:val="28"/>
        </w:rPr>
        <w:t xml:space="preserve">- на проведение углубленной диспансеризации застрахованных по ОМС лиц, перенесших заболевание COVID-19, расходы произведены в сумме 208,4 тыс. рублей или 14,1% от годовых бюджетных назначений (1 475,2 тыс. рублей) по фактически принятым счетам, предъявленным медицинскими организациями; </w:t>
      </w:r>
    </w:p>
    <w:p w:rsidR="005E541F" w:rsidRPr="00467F9C" w:rsidRDefault="005E541F" w:rsidP="00191861">
      <w:pPr>
        <w:ind w:firstLine="360"/>
        <w:jc w:val="both"/>
        <w:rPr>
          <w:sz w:val="28"/>
          <w:szCs w:val="28"/>
        </w:rPr>
      </w:pPr>
      <w:r w:rsidRPr="00467F9C">
        <w:rPr>
          <w:sz w:val="28"/>
          <w:szCs w:val="28"/>
        </w:rPr>
        <w:tab/>
        <w:t xml:space="preserve">- на оказание медицинской помощи, в том числе лицам с заболеванием и (или) подозрением на заболевание COVID-19, расходы составили 7 119,8 тыс. рублей или 15,9% от годовых бюджетных назначений (44 710,2 тыс. рублей). Средства были направлены на лечение жителей округа в условиях круглосуточного стационара в других субъектах РФ по фактически предъявленным Фонду территориальными фондами ОМС счетам. </w:t>
      </w:r>
    </w:p>
    <w:p w:rsidR="005E541F" w:rsidRPr="00467F9C" w:rsidRDefault="005E541F" w:rsidP="00191861">
      <w:pPr>
        <w:ind w:firstLine="708"/>
        <w:jc w:val="both"/>
        <w:rPr>
          <w:sz w:val="28"/>
          <w:szCs w:val="28"/>
        </w:rPr>
      </w:pPr>
      <w:r w:rsidRPr="00467F9C">
        <w:rPr>
          <w:sz w:val="28"/>
          <w:szCs w:val="28"/>
        </w:rPr>
        <w:t xml:space="preserve">Не исполнены расходы в сумме 13 583,8 тыс. рублей, предусмотренные в рамках государственной программы РФ «Развитие здравоохранения» на оказание медицинской помощи в условиях круглосуточного стационара лицам, застрахованным по ОМС, с заболеванием (подозрением на заболевание)                              COVID-19, в связи с тем, что оплата данного вида медицинской помощи </w:t>
      </w:r>
      <w:r w:rsidRPr="00467F9C">
        <w:rPr>
          <w:sz w:val="28"/>
          <w:szCs w:val="28"/>
        </w:rPr>
        <w:lastRenderedPageBreak/>
        <w:t xml:space="preserve">произведена в рамках </w:t>
      </w:r>
      <w:proofErr w:type="spellStart"/>
      <w:r w:rsidRPr="00467F9C">
        <w:rPr>
          <w:sz w:val="28"/>
          <w:szCs w:val="28"/>
        </w:rPr>
        <w:t>Терпрограммы</w:t>
      </w:r>
      <w:proofErr w:type="spellEnd"/>
      <w:r w:rsidRPr="00467F9C">
        <w:rPr>
          <w:sz w:val="28"/>
          <w:szCs w:val="28"/>
        </w:rPr>
        <w:t xml:space="preserve"> ОМС за счет средств из ФФОМС и окружного бюджета.</w:t>
      </w:r>
    </w:p>
    <w:p w:rsidR="005E541F" w:rsidRPr="00467F9C" w:rsidRDefault="005E541F" w:rsidP="00191861">
      <w:pPr>
        <w:pStyle w:val="31"/>
        <w:rPr>
          <w:sz w:val="28"/>
          <w:szCs w:val="28"/>
        </w:rPr>
      </w:pPr>
      <w:r w:rsidRPr="00467F9C">
        <w:rPr>
          <w:sz w:val="28"/>
          <w:szCs w:val="28"/>
        </w:rPr>
        <w:t>5. В 2021 году не осуществлялись расходы по денежным выплатам   стимулирующего характера медицинским работникам за выявление онкологических заболеваний в ходе проведения диспансеризации и профилактических осмотров населения, в связи с отсутствием случаев впервые выявленных заболеваний.</w:t>
      </w:r>
    </w:p>
    <w:p w:rsidR="005E541F" w:rsidRPr="00467F9C" w:rsidRDefault="005E541F" w:rsidP="00191861">
      <w:pPr>
        <w:ind w:firstLine="708"/>
        <w:jc w:val="both"/>
        <w:rPr>
          <w:sz w:val="28"/>
          <w:szCs w:val="28"/>
        </w:rPr>
      </w:pPr>
      <w:bookmarkStart w:id="17" w:name="_Hlk102032263"/>
      <w:proofErr w:type="spellStart"/>
      <w:r w:rsidRPr="00467F9C">
        <w:rPr>
          <w:sz w:val="28"/>
          <w:szCs w:val="28"/>
        </w:rPr>
        <w:t>С</w:t>
      </w:r>
      <w:r w:rsidRPr="00467F9C">
        <w:rPr>
          <w:iCs/>
          <w:sz w:val="28"/>
          <w:szCs w:val="28"/>
        </w:rPr>
        <w:t>офинансирование</w:t>
      </w:r>
      <w:proofErr w:type="spellEnd"/>
      <w:r w:rsidRPr="00467F9C">
        <w:rPr>
          <w:iCs/>
          <w:sz w:val="28"/>
          <w:szCs w:val="28"/>
        </w:rPr>
        <w:t xml:space="preserve"> расходов медицинских организаций на оплату труда привлеченных врачей и среднего медицинского персонала при плановых назначениях в сумме 50 944,6 тыс. рублей составило 245,9 тыс. рублей или 0,5%.</w:t>
      </w:r>
      <w:r w:rsidRPr="00467F9C">
        <w:rPr>
          <w:bCs/>
          <w:sz w:val="28"/>
          <w:szCs w:val="28"/>
        </w:rPr>
        <w:t xml:space="preserve"> </w:t>
      </w:r>
      <w:r w:rsidRPr="00467F9C">
        <w:rPr>
          <w:sz w:val="28"/>
          <w:szCs w:val="28"/>
        </w:rPr>
        <w:t>За 2021 год численность привлеченных в ГБУЗ «Чукотская окружная больница» врачей и среднего медицинского персонала, сверх установленной на начало отчетного периода штатной численности данной категории специалистов, составило 1 единицу.</w:t>
      </w:r>
    </w:p>
    <w:p w:rsidR="005E541F" w:rsidRPr="00467F9C" w:rsidRDefault="005E541F" w:rsidP="00191861">
      <w:pPr>
        <w:ind w:firstLine="708"/>
        <w:jc w:val="both"/>
        <w:outlineLvl w:val="0"/>
        <w:rPr>
          <w:sz w:val="28"/>
          <w:szCs w:val="28"/>
        </w:rPr>
      </w:pPr>
      <w:r w:rsidRPr="00467F9C">
        <w:rPr>
          <w:sz w:val="28"/>
          <w:szCs w:val="28"/>
        </w:rPr>
        <w:t xml:space="preserve">6. Средства на ОМС неработающего населения округа предусмотрены в окружном </w:t>
      </w:r>
      <w:proofErr w:type="spellStart"/>
      <w:r w:rsidRPr="00467F9C">
        <w:rPr>
          <w:sz w:val="28"/>
          <w:szCs w:val="28"/>
        </w:rPr>
        <w:t>бюждете</w:t>
      </w:r>
      <w:proofErr w:type="spellEnd"/>
      <w:r w:rsidRPr="00467F9C">
        <w:rPr>
          <w:sz w:val="28"/>
          <w:szCs w:val="28"/>
        </w:rPr>
        <w:t xml:space="preserve"> на 2021 год в сумме 452 798,8 тыс. рублей. Расходные обязательства окружного бюджета по финансированию ОМС неработающего населения округа исполнены в полном объеме, в соответствии с Федеральным законом №326-ФЗ, для обеспечения реализации </w:t>
      </w:r>
      <w:proofErr w:type="spellStart"/>
      <w:r w:rsidRPr="00467F9C">
        <w:rPr>
          <w:sz w:val="28"/>
          <w:szCs w:val="28"/>
        </w:rPr>
        <w:t>Терпрограммы</w:t>
      </w:r>
      <w:proofErr w:type="spellEnd"/>
      <w:r w:rsidRPr="00467F9C">
        <w:rPr>
          <w:sz w:val="28"/>
          <w:szCs w:val="28"/>
        </w:rPr>
        <w:t xml:space="preserve"> ОМС в 2021 году, в бюджет ФФ ОМС направлены средства в объеме 452 798,8 тыс. рублей.</w:t>
      </w:r>
    </w:p>
    <w:p w:rsidR="005E541F" w:rsidRPr="00467F9C" w:rsidRDefault="005E541F" w:rsidP="00191861">
      <w:pPr>
        <w:ind w:firstLine="708"/>
        <w:jc w:val="both"/>
        <w:rPr>
          <w:sz w:val="28"/>
          <w:szCs w:val="28"/>
        </w:rPr>
      </w:pPr>
      <w:bookmarkStart w:id="18" w:name="_Hlk102032015"/>
      <w:bookmarkEnd w:id="17"/>
      <w:r w:rsidRPr="00467F9C">
        <w:rPr>
          <w:sz w:val="28"/>
          <w:szCs w:val="28"/>
        </w:rPr>
        <w:t>7. В отчетном периоде на ведение дела страховой медицинской организации направлены средства в сумме 27 033,6</w:t>
      </w:r>
      <w:r w:rsidRPr="00467F9C">
        <w:rPr>
          <w:b/>
          <w:sz w:val="28"/>
          <w:szCs w:val="28"/>
        </w:rPr>
        <w:t xml:space="preserve"> </w:t>
      </w:r>
      <w:r w:rsidRPr="00467F9C">
        <w:rPr>
          <w:sz w:val="28"/>
          <w:szCs w:val="28"/>
        </w:rPr>
        <w:t xml:space="preserve">тыс. рублей, сформированные в размере 0,83% от объема средств, направленных на оплату медицинской помощи, оказанной на территории Чукотского автономного округа, что не превышает установленный норматив. </w:t>
      </w:r>
    </w:p>
    <w:bookmarkEnd w:id="16"/>
    <w:bookmarkEnd w:id="18"/>
    <w:p w:rsidR="005E541F" w:rsidRPr="00467F9C" w:rsidRDefault="005E541F" w:rsidP="00191861">
      <w:pPr>
        <w:autoSpaceDE w:val="0"/>
        <w:autoSpaceDN w:val="0"/>
        <w:adjustRightInd w:val="0"/>
        <w:ind w:firstLine="709"/>
        <w:jc w:val="both"/>
        <w:rPr>
          <w:sz w:val="28"/>
          <w:szCs w:val="28"/>
        </w:rPr>
      </w:pPr>
      <w:r w:rsidRPr="00467F9C">
        <w:rPr>
          <w:sz w:val="28"/>
          <w:szCs w:val="28"/>
        </w:rPr>
        <w:t xml:space="preserve">8. Представленный с Годовым отчетом об исполнении бюджета Фонда за 2021 год отчет о выполнении </w:t>
      </w:r>
      <w:proofErr w:type="spellStart"/>
      <w:r w:rsidRPr="00467F9C">
        <w:rPr>
          <w:sz w:val="28"/>
          <w:szCs w:val="28"/>
        </w:rPr>
        <w:t>Терпрограммы</w:t>
      </w:r>
      <w:proofErr w:type="spellEnd"/>
      <w:r w:rsidRPr="00467F9C">
        <w:rPr>
          <w:sz w:val="28"/>
          <w:szCs w:val="28"/>
        </w:rPr>
        <w:t xml:space="preserve"> ОМС в 2021 году подготовлен некачественно – не содержит  полной информации по ее исполнению, в том числе анализа исполнения показателей в сравнении с 2020 годом, с указанием причин их количественного изменения (увеличения, уменьшения). </w:t>
      </w:r>
    </w:p>
    <w:p w:rsidR="005E541F" w:rsidRPr="00467F9C" w:rsidRDefault="005E541F" w:rsidP="00191861">
      <w:pPr>
        <w:tabs>
          <w:tab w:val="left" w:pos="720"/>
          <w:tab w:val="left" w:pos="2700"/>
          <w:tab w:val="left" w:pos="3060"/>
        </w:tabs>
        <w:ind w:firstLine="709"/>
        <w:jc w:val="both"/>
        <w:rPr>
          <w:sz w:val="28"/>
          <w:szCs w:val="28"/>
        </w:rPr>
      </w:pPr>
      <w:r w:rsidRPr="00467F9C">
        <w:rPr>
          <w:sz w:val="28"/>
          <w:szCs w:val="28"/>
        </w:rPr>
        <w:t xml:space="preserve">Согласно показателям ТПГГ, утвержденной Постановлением №1                              </w:t>
      </w:r>
      <w:proofErr w:type="gramStart"/>
      <w:r w:rsidRPr="00467F9C">
        <w:rPr>
          <w:sz w:val="28"/>
          <w:szCs w:val="28"/>
        </w:rPr>
        <w:t xml:space="preserve">   (</w:t>
      </w:r>
      <w:proofErr w:type="gramEnd"/>
      <w:r w:rsidRPr="00467F9C">
        <w:rPr>
          <w:sz w:val="28"/>
          <w:szCs w:val="28"/>
        </w:rPr>
        <w:t xml:space="preserve">в редакции от 23.12.2021г. ), стоимость </w:t>
      </w:r>
      <w:proofErr w:type="spellStart"/>
      <w:r w:rsidRPr="00467F9C">
        <w:rPr>
          <w:sz w:val="28"/>
          <w:szCs w:val="28"/>
        </w:rPr>
        <w:t>Терпрограммы</w:t>
      </w:r>
      <w:proofErr w:type="spellEnd"/>
      <w:r w:rsidRPr="00467F9C">
        <w:rPr>
          <w:sz w:val="28"/>
          <w:szCs w:val="28"/>
        </w:rPr>
        <w:t xml:space="preserve"> ОМС на 2021 год утверждена в сумме 3 350 402,9 тыс. рублей. Исполнение </w:t>
      </w:r>
      <w:proofErr w:type="spellStart"/>
      <w:r w:rsidRPr="00467F9C">
        <w:rPr>
          <w:sz w:val="28"/>
          <w:szCs w:val="28"/>
        </w:rPr>
        <w:t>Терпрограммы</w:t>
      </w:r>
      <w:proofErr w:type="spellEnd"/>
      <w:r w:rsidRPr="00467F9C">
        <w:rPr>
          <w:sz w:val="28"/>
          <w:szCs w:val="28"/>
        </w:rPr>
        <w:t xml:space="preserve"> ОМС согласно отчету по выполнению </w:t>
      </w:r>
      <w:proofErr w:type="spellStart"/>
      <w:r w:rsidRPr="00467F9C">
        <w:rPr>
          <w:sz w:val="28"/>
          <w:szCs w:val="28"/>
        </w:rPr>
        <w:t>Терпрограммы</w:t>
      </w:r>
      <w:proofErr w:type="spellEnd"/>
      <w:r w:rsidRPr="00467F9C">
        <w:rPr>
          <w:sz w:val="28"/>
          <w:szCs w:val="28"/>
        </w:rPr>
        <w:t xml:space="preserve"> ОМС составило                             3 334 803,2 тыс. рублей или 99,5% от утвержденного объема.  </w:t>
      </w:r>
    </w:p>
    <w:p w:rsidR="005E541F" w:rsidRPr="00467F9C" w:rsidRDefault="005E541F" w:rsidP="00191861">
      <w:pPr>
        <w:widowControl w:val="0"/>
        <w:tabs>
          <w:tab w:val="left" w:pos="1134"/>
        </w:tabs>
        <w:autoSpaceDE w:val="0"/>
        <w:autoSpaceDN w:val="0"/>
        <w:adjustRightInd w:val="0"/>
        <w:jc w:val="both"/>
        <w:rPr>
          <w:sz w:val="28"/>
          <w:szCs w:val="28"/>
        </w:rPr>
      </w:pPr>
      <w:r w:rsidRPr="00467F9C">
        <w:rPr>
          <w:sz w:val="28"/>
          <w:szCs w:val="28"/>
        </w:rPr>
        <w:t xml:space="preserve">           Бюджетные ассигнования на реализацию </w:t>
      </w:r>
      <w:proofErr w:type="spellStart"/>
      <w:r w:rsidRPr="00467F9C">
        <w:rPr>
          <w:sz w:val="28"/>
          <w:szCs w:val="28"/>
        </w:rPr>
        <w:t>Терпрограммы</w:t>
      </w:r>
      <w:proofErr w:type="spellEnd"/>
      <w:r w:rsidRPr="00467F9C">
        <w:rPr>
          <w:sz w:val="28"/>
          <w:szCs w:val="28"/>
        </w:rPr>
        <w:t xml:space="preserve"> ОМС, отраженные в Годовом отчете об исполнении бюджета Фонда и отчете о выполнении </w:t>
      </w:r>
      <w:proofErr w:type="spellStart"/>
      <w:r w:rsidRPr="00467F9C">
        <w:rPr>
          <w:sz w:val="28"/>
          <w:szCs w:val="28"/>
        </w:rPr>
        <w:t>Терпрограммы</w:t>
      </w:r>
      <w:proofErr w:type="spellEnd"/>
      <w:r w:rsidRPr="00467F9C">
        <w:rPr>
          <w:sz w:val="28"/>
          <w:szCs w:val="28"/>
        </w:rPr>
        <w:t xml:space="preserve"> ОМС, разнятся по плановым показателям на 65 006,3 тыс. рублей, по исполнению расходов – на 12 565,4 тыс. рублей. Расхождения в показателях обусловлены тем, что в отчет о выполнении </w:t>
      </w:r>
      <w:proofErr w:type="spellStart"/>
      <w:r w:rsidRPr="00467F9C">
        <w:rPr>
          <w:sz w:val="28"/>
          <w:szCs w:val="28"/>
        </w:rPr>
        <w:t>Терпрограммы</w:t>
      </w:r>
      <w:proofErr w:type="spellEnd"/>
      <w:r w:rsidRPr="00467F9C">
        <w:rPr>
          <w:sz w:val="28"/>
          <w:szCs w:val="28"/>
        </w:rPr>
        <w:t xml:space="preserve"> ОМС включаются только те расходы по </w:t>
      </w:r>
      <w:proofErr w:type="spellStart"/>
      <w:r w:rsidRPr="00467F9C">
        <w:rPr>
          <w:sz w:val="28"/>
          <w:szCs w:val="28"/>
        </w:rPr>
        <w:t>Терпрограмме</w:t>
      </w:r>
      <w:proofErr w:type="spellEnd"/>
      <w:r w:rsidRPr="00467F9C">
        <w:rPr>
          <w:sz w:val="28"/>
          <w:szCs w:val="28"/>
        </w:rPr>
        <w:t xml:space="preserve"> ОМС, финансовое обеспечение которых предусмотрено Постановлением №1 по утверждению ТПГГ.</w:t>
      </w:r>
    </w:p>
    <w:p w:rsidR="005E541F" w:rsidRPr="00467F9C" w:rsidRDefault="005E541F" w:rsidP="00191861">
      <w:pPr>
        <w:widowControl w:val="0"/>
        <w:tabs>
          <w:tab w:val="left" w:pos="1134"/>
        </w:tabs>
        <w:autoSpaceDE w:val="0"/>
        <w:autoSpaceDN w:val="0"/>
        <w:adjustRightInd w:val="0"/>
        <w:jc w:val="both"/>
        <w:rPr>
          <w:sz w:val="28"/>
          <w:szCs w:val="28"/>
        </w:rPr>
      </w:pPr>
      <w:r w:rsidRPr="00467F9C">
        <w:rPr>
          <w:sz w:val="28"/>
          <w:szCs w:val="28"/>
        </w:rPr>
        <w:t xml:space="preserve">           </w:t>
      </w:r>
      <w:r w:rsidRPr="00467F9C">
        <w:rPr>
          <w:bCs/>
          <w:sz w:val="28"/>
          <w:szCs w:val="28"/>
        </w:rPr>
        <w:t xml:space="preserve">Финансирование </w:t>
      </w:r>
      <w:proofErr w:type="spellStart"/>
      <w:r w:rsidRPr="00467F9C">
        <w:rPr>
          <w:bCs/>
          <w:sz w:val="28"/>
          <w:szCs w:val="28"/>
        </w:rPr>
        <w:t>Терпрограммы</w:t>
      </w:r>
      <w:proofErr w:type="spellEnd"/>
      <w:r w:rsidRPr="00467F9C">
        <w:rPr>
          <w:bCs/>
          <w:sz w:val="28"/>
          <w:szCs w:val="28"/>
        </w:rPr>
        <w:t xml:space="preserve"> ОМС осуществлялось Фондом через страховую медицинскую организацию. Фондом в 2021 году СМО направлены средства в сумме 3 379 794,8 тыс. рублей, в том числе: для оплаты медицинской </w:t>
      </w:r>
      <w:r w:rsidRPr="00467F9C">
        <w:rPr>
          <w:bCs/>
          <w:sz w:val="28"/>
          <w:szCs w:val="28"/>
        </w:rPr>
        <w:lastRenderedPageBreak/>
        <w:t>помощи в соответствии с договором о финансовом обеспечении ОМС, заключенным с Фондом – 3 295 833,9 тыс. рублей, из них на ведение дела СМО – 27 033,6 тыс. рублей</w:t>
      </w:r>
      <w:r w:rsidRPr="00467F9C">
        <w:rPr>
          <w:sz w:val="28"/>
          <w:szCs w:val="28"/>
        </w:rPr>
        <w:t>.</w:t>
      </w:r>
    </w:p>
    <w:p w:rsidR="005E541F" w:rsidRPr="00467F9C" w:rsidRDefault="005E541F" w:rsidP="00191861">
      <w:pPr>
        <w:ind w:firstLine="709"/>
        <w:jc w:val="both"/>
        <w:rPr>
          <w:sz w:val="28"/>
          <w:szCs w:val="28"/>
        </w:rPr>
      </w:pPr>
      <w:r w:rsidRPr="00467F9C">
        <w:rPr>
          <w:sz w:val="28"/>
          <w:szCs w:val="28"/>
        </w:rPr>
        <w:t>9. Законом о бюджете Фонда установлен нормированный страховой запас Фонда на 2021 год в размере 263 211,6 тыс. рублей</w:t>
      </w:r>
      <w:r w:rsidRPr="00467F9C">
        <w:rPr>
          <w:bCs/>
          <w:sz w:val="28"/>
          <w:szCs w:val="28"/>
        </w:rPr>
        <w:t xml:space="preserve">. В отчетном периоде НСЗ не превысил законодательно установленный размер и сформирован в сумме </w:t>
      </w:r>
      <w:r w:rsidRPr="00467F9C">
        <w:rPr>
          <w:sz w:val="28"/>
          <w:szCs w:val="28"/>
        </w:rPr>
        <w:t xml:space="preserve">227 396,1 </w:t>
      </w:r>
      <w:r w:rsidRPr="00467F9C">
        <w:rPr>
          <w:bCs/>
          <w:sz w:val="28"/>
          <w:szCs w:val="28"/>
        </w:rPr>
        <w:t xml:space="preserve">тыс. рублей. </w:t>
      </w:r>
      <w:r w:rsidRPr="00467F9C">
        <w:rPr>
          <w:sz w:val="28"/>
          <w:szCs w:val="28"/>
        </w:rPr>
        <w:t xml:space="preserve">НСЗ израсходован в объеме 166 747, 6 тыс. рублей </w:t>
      </w:r>
      <w:r w:rsidRPr="00467F9C">
        <w:rPr>
          <w:bCs/>
          <w:sz w:val="28"/>
          <w:szCs w:val="28"/>
        </w:rPr>
        <w:t xml:space="preserve">на цели, предусмотренные Законом о бюджете Фонда. </w:t>
      </w:r>
    </w:p>
    <w:p w:rsidR="005E541F" w:rsidRPr="00467F9C" w:rsidRDefault="005E541F" w:rsidP="00191861">
      <w:pPr>
        <w:ind w:firstLine="709"/>
        <w:jc w:val="both"/>
        <w:rPr>
          <w:rFonts w:eastAsia="Calibri"/>
          <w:b/>
          <w:sz w:val="16"/>
          <w:szCs w:val="16"/>
          <w:lang w:eastAsia="en-US"/>
        </w:rPr>
      </w:pPr>
    </w:p>
    <w:p w:rsidR="005E541F" w:rsidRPr="00467F9C" w:rsidRDefault="005E541F" w:rsidP="00191861">
      <w:pPr>
        <w:ind w:firstLine="709"/>
        <w:jc w:val="both"/>
        <w:rPr>
          <w:rFonts w:eastAsia="Calibri"/>
          <w:b/>
          <w:sz w:val="28"/>
          <w:szCs w:val="28"/>
          <w:lang w:eastAsia="en-US"/>
        </w:rPr>
      </w:pPr>
      <w:r w:rsidRPr="00467F9C">
        <w:rPr>
          <w:rFonts w:eastAsia="Calibri"/>
          <w:b/>
          <w:sz w:val="28"/>
          <w:szCs w:val="28"/>
          <w:lang w:eastAsia="en-US"/>
        </w:rPr>
        <w:t>Предложения:</w:t>
      </w:r>
    </w:p>
    <w:p w:rsidR="005E541F" w:rsidRPr="00467F9C" w:rsidRDefault="005E541F" w:rsidP="00191861">
      <w:pPr>
        <w:ind w:firstLine="708"/>
        <w:jc w:val="both"/>
        <w:rPr>
          <w:rFonts w:eastAsia="Calibri"/>
          <w:sz w:val="6"/>
          <w:szCs w:val="6"/>
          <w:lang w:eastAsia="en-US"/>
        </w:rPr>
      </w:pPr>
    </w:p>
    <w:p w:rsidR="005E541F" w:rsidRPr="00467F9C" w:rsidRDefault="005E541F" w:rsidP="00191861">
      <w:pPr>
        <w:ind w:firstLine="708"/>
        <w:jc w:val="both"/>
        <w:rPr>
          <w:rFonts w:eastAsia="Calibri"/>
          <w:sz w:val="28"/>
          <w:szCs w:val="28"/>
          <w:lang w:eastAsia="en-US"/>
        </w:rPr>
      </w:pPr>
      <w:r w:rsidRPr="00467F9C">
        <w:rPr>
          <w:rFonts w:eastAsia="Calibri"/>
          <w:sz w:val="28"/>
          <w:szCs w:val="28"/>
          <w:lang w:eastAsia="en-US"/>
        </w:rPr>
        <w:t xml:space="preserve">1. Заключение </w:t>
      </w:r>
      <w:r w:rsidRPr="00467F9C">
        <w:rPr>
          <w:sz w:val="28"/>
          <w:szCs w:val="28"/>
        </w:rPr>
        <w:t xml:space="preserve">о результатах экспертно-аналитического мероприятия </w:t>
      </w:r>
      <w:r w:rsidRPr="00467F9C">
        <w:rPr>
          <w:bCs/>
          <w:sz w:val="28"/>
          <w:szCs w:val="28"/>
        </w:rPr>
        <w:t xml:space="preserve">«Внешняя проверка годового отчета </w:t>
      </w:r>
      <w:r w:rsidRPr="00467F9C">
        <w:rPr>
          <w:iCs/>
          <w:sz w:val="28"/>
          <w:szCs w:val="28"/>
        </w:rPr>
        <w:t>об исполнении бюджета Чукотского территориального фонда обязательного медицинского страхования</w:t>
      </w:r>
      <w:r w:rsidR="00B97CAF">
        <w:rPr>
          <w:iCs/>
          <w:sz w:val="28"/>
          <w:szCs w:val="28"/>
        </w:rPr>
        <w:t xml:space="preserve"> </w:t>
      </w:r>
      <w:r w:rsidRPr="00467F9C">
        <w:rPr>
          <w:iCs/>
          <w:sz w:val="28"/>
          <w:szCs w:val="28"/>
        </w:rPr>
        <w:t xml:space="preserve">за 2021 год» </w:t>
      </w:r>
      <w:r w:rsidRPr="00467F9C">
        <w:rPr>
          <w:rFonts w:eastAsia="Calibri"/>
          <w:sz w:val="28"/>
          <w:szCs w:val="28"/>
          <w:lang w:eastAsia="en-US"/>
        </w:rPr>
        <w:t>направить в Думу и Губернатору Чукотского автономного округа.</w:t>
      </w:r>
    </w:p>
    <w:p w:rsidR="005E541F" w:rsidRPr="00467F9C" w:rsidRDefault="005E541F" w:rsidP="00191861">
      <w:pPr>
        <w:ind w:firstLine="709"/>
        <w:jc w:val="both"/>
        <w:rPr>
          <w:rFonts w:eastAsia="Calibri"/>
          <w:sz w:val="28"/>
          <w:szCs w:val="28"/>
          <w:highlight w:val="yellow"/>
          <w:lang w:eastAsia="en-US"/>
        </w:rPr>
      </w:pPr>
    </w:p>
    <w:p w:rsidR="005E541F" w:rsidRDefault="005E541F" w:rsidP="00191861">
      <w:pPr>
        <w:ind w:firstLine="709"/>
        <w:jc w:val="both"/>
        <w:rPr>
          <w:rFonts w:eastAsia="Calibri"/>
          <w:sz w:val="28"/>
          <w:szCs w:val="28"/>
          <w:highlight w:val="yellow"/>
          <w:lang w:eastAsia="en-US"/>
        </w:rPr>
      </w:pPr>
    </w:p>
    <w:p w:rsidR="00B97CAF" w:rsidRDefault="00B97CAF" w:rsidP="00191861">
      <w:pPr>
        <w:ind w:firstLine="709"/>
        <w:jc w:val="both"/>
        <w:rPr>
          <w:rFonts w:eastAsia="Calibri"/>
          <w:sz w:val="28"/>
          <w:szCs w:val="28"/>
          <w:highlight w:val="yellow"/>
          <w:lang w:eastAsia="en-US"/>
        </w:rPr>
      </w:pPr>
    </w:p>
    <w:p w:rsidR="00B97CAF" w:rsidRPr="00467F9C" w:rsidRDefault="00B97CAF" w:rsidP="00191861">
      <w:pPr>
        <w:ind w:firstLine="709"/>
        <w:jc w:val="both"/>
        <w:rPr>
          <w:rFonts w:eastAsia="Calibri"/>
          <w:sz w:val="28"/>
          <w:szCs w:val="28"/>
          <w:highlight w:val="yellow"/>
          <w:lang w:eastAsia="en-US"/>
        </w:rPr>
      </w:pPr>
    </w:p>
    <w:p w:rsidR="005E541F" w:rsidRPr="00467F9C" w:rsidRDefault="005E541F" w:rsidP="00191861">
      <w:pPr>
        <w:tabs>
          <w:tab w:val="left" w:pos="7938"/>
        </w:tabs>
        <w:rPr>
          <w:sz w:val="28"/>
          <w:szCs w:val="28"/>
        </w:rPr>
      </w:pPr>
      <w:r w:rsidRPr="00467F9C">
        <w:rPr>
          <w:sz w:val="28"/>
          <w:szCs w:val="28"/>
        </w:rPr>
        <w:t xml:space="preserve">Аудитор Счетной палаты </w:t>
      </w:r>
    </w:p>
    <w:p w:rsidR="005E541F" w:rsidRPr="00467F9C" w:rsidRDefault="005E541F" w:rsidP="00191861">
      <w:pPr>
        <w:tabs>
          <w:tab w:val="left" w:pos="7938"/>
        </w:tabs>
        <w:rPr>
          <w:sz w:val="28"/>
          <w:szCs w:val="28"/>
        </w:rPr>
      </w:pPr>
      <w:r w:rsidRPr="00467F9C">
        <w:rPr>
          <w:sz w:val="28"/>
          <w:szCs w:val="28"/>
        </w:rPr>
        <w:t xml:space="preserve">Чукотского автономного округа                                          </w:t>
      </w:r>
      <w:r w:rsidR="00B97CAF">
        <w:rPr>
          <w:sz w:val="28"/>
          <w:szCs w:val="28"/>
        </w:rPr>
        <w:t xml:space="preserve">     </w:t>
      </w:r>
      <w:r w:rsidRPr="00467F9C">
        <w:rPr>
          <w:sz w:val="28"/>
          <w:szCs w:val="28"/>
        </w:rPr>
        <w:t xml:space="preserve">              </w:t>
      </w:r>
      <w:proofErr w:type="spellStart"/>
      <w:r w:rsidRPr="00467F9C">
        <w:rPr>
          <w:sz w:val="28"/>
          <w:szCs w:val="28"/>
        </w:rPr>
        <w:t>Л.А.Петрусева</w:t>
      </w:r>
      <w:proofErr w:type="spellEnd"/>
    </w:p>
    <w:p w:rsidR="005E541F" w:rsidRPr="00467F9C" w:rsidRDefault="005E541F" w:rsidP="00191861">
      <w:pPr>
        <w:spacing w:after="200"/>
        <w:rPr>
          <w:sz w:val="28"/>
          <w:szCs w:val="28"/>
        </w:rPr>
      </w:pPr>
      <w:r w:rsidRPr="00467F9C">
        <w:rPr>
          <w:sz w:val="28"/>
          <w:szCs w:val="28"/>
        </w:rPr>
        <w:br w:type="page"/>
      </w:r>
    </w:p>
    <w:p w:rsidR="00DF7B2E" w:rsidRPr="00467F9C" w:rsidRDefault="00DF7B2E" w:rsidP="00191861">
      <w:pPr>
        <w:jc w:val="center"/>
        <w:rPr>
          <w:b/>
          <w:sz w:val="28"/>
          <w:szCs w:val="28"/>
        </w:rPr>
      </w:pPr>
      <w:r w:rsidRPr="00467F9C">
        <w:rPr>
          <w:b/>
          <w:sz w:val="28"/>
          <w:szCs w:val="28"/>
        </w:rPr>
        <w:lastRenderedPageBreak/>
        <w:t>ЗАКЛЮЧЕНИЕ</w:t>
      </w:r>
    </w:p>
    <w:p w:rsidR="00DF7B2E" w:rsidRPr="00467F9C" w:rsidRDefault="00DF7B2E" w:rsidP="00191861">
      <w:pPr>
        <w:jc w:val="center"/>
        <w:rPr>
          <w:b/>
          <w:sz w:val="28"/>
          <w:szCs w:val="28"/>
        </w:rPr>
      </w:pPr>
      <w:r w:rsidRPr="00467F9C">
        <w:rPr>
          <w:b/>
          <w:sz w:val="28"/>
          <w:szCs w:val="28"/>
        </w:rPr>
        <w:t>Счетной палаты Чукотского автономного округа на проект закона Чукотского автономного округа «Об исполнении бюджета Чукотского территориального фонда обязательного медицинского страхования                за 2021 год»</w:t>
      </w:r>
    </w:p>
    <w:p w:rsidR="00DF7B2E" w:rsidRPr="00467F9C" w:rsidRDefault="00DF7B2E" w:rsidP="00191861">
      <w:pPr>
        <w:rPr>
          <w:b/>
          <w:sz w:val="28"/>
          <w:szCs w:val="28"/>
        </w:rPr>
      </w:pPr>
    </w:p>
    <w:p w:rsidR="00DF7B2E" w:rsidRPr="00467F9C" w:rsidRDefault="00DF7B2E" w:rsidP="00191861">
      <w:pPr>
        <w:pStyle w:val="ConsPlusTitle"/>
        <w:jc w:val="both"/>
        <w:rPr>
          <w:b w:val="0"/>
          <w:sz w:val="28"/>
          <w:szCs w:val="28"/>
        </w:rPr>
      </w:pPr>
      <w:r w:rsidRPr="00467F9C">
        <w:rPr>
          <w:sz w:val="28"/>
          <w:szCs w:val="28"/>
        </w:rPr>
        <w:tab/>
      </w:r>
      <w:r w:rsidRPr="00467F9C">
        <w:rPr>
          <w:b w:val="0"/>
          <w:sz w:val="28"/>
          <w:szCs w:val="28"/>
        </w:rPr>
        <w:t>Заключение Счетной палаты Чукотского автономного округа  на проект закона Чукотского автономного округа «Об исполнении бюджета Чукотского территориального фонда обязательного медицинского страхования за 2021 год» (далее –  Законопроект) подготовлено в соответствии со статьей 157 Бюджетного кодекса Российской Федерации (далее – Бюджетный кодекс), статьей  9 Федерального закона «Об общих принципах организации и деятельности контрольно-счетных органов субъектов Российской Федерации и муниципальных образований», статьей 2 Закона Чукотского автономного округа «О Счетной палате Чукотского автономного округа», статьей 8 Закона Чукотского автономного округа «О бюджетном процессе в Чукотском автономном округе» (далее – Закон о бюджетном процессе).</w:t>
      </w:r>
    </w:p>
    <w:p w:rsidR="00DF7B2E" w:rsidRPr="00467F9C" w:rsidRDefault="00DF7B2E" w:rsidP="00191861">
      <w:pPr>
        <w:ind w:firstLine="709"/>
        <w:jc w:val="both"/>
        <w:rPr>
          <w:sz w:val="28"/>
          <w:szCs w:val="28"/>
        </w:rPr>
      </w:pPr>
      <w:r w:rsidRPr="00467F9C">
        <w:rPr>
          <w:sz w:val="28"/>
          <w:szCs w:val="28"/>
        </w:rPr>
        <w:t xml:space="preserve">Законопроект и пояснительная записка к нему, а также Отчет о выполнении Территориальной программы обязательного медицинского страхования на территории Чукотского автономного округа в 2021 году представлены Правительством Чукотского автономного округа в Счетную палату в срок, установленный статьей 149 Бюджетного кодекса. </w:t>
      </w:r>
    </w:p>
    <w:p w:rsidR="00DF7B2E" w:rsidRPr="00467F9C" w:rsidRDefault="00DF7B2E" w:rsidP="00191861">
      <w:pPr>
        <w:ind w:firstLine="709"/>
        <w:jc w:val="both"/>
        <w:rPr>
          <w:sz w:val="28"/>
          <w:szCs w:val="28"/>
        </w:rPr>
      </w:pPr>
      <w:r w:rsidRPr="00467F9C">
        <w:rPr>
          <w:sz w:val="28"/>
          <w:szCs w:val="28"/>
        </w:rPr>
        <w:t>Отчет об исполнении бюджета Чукотского территориального фонда обязательного медицинского страхования (далее – бюджет Фонда, Фонд) за 2021 год, в форме Законопроекта и пояснительной записки к нему, согласованы Правлением Фонда (Решение от 4 апреля 2022 года №01/22) в соответствии с требованиями Закона о бюджетном процессе.</w:t>
      </w:r>
    </w:p>
    <w:p w:rsidR="00DF7B2E" w:rsidRPr="00467F9C" w:rsidRDefault="00DF7B2E" w:rsidP="00191861">
      <w:pPr>
        <w:ind w:firstLine="720"/>
        <w:jc w:val="both"/>
        <w:rPr>
          <w:sz w:val="28"/>
          <w:szCs w:val="28"/>
        </w:rPr>
      </w:pPr>
      <w:r w:rsidRPr="00467F9C">
        <w:rPr>
          <w:sz w:val="28"/>
          <w:szCs w:val="28"/>
        </w:rPr>
        <w:t xml:space="preserve">Экспертиза Законопроекта проведена с учетом результатов внешней проверки годового отчета об исполнении бюджета Фонда за 2021 год (заключение утверждено Коллегией Счетной палаты, протокол от 29 апреля 2022 года №8). </w:t>
      </w:r>
    </w:p>
    <w:p w:rsidR="00DF7B2E" w:rsidRPr="00467F9C" w:rsidRDefault="00DF7B2E" w:rsidP="00191861">
      <w:pPr>
        <w:ind w:firstLine="720"/>
        <w:jc w:val="both"/>
        <w:rPr>
          <w:sz w:val="28"/>
          <w:szCs w:val="28"/>
        </w:rPr>
      </w:pPr>
      <w:r w:rsidRPr="00467F9C">
        <w:rPr>
          <w:sz w:val="28"/>
          <w:szCs w:val="28"/>
        </w:rPr>
        <w:t>Представленный Законопроект составлен в соответствии со структурой и бюджетной классификацией, применяемой при утверждении Закона Чукотского автономного округа от 16 декабря 2020 года №75-ОЗ</w:t>
      </w:r>
      <w:r w:rsidRPr="00467F9C">
        <w:t xml:space="preserve"> </w:t>
      </w:r>
      <w:r w:rsidRPr="00467F9C">
        <w:rPr>
          <w:sz w:val="28"/>
          <w:szCs w:val="28"/>
        </w:rPr>
        <w:t xml:space="preserve">«О бюджете Чукотского территориального фонда обязательного медицинского страхования на </w:t>
      </w:r>
      <w:r w:rsidRPr="00467F9C">
        <w:rPr>
          <w:bCs/>
          <w:sz w:val="28"/>
          <w:szCs w:val="28"/>
        </w:rPr>
        <w:t>2021 год и на плановый период 2022 и 2023 годов</w:t>
      </w:r>
      <w:r w:rsidRPr="00467F9C">
        <w:rPr>
          <w:sz w:val="28"/>
          <w:szCs w:val="28"/>
        </w:rPr>
        <w:t>»  (далее – Закон о бюджете Фонда), с учетом внесенных в него изменений.</w:t>
      </w:r>
    </w:p>
    <w:p w:rsidR="00DF7B2E" w:rsidRPr="00467F9C" w:rsidRDefault="00DF7B2E" w:rsidP="00191861">
      <w:pPr>
        <w:autoSpaceDE w:val="0"/>
        <w:autoSpaceDN w:val="0"/>
        <w:adjustRightInd w:val="0"/>
        <w:ind w:firstLine="708"/>
        <w:jc w:val="both"/>
        <w:rPr>
          <w:sz w:val="28"/>
          <w:szCs w:val="28"/>
        </w:rPr>
      </w:pPr>
      <w:r w:rsidRPr="00467F9C">
        <w:rPr>
          <w:sz w:val="28"/>
          <w:szCs w:val="28"/>
        </w:rPr>
        <w:t>В ходе исполнения бюджета Фонда, в Закон о бюджете Фонда изменения вносились 3 раза – в основные характеристики бюджета Фонда и по увеличению размера нормированного страхового запаса для обеспечения финансовой устойчивости системы ОМС на территории Чукотского автономного округа.</w:t>
      </w:r>
    </w:p>
    <w:p w:rsidR="00DF7B2E" w:rsidRPr="00467F9C" w:rsidRDefault="00DF7B2E" w:rsidP="00191861">
      <w:pPr>
        <w:autoSpaceDE w:val="0"/>
        <w:autoSpaceDN w:val="0"/>
        <w:adjustRightInd w:val="0"/>
        <w:ind w:firstLine="708"/>
        <w:jc w:val="both"/>
        <w:rPr>
          <w:sz w:val="28"/>
          <w:szCs w:val="28"/>
        </w:rPr>
      </w:pPr>
      <w:r w:rsidRPr="00467F9C">
        <w:rPr>
          <w:sz w:val="28"/>
          <w:szCs w:val="28"/>
        </w:rPr>
        <w:t>Бюджет Фонда за 2021 год исполнен по доходам в сумме 3 602 921,3 тыс. рублей, по расходам в сумме 3 488 740,5 тыс. рублей, с профицитом                                  114 180,8 тыс. рублей при запланированном дефиците в размере                            30 640,0 тыс. рублей.</w:t>
      </w:r>
    </w:p>
    <w:p w:rsidR="00DF7B2E" w:rsidRPr="00467F9C" w:rsidRDefault="00DF7B2E" w:rsidP="00191861">
      <w:pPr>
        <w:autoSpaceDE w:val="0"/>
        <w:autoSpaceDN w:val="0"/>
        <w:adjustRightInd w:val="0"/>
        <w:ind w:firstLine="709"/>
        <w:jc w:val="both"/>
        <w:rPr>
          <w:sz w:val="28"/>
          <w:szCs w:val="28"/>
        </w:rPr>
      </w:pPr>
      <w:r w:rsidRPr="00467F9C">
        <w:rPr>
          <w:sz w:val="28"/>
          <w:szCs w:val="28"/>
        </w:rPr>
        <w:lastRenderedPageBreak/>
        <w:t>Основные характеристики исполнения бюджета Фонда за 2021 год, указанные в статье 1, статье 2 и в приложениях к Законопроекту, соответствуют данным отчета об исполнении бюджета Фонда и бюджетной отчетности Фонда за 2021 год. Бюджет Фонда по расходам исполнен в пределах утвержденных сводной бюджетной росписью бюджетных назначений в соответствии с нормами статьи 217 Бюджетного кодекса.</w:t>
      </w:r>
    </w:p>
    <w:p w:rsidR="00DF7B2E" w:rsidRPr="00467F9C" w:rsidRDefault="00DF7B2E" w:rsidP="00191861">
      <w:pPr>
        <w:ind w:firstLine="709"/>
        <w:jc w:val="both"/>
        <w:rPr>
          <w:sz w:val="28"/>
          <w:szCs w:val="28"/>
        </w:rPr>
      </w:pPr>
      <w:r w:rsidRPr="00467F9C">
        <w:rPr>
          <w:sz w:val="28"/>
          <w:szCs w:val="28"/>
        </w:rPr>
        <w:t>По итогам экспертизы Законопроекта, учитывая результаты внешней проверки годового отчета об исполнении бюджета Фонда за 2021 год, Счетная палата рекомендует проект закона Чукотского автономного округа «Об исполнении бюджета Чукотского территориального фонда обязательного медицинского страхования за 2021 год» к рассмотрению Думой Чукотского автономного округа в первом чтении.</w:t>
      </w:r>
    </w:p>
    <w:p w:rsidR="00DF7B2E" w:rsidRPr="00467F9C" w:rsidRDefault="00DF7B2E" w:rsidP="00191861">
      <w:pPr>
        <w:spacing w:after="200"/>
        <w:rPr>
          <w:b/>
          <w:bCs/>
          <w:iCs/>
          <w:sz w:val="28"/>
          <w:szCs w:val="28"/>
        </w:rPr>
      </w:pPr>
      <w:r w:rsidRPr="00467F9C">
        <w:rPr>
          <w:iCs/>
        </w:rPr>
        <w:br w:type="page"/>
      </w:r>
    </w:p>
    <w:p w:rsidR="00AC77CF" w:rsidRPr="00467F9C" w:rsidRDefault="00AC77CF" w:rsidP="00AC77CF">
      <w:pPr>
        <w:jc w:val="center"/>
        <w:rPr>
          <w:b/>
          <w:sz w:val="28"/>
          <w:szCs w:val="28"/>
        </w:rPr>
      </w:pPr>
      <w:r w:rsidRPr="00467F9C">
        <w:rPr>
          <w:b/>
          <w:sz w:val="28"/>
          <w:szCs w:val="28"/>
        </w:rPr>
        <w:lastRenderedPageBreak/>
        <w:t>ЗАКЛЮЧЕНИЕ</w:t>
      </w:r>
    </w:p>
    <w:p w:rsidR="00664EE5" w:rsidRPr="00467F9C" w:rsidRDefault="00664EE5" w:rsidP="00191861">
      <w:pPr>
        <w:jc w:val="center"/>
        <w:rPr>
          <w:b/>
          <w:sz w:val="28"/>
          <w:szCs w:val="28"/>
        </w:rPr>
      </w:pPr>
      <w:r w:rsidRPr="00467F9C">
        <w:rPr>
          <w:b/>
          <w:bCs/>
          <w:sz w:val="28"/>
          <w:szCs w:val="28"/>
        </w:rPr>
        <w:t xml:space="preserve">по результатам экспертно-аналитического мероприятия </w:t>
      </w:r>
      <w:bookmarkStart w:id="19" w:name="_Hlk103678217"/>
      <w:r w:rsidRPr="00467F9C">
        <w:rPr>
          <w:b/>
          <w:bCs/>
          <w:sz w:val="28"/>
          <w:szCs w:val="28"/>
        </w:rPr>
        <w:t xml:space="preserve">«Оперативный контроль исполнения Закона Чукотского автономного округа «О бюджете Чукотского территориального фонда обязательного медицинского страхования </w:t>
      </w:r>
      <w:r w:rsidRPr="00467F9C">
        <w:rPr>
          <w:b/>
          <w:sz w:val="28"/>
          <w:szCs w:val="28"/>
        </w:rPr>
        <w:t>на 2022 год и на плановый период 2023 и 2024 годов» </w:t>
      </w:r>
    </w:p>
    <w:p w:rsidR="00664EE5" w:rsidRPr="00467F9C" w:rsidRDefault="00664EE5" w:rsidP="00191861">
      <w:pPr>
        <w:jc w:val="center"/>
        <w:rPr>
          <w:b/>
          <w:iCs/>
          <w:sz w:val="28"/>
          <w:szCs w:val="28"/>
        </w:rPr>
      </w:pPr>
      <w:r w:rsidRPr="00467F9C">
        <w:rPr>
          <w:b/>
          <w:bCs/>
          <w:sz w:val="28"/>
          <w:szCs w:val="28"/>
        </w:rPr>
        <w:t>за январь-март 2022 года»</w:t>
      </w:r>
    </w:p>
    <w:bookmarkEnd w:id="19"/>
    <w:p w:rsidR="00664EE5" w:rsidRPr="00467F9C" w:rsidRDefault="00664EE5" w:rsidP="00191861">
      <w:pPr>
        <w:jc w:val="both"/>
        <w:rPr>
          <w:b/>
          <w:sz w:val="16"/>
          <w:szCs w:val="16"/>
        </w:rPr>
      </w:pPr>
    </w:p>
    <w:p w:rsidR="00664EE5" w:rsidRPr="00467F9C" w:rsidRDefault="00664EE5" w:rsidP="00191861">
      <w:pPr>
        <w:jc w:val="center"/>
      </w:pPr>
      <w:r w:rsidRPr="00467F9C">
        <w:t xml:space="preserve">Утверждено Коллегией Счетной палаты Чукотского автономного округа </w:t>
      </w:r>
    </w:p>
    <w:p w:rsidR="00664EE5" w:rsidRPr="00467F9C" w:rsidRDefault="00664EE5" w:rsidP="00191861">
      <w:pPr>
        <w:jc w:val="center"/>
      </w:pPr>
      <w:r w:rsidRPr="00467F9C">
        <w:t>(протокол от 16 мая 2022 года №9)</w:t>
      </w:r>
    </w:p>
    <w:p w:rsidR="00664EE5" w:rsidRPr="00467F9C" w:rsidRDefault="00664EE5" w:rsidP="00191861">
      <w:pPr>
        <w:jc w:val="both"/>
        <w:rPr>
          <w:bCs/>
          <w:sz w:val="16"/>
          <w:szCs w:val="16"/>
        </w:rPr>
      </w:pPr>
    </w:p>
    <w:p w:rsidR="00664EE5" w:rsidRPr="00467F9C" w:rsidRDefault="00664EE5" w:rsidP="00191861">
      <w:pPr>
        <w:jc w:val="both"/>
        <w:rPr>
          <w:bCs/>
          <w:sz w:val="16"/>
          <w:szCs w:val="16"/>
        </w:rPr>
      </w:pPr>
    </w:p>
    <w:p w:rsidR="00664EE5" w:rsidRPr="00467F9C" w:rsidRDefault="00664EE5" w:rsidP="00191861">
      <w:pPr>
        <w:pStyle w:val="Default"/>
        <w:ind w:firstLine="708"/>
        <w:jc w:val="both"/>
        <w:rPr>
          <w:color w:val="auto"/>
          <w:sz w:val="28"/>
          <w:szCs w:val="28"/>
        </w:rPr>
      </w:pPr>
      <w:r w:rsidRPr="00467F9C">
        <w:rPr>
          <w:b/>
          <w:color w:val="auto"/>
          <w:sz w:val="28"/>
          <w:szCs w:val="28"/>
        </w:rPr>
        <w:t>Основание для проведения экспертно-аналитического мероприятия:</w:t>
      </w:r>
      <w:r w:rsidRPr="00467F9C">
        <w:rPr>
          <w:color w:val="auto"/>
          <w:sz w:val="28"/>
          <w:szCs w:val="28"/>
        </w:rPr>
        <w:t xml:space="preserve"> пункт 2.8. Плана работы Счетной палаты Чукотского автономного округа (далее – Счетная палата) на 2022 год, утвержденного Решением Коллегии Счетной палаты (протокол от 28 декабря 2021 года № 32).</w:t>
      </w:r>
    </w:p>
    <w:p w:rsidR="00664EE5" w:rsidRPr="00467F9C" w:rsidRDefault="00664EE5" w:rsidP="00191861">
      <w:pPr>
        <w:pStyle w:val="Default"/>
        <w:ind w:firstLine="708"/>
        <w:jc w:val="both"/>
        <w:rPr>
          <w:color w:val="auto"/>
          <w:sz w:val="16"/>
          <w:szCs w:val="16"/>
        </w:rPr>
      </w:pPr>
    </w:p>
    <w:p w:rsidR="00AC77CF" w:rsidRDefault="00664EE5" w:rsidP="00AC77CF">
      <w:pPr>
        <w:pStyle w:val="Default"/>
        <w:ind w:firstLine="708"/>
        <w:jc w:val="both"/>
        <w:rPr>
          <w:color w:val="auto"/>
          <w:sz w:val="28"/>
          <w:szCs w:val="28"/>
        </w:rPr>
      </w:pPr>
      <w:r w:rsidRPr="00467F9C">
        <w:rPr>
          <w:b/>
          <w:color w:val="auto"/>
          <w:sz w:val="28"/>
          <w:szCs w:val="28"/>
        </w:rPr>
        <w:t xml:space="preserve">Предмет экспертно-аналитического мероприятия: </w:t>
      </w:r>
      <w:r w:rsidRPr="00467F9C">
        <w:rPr>
          <w:color w:val="auto"/>
          <w:sz w:val="28"/>
          <w:szCs w:val="28"/>
        </w:rPr>
        <w:t>процесс исполнения Закона Чукотского автономного округа от 1 декабря 2021 года №68-ОЗ «О бюджете Чукотского территориального фонда обязательного медицинского страхования на 2022 год и на плановый период 2023 и 2024 годов»</w:t>
      </w:r>
      <w:r w:rsidR="00AC77CF">
        <w:rPr>
          <w:color w:val="auto"/>
          <w:sz w:val="28"/>
          <w:szCs w:val="28"/>
        </w:rPr>
        <w:t xml:space="preserve"> (далее – Закон о бюджете Фонда) за январь-март 2022 года.</w:t>
      </w:r>
    </w:p>
    <w:p w:rsidR="00664EE5" w:rsidRPr="00467F9C" w:rsidRDefault="00664EE5" w:rsidP="00191861">
      <w:pPr>
        <w:pStyle w:val="Default"/>
        <w:ind w:firstLine="708"/>
        <w:jc w:val="both"/>
        <w:rPr>
          <w:b/>
          <w:color w:val="auto"/>
          <w:sz w:val="16"/>
          <w:szCs w:val="16"/>
        </w:rPr>
      </w:pPr>
    </w:p>
    <w:p w:rsidR="00664EE5" w:rsidRPr="00467F9C" w:rsidRDefault="00664EE5" w:rsidP="00191861">
      <w:pPr>
        <w:pStyle w:val="Default"/>
        <w:ind w:firstLine="708"/>
        <w:jc w:val="both"/>
        <w:rPr>
          <w:bCs/>
          <w:color w:val="auto"/>
          <w:sz w:val="28"/>
          <w:szCs w:val="28"/>
        </w:rPr>
      </w:pPr>
      <w:bookmarkStart w:id="20" w:name="_Hlk69282406"/>
      <w:r w:rsidRPr="00467F9C">
        <w:rPr>
          <w:b/>
          <w:color w:val="auto"/>
          <w:sz w:val="28"/>
          <w:szCs w:val="28"/>
        </w:rPr>
        <w:t xml:space="preserve">Цель экспертно-аналитического мероприятия: </w:t>
      </w:r>
      <w:r w:rsidRPr="00467F9C">
        <w:rPr>
          <w:color w:val="auto"/>
          <w:sz w:val="28"/>
          <w:szCs w:val="28"/>
        </w:rPr>
        <w:t xml:space="preserve">провести анализ исполнения бюджета </w:t>
      </w:r>
      <w:r w:rsidRPr="00467F9C">
        <w:rPr>
          <w:bCs/>
          <w:color w:val="auto"/>
          <w:sz w:val="28"/>
          <w:szCs w:val="28"/>
        </w:rPr>
        <w:t>Чукотского территориального фонда обязательного медицинского страхования (далее – бюджет Фонда) за январь-март 2022 года.</w:t>
      </w:r>
    </w:p>
    <w:p w:rsidR="00664EE5" w:rsidRPr="00467F9C" w:rsidRDefault="00664EE5" w:rsidP="00191861">
      <w:pPr>
        <w:pStyle w:val="Default"/>
        <w:ind w:firstLine="708"/>
        <w:jc w:val="both"/>
        <w:rPr>
          <w:b/>
          <w:color w:val="auto"/>
          <w:sz w:val="28"/>
          <w:szCs w:val="28"/>
        </w:rPr>
      </w:pPr>
      <w:r w:rsidRPr="00467F9C">
        <w:rPr>
          <w:b/>
          <w:bCs/>
          <w:color w:val="auto"/>
          <w:sz w:val="28"/>
          <w:szCs w:val="28"/>
        </w:rPr>
        <w:t>Вопросы</w:t>
      </w:r>
      <w:r w:rsidRPr="00467F9C">
        <w:rPr>
          <w:b/>
          <w:color w:val="auto"/>
          <w:sz w:val="28"/>
          <w:szCs w:val="28"/>
        </w:rPr>
        <w:t>:</w:t>
      </w:r>
    </w:p>
    <w:p w:rsidR="00664EE5" w:rsidRPr="00467F9C" w:rsidRDefault="00664EE5" w:rsidP="00191861">
      <w:pPr>
        <w:ind w:firstLine="709"/>
        <w:jc w:val="both"/>
        <w:rPr>
          <w:sz w:val="28"/>
          <w:szCs w:val="28"/>
        </w:rPr>
      </w:pPr>
      <w:r w:rsidRPr="00467F9C">
        <w:rPr>
          <w:sz w:val="28"/>
          <w:szCs w:val="28"/>
        </w:rPr>
        <w:t>1. Провести анализ исполнения бюджета Фонда по доходам.</w:t>
      </w:r>
    </w:p>
    <w:p w:rsidR="00664EE5" w:rsidRPr="00467F9C" w:rsidRDefault="00664EE5" w:rsidP="00191861">
      <w:pPr>
        <w:ind w:firstLine="709"/>
        <w:jc w:val="both"/>
        <w:rPr>
          <w:sz w:val="28"/>
          <w:szCs w:val="28"/>
        </w:rPr>
      </w:pPr>
      <w:r w:rsidRPr="00467F9C">
        <w:rPr>
          <w:sz w:val="28"/>
          <w:szCs w:val="28"/>
        </w:rPr>
        <w:t>2. Провести анализ исполнения бюджета Фонда по расходам.</w:t>
      </w:r>
    </w:p>
    <w:p w:rsidR="00664EE5" w:rsidRPr="00467F9C" w:rsidRDefault="00664EE5" w:rsidP="00191861">
      <w:pPr>
        <w:pStyle w:val="Default"/>
        <w:ind w:firstLine="708"/>
        <w:jc w:val="both"/>
        <w:rPr>
          <w:b/>
          <w:color w:val="auto"/>
          <w:sz w:val="16"/>
          <w:szCs w:val="16"/>
        </w:rPr>
      </w:pPr>
    </w:p>
    <w:p w:rsidR="00664EE5" w:rsidRPr="00467F9C" w:rsidRDefault="00664EE5" w:rsidP="00191861">
      <w:pPr>
        <w:pStyle w:val="Default"/>
        <w:ind w:firstLine="708"/>
        <w:jc w:val="both"/>
        <w:rPr>
          <w:color w:val="auto"/>
          <w:sz w:val="28"/>
          <w:szCs w:val="28"/>
        </w:rPr>
      </w:pPr>
      <w:r w:rsidRPr="00467F9C">
        <w:rPr>
          <w:b/>
          <w:color w:val="auto"/>
          <w:sz w:val="28"/>
          <w:szCs w:val="28"/>
        </w:rPr>
        <w:t>Объект экспертно-аналитического</w:t>
      </w:r>
      <w:r w:rsidR="00AC77CF">
        <w:rPr>
          <w:b/>
          <w:color w:val="auto"/>
          <w:sz w:val="28"/>
          <w:szCs w:val="28"/>
        </w:rPr>
        <w:t xml:space="preserve"> </w:t>
      </w:r>
      <w:proofErr w:type="gramStart"/>
      <w:r w:rsidRPr="00467F9C">
        <w:rPr>
          <w:b/>
          <w:color w:val="auto"/>
          <w:sz w:val="28"/>
          <w:szCs w:val="28"/>
        </w:rPr>
        <w:t>мероприятия:</w:t>
      </w:r>
      <w:r w:rsidRPr="00467F9C">
        <w:rPr>
          <w:b/>
          <w:color w:val="auto"/>
          <w:sz w:val="28"/>
          <w:szCs w:val="28"/>
        </w:rPr>
        <w:softHyphen/>
      </w:r>
      <w:proofErr w:type="gramEnd"/>
      <w:r w:rsidRPr="00467F9C">
        <w:rPr>
          <w:b/>
          <w:color w:val="auto"/>
          <w:sz w:val="28"/>
          <w:szCs w:val="28"/>
        </w:rPr>
        <w:softHyphen/>
      </w:r>
      <w:r w:rsidR="00AC77CF">
        <w:rPr>
          <w:b/>
          <w:color w:val="auto"/>
          <w:sz w:val="28"/>
          <w:szCs w:val="28"/>
        </w:rPr>
        <w:t xml:space="preserve"> </w:t>
      </w:r>
      <w:r w:rsidRPr="00467F9C">
        <w:rPr>
          <w:color w:val="auto"/>
          <w:sz w:val="28"/>
          <w:szCs w:val="28"/>
        </w:rPr>
        <w:t>Чукотский территориальный фонд обязательного медицинского страхования (далее – Фонд)</w:t>
      </w:r>
    </w:p>
    <w:p w:rsidR="00664EE5" w:rsidRPr="00467F9C" w:rsidRDefault="00664EE5" w:rsidP="00191861">
      <w:pPr>
        <w:pStyle w:val="Default"/>
        <w:ind w:firstLine="708"/>
        <w:jc w:val="both"/>
        <w:rPr>
          <w:b/>
          <w:color w:val="auto"/>
          <w:sz w:val="16"/>
          <w:szCs w:val="16"/>
        </w:rPr>
      </w:pPr>
    </w:p>
    <w:p w:rsidR="00664EE5" w:rsidRPr="00467F9C" w:rsidRDefault="00664EE5" w:rsidP="00191861">
      <w:pPr>
        <w:pStyle w:val="Default"/>
        <w:ind w:firstLine="708"/>
        <w:jc w:val="both"/>
        <w:rPr>
          <w:color w:val="auto"/>
          <w:sz w:val="28"/>
          <w:szCs w:val="28"/>
        </w:rPr>
      </w:pPr>
      <w:r w:rsidRPr="00467F9C">
        <w:rPr>
          <w:b/>
          <w:color w:val="auto"/>
          <w:sz w:val="28"/>
          <w:szCs w:val="28"/>
        </w:rPr>
        <w:t>Исследуемый период:</w:t>
      </w:r>
      <w:r w:rsidRPr="00467F9C">
        <w:rPr>
          <w:color w:val="auto"/>
          <w:sz w:val="28"/>
          <w:szCs w:val="28"/>
        </w:rPr>
        <w:t xml:space="preserve"> январь-март 2022 года.</w:t>
      </w:r>
    </w:p>
    <w:p w:rsidR="00664EE5" w:rsidRPr="00467F9C" w:rsidRDefault="00664EE5" w:rsidP="00191861">
      <w:pPr>
        <w:pStyle w:val="Default"/>
        <w:ind w:firstLine="708"/>
        <w:jc w:val="both"/>
        <w:rPr>
          <w:b/>
          <w:color w:val="auto"/>
          <w:sz w:val="16"/>
          <w:szCs w:val="16"/>
        </w:rPr>
      </w:pPr>
    </w:p>
    <w:p w:rsidR="00664EE5" w:rsidRPr="00467F9C" w:rsidRDefault="00664EE5" w:rsidP="00191861">
      <w:pPr>
        <w:pStyle w:val="Default"/>
        <w:ind w:firstLine="708"/>
        <w:jc w:val="both"/>
        <w:rPr>
          <w:color w:val="auto"/>
          <w:sz w:val="28"/>
          <w:szCs w:val="28"/>
        </w:rPr>
      </w:pPr>
      <w:r w:rsidRPr="00467F9C">
        <w:rPr>
          <w:b/>
          <w:color w:val="auto"/>
          <w:sz w:val="28"/>
          <w:szCs w:val="28"/>
        </w:rPr>
        <w:t xml:space="preserve">Сроки проведения экспертно-аналитического мероприятия: </w:t>
      </w:r>
      <w:r w:rsidRPr="00467F9C">
        <w:rPr>
          <w:color w:val="auto"/>
          <w:sz w:val="28"/>
          <w:szCs w:val="28"/>
        </w:rPr>
        <w:t>с 4 по 16 мая 2022 года.</w:t>
      </w:r>
    </w:p>
    <w:bookmarkEnd w:id="20"/>
    <w:p w:rsidR="00664EE5" w:rsidRPr="00467F9C" w:rsidRDefault="00664EE5" w:rsidP="00191861">
      <w:pPr>
        <w:autoSpaceDE w:val="0"/>
        <w:autoSpaceDN w:val="0"/>
        <w:adjustRightInd w:val="0"/>
        <w:ind w:firstLine="708"/>
        <w:jc w:val="both"/>
        <w:rPr>
          <w:b/>
          <w:sz w:val="16"/>
          <w:szCs w:val="16"/>
        </w:rPr>
      </w:pPr>
    </w:p>
    <w:p w:rsidR="00664EE5" w:rsidRPr="00467F9C" w:rsidRDefault="00664EE5" w:rsidP="00191861">
      <w:pPr>
        <w:autoSpaceDE w:val="0"/>
        <w:autoSpaceDN w:val="0"/>
        <w:adjustRightInd w:val="0"/>
        <w:ind w:firstLine="708"/>
        <w:jc w:val="both"/>
        <w:rPr>
          <w:b/>
          <w:sz w:val="28"/>
          <w:szCs w:val="28"/>
        </w:rPr>
      </w:pPr>
      <w:r w:rsidRPr="00467F9C">
        <w:rPr>
          <w:b/>
          <w:sz w:val="28"/>
          <w:szCs w:val="28"/>
        </w:rPr>
        <w:t xml:space="preserve">Краткая характеристика предмета экспертно-аналитического мероприятия </w:t>
      </w:r>
    </w:p>
    <w:p w:rsidR="00664EE5" w:rsidRPr="00467F9C" w:rsidRDefault="00664EE5" w:rsidP="00191861">
      <w:pPr>
        <w:autoSpaceDE w:val="0"/>
        <w:autoSpaceDN w:val="0"/>
        <w:adjustRightInd w:val="0"/>
        <w:ind w:firstLine="708"/>
        <w:jc w:val="both"/>
        <w:rPr>
          <w:b/>
          <w:sz w:val="16"/>
          <w:szCs w:val="16"/>
        </w:rPr>
      </w:pPr>
    </w:p>
    <w:p w:rsidR="00664EE5" w:rsidRPr="00467F9C" w:rsidRDefault="00664EE5" w:rsidP="00191861">
      <w:pPr>
        <w:ind w:firstLine="708"/>
        <w:jc w:val="both"/>
        <w:rPr>
          <w:sz w:val="28"/>
          <w:szCs w:val="28"/>
        </w:rPr>
      </w:pPr>
      <w:r w:rsidRPr="00467F9C">
        <w:rPr>
          <w:sz w:val="28"/>
          <w:szCs w:val="28"/>
        </w:rPr>
        <w:t xml:space="preserve">Настоящее заключение подготовлено в соответствии с полномочиями Счетной палаты, определенными Законами Чукотского автономного округа: от 24 мая 2002 года  №31-ОЗ  «О  бюджетом   процессе  в  Чукотском автономного округе» (далее – Закон о бюджетном процессе), от 30 июня 1998 года №36-ОЗ «О  Счетной палате Чукотского автономного округа», Стандартом финансового контроля «Оперативный контроль исполнения законов Чукотского автономного округа об окружном бюджете, о бюджете Чукотского территориального фонда обязательного медицинского страхования», на основе бюджетной отчетности Чукотского территориального фонда обязательного медицинского страхования  об исполнении бюджета Фонда  за  январь-март 2022 года. </w:t>
      </w:r>
    </w:p>
    <w:p w:rsidR="00664EE5" w:rsidRPr="00467F9C" w:rsidRDefault="00664EE5" w:rsidP="00191861">
      <w:pPr>
        <w:ind w:firstLine="709"/>
        <w:jc w:val="both"/>
        <w:rPr>
          <w:sz w:val="28"/>
          <w:szCs w:val="28"/>
        </w:rPr>
      </w:pPr>
      <w:r w:rsidRPr="00467F9C">
        <w:rPr>
          <w:sz w:val="28"/>
          <w:szCs w:val="28"/>
        </w:rPr>
        <w:lastRenderedPageBreak/>
        <w:t>Бюджетная отчетность Фонда за отчетный период сформирована в соответствии с требованиями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 декабря 2010 года №191н.</w:t>
      </w:r>
    </w:p>
    <w:p w:rsidR="00664EE5" w:rsidRPr="00467F9C" w:rsidRDefault="00664EE5" w:rsidP="00191861">
      <w:pPr>
        <w:ind w:firstLine="708"/>
        <w:jc w:val="both"/>
        <w:rPr>
          <w:rFonts w:eastAsiaTheme="minorHAnsi"/>
          <w:sz w:val="28"/>
          <w:szCs w:val="28"/>
          <w:lang w:eastAsia="en-US"/>
        </w:rPr>
      </w:pPr>
      <w:r w:rsidRPr="00467F9C">
        <w:rPr>
          <w:rFonts w:eastAsiaTheme="minorHAnsi"/>
          <w:sz w:val="28"/>
          <w:szCs w:val="28"/>
          <w:lang w:eastAsia="en-US"/>
        </w:rPr>
        <w:t xml:space="preserve">В соответствии со статьей 215.1 Бюджетного кодекса Российской Федерации (далее – Бюджетный кодекс), статьей 9 Закона о бюджетном процессе, организация исполнения бюджета Фонда возлагается на орган управления Фондом, исполнение бюджета обеспечивается Правительством Чукотского автономного округа. </w:t>
      </w:r>
    </w:p>
    <w:p w:rsidR="00664EE5" w:rsidRPr="00467F9C" w:rsidRDefault="00664EE5" w:rsidP="00191861">
      <w:pPr>
        <w:autoSpaceDE w:val="0"/>
        <w:autoSpaceDN w:val="0"/>
        <w:adjustRightInd w:val="0"/>
        <w:ind w:firstLine="708"/>
        <w:jc w:val="both"/>
        <w:rPr>
          <w:sz w:val="28"/>
          <w:szCs w:val="28"/>
        </w:rPr>
      </w:pPr>
      <w:r w:rsidRPr="00467F9C">
        <w:rPr>
          <w:sz w:val="28"/>
          <w:szCs w:val="28"/>
        </w:rPr>
        <w:t xml:space="preserve">Законом о бюджете Фонда доходы и расходы на 2022 год утверждены в объеме </w:t>
      </w:r>
      <w:r w:rsidRPr="00467F9C">
        <w:rPr>
          <w:rFonts w:eastAsiaTheme="minorHAnsi"/>
          <w:sz w:val="28"/>
          <w:szCs w:val="28"/>
          <w:lang w:eastAsia="en-US"/>
        </w:rPr>
        <w:t xml:space="preserve">3 684 294,9 </w:t>
      </w:r>
      <w:r w:rsidRPr="00467F9C">
        <w:rPr>
          <w:sz w:val="28"/>
          <w:szCs w:val="28"/>
        </w:rPr>
        <w:t xml:space="preserve">тыс. рублей. Бюджет Фонда сформирован с соблюдением принципа </w:t>
      </w:r>
      <w:r w:rsidRPr="00467F9C">
        <w:rPr>
          <w:rFonts w:eastAsia="Calibri"/>
          <w:sz w:val="28"/>
          <w:szCs w:val="28"/>
          <w:lang w:eastAsia="en-US"/>
        </w:rPr>
        <w:t>сбалансированности</w:t>
      </w:r>
      <w:r w:rsidRPr="00467F9C">
        <w:rPr>
          <w:sz w:val="28"/>
          <w:szCs w:val="28"/>
        </w:rPr>
        <w:t xml:space="preserve">, что соответствует требованиям статьи 33 Бюджетного кодекса. Сводной росписью расходов бюджета Фонда от 3 марта 2022 года утверждены расходы в объеме 3 691 590,0 тыс. рублей. В Закон о бюджете Фонда в отчетном периоде изменения не вносились. </w:t>
      </w:r>
    </w:p>
    <w:p w:rsidR="00664EE5" w:rsidRPr="00467F9C" w:rsidRDefault="00664EE5" w:rsidP="00191861">
      <w:pPr>
        <w:ind w:firstLine="708"/>
        <w:jc w:val="both"/>
        <w:rPr>
          <w:sz w:val="28"/>
          <w:szCs w:val="28"/>
        </w:rPr>
      </w:pPr>
      <w:r w:rsidRPr="00467F9C">
        <w:rPr>
          <w:sz w:val="28"/>
          <w:szCs w:val="28"/>
        </w:rPr>
        <w:t>Анализ исполнения бюджета Фонда за 1 квартал 2022 года проведен путем сопоставления показателей отчетности с показателями, утвержденными Законом о бюджете Фонда, сводной бюджетной росписью расходов бюджета Фонда по состоянию на 31 марта 2022 года и данных отчета об исполнении бюджета Фонда.</w:t>
      </w:r>
    </w:p>
    <w:p w:rsidR="00664EE5" w:rsidRPr="00467F9C" w:rsidRDefault="00664EE5" w:rsidP="00191861">
      <w:pPr>
        <w:ind w:firstLine="708"/>
        <w:jc w:val="both"/>
        <w:rPr>
          <w:sz w:val="28"/>
          <w:szCs w:val="28"/>
        </w:rPr>
      </w:pPr>
      <w:r w:rsidRPr="00467F9C">
        <w:rPr>
          <w:sz w:val="28"/>
          <w:szCs w:val="28"/>
        </w:rPr>
        <w:t>В январе - марте 2022 года в бюджет Фонда поступили доходы в объеме 845 372,4 тыс. рублей (22,9% от годовых бюджетных назначений), расходы составили 911 926,0 тыс. рублей (24,7% от годовых бюджетных назначений). Бюджет Фонда исполнен с дефицитом в размере 66 553,6 тыс. рублей.</w:t>
      </w:r>
    </w:p>
    <w:p w:rsidR="00664EE5" w:rsidRPr="00467F9C" w:rsidRDefault="00664EE5" w:rsidP="00191861">
      <w:pPr>
        <w:autoSpaceDE w:val="0"/>
        <w:autoSpaceDN w:val="0"/>
        <w:adjustRightInd w:val="0"/>
        <w:ind w:firstLine="708"/>
        <w:jc w:val="both"/>
        <w:rPr>
          <w:sz w:val="16"/>
          <w:szCs w:val="16"/>
        </w:rPr>
      </w:pPr>
    </w:p>
    <w:p w:rsidR="00664EE5" w:rsidRPr="00467F9C" w:rsidRDefault="00664EE5" w:rsidP="00191861">
      <w:pPr>
        <w:ind w:firstLine="709"/>
        <w:jc w:val="both"/>
        <w:rPr>
          <w:b/>
          <w:sz w:val="28"/>
          <w:szCs w:val="28"/>
        </w:rPr>
      </w:pPr>
      <w:r w:rsidRPr="00467F9C">
        <w:rPr>
          <w:b/>
          <w:sz w:val="28"/>
          <w:szCs w:val="28"/>
        </w:rPr>
        <w:t xml:space="preserve">1. Исполнение бюджета Фонда по доходам </w:t>
      </w:r>
    </w:p>
    <w:p w:rsidR="00664EE5" w:rsidRPr="00467F9C" w:rsidRDefault="00664EE5" w:rsidP="00191861">
      <w:pPr>
        <w:ind w:firstLine="709"/>
        <w:jc w:val="both"/>
        <w:rPr>
          <w:b/>
          <w:sz w:val="16"/>
          <w:szCs w:val="16"/>
        </w:rPr>
      </w:pPr>
    </w:p>
    <w:p w:rsidR="00664EE5" w:rsidRPr="00467F9C" w:rsidRDefault="00664EE5" w:rsidP="00191861">
      <w:pPr>
        <w:widowControl w:val="0"/>
        <w:autoSpaceDE w:val="0"/>
        <w:autoSpaceDN w:val="0"/>
        <w:adjustRightInd w:val="0"/>
        <w:ind w:firstLine="709"/>
        <w:jc w:val="both"/>
        <w:rPr>
          <w:sz w:val="28"/>
          <w:szCs w:val="28"/>
        </w:rPr>
      </w:pPr>
      <w:r w:rsidRPr="00467F9C">
        <w:rPr>
          <w:sz w:val="28"/>
          <w:szCs w:val="28"/>
        </w:rPr>
        <w:t xml:space="preserve">Доходы бюджета Фонда за 1 квартал 2022 года составили   845 372,4 тыс. рублей или 22,9% от годовых бюджетных назначений, и относительно доходов аналогичного периода прошлого года (857 174,3 тыс. рублей) уменьшились на 11 801,9 тыс. рублей или на 2,1 %. </w:t>
      </w:r>
    </w:p>
    <w:p w:rsidR="00664EE5" w:rsidRPr="00467F9C" w:rsidRDefault="00664EE5" w:rsidP="00191861">
      <w:pPr>
        <w:ind w:firstLine="709"/>
        <w:jc w:val="both"/>
        <w:rPr>
          <w:sz w:val="28"/>
          <w:szCs w:val="28"/>
        </w:rPr>
      </w:pPr>
      <w:r w:rsidRPr="00467F9C">
        <w:rPr>
          <w:sz w:val="28"/>
          <w:szCs w:val="28"/>
        </w:rPr>
        <w:t xml:space="preserve"> Структура доходов и анализ исполнения доходной части бюджета Фонда за январь-март 2022 года приведены в таблице 1.</w:t>
      </w:r>
    </w:p>
    <w:p w:rsidR="00664EE5" w:rsidRPr="00467F9C" w:rsidRDefault="00664EE5" w:rsidP="00191861">
      <w:pPr>
        <w:pStyle w:val="af8"/>
        <w:ind w:firstLine="709"/>
        <w:jc w:val="right"/>
        <w:rPr>
          <w:b/>
          <w:sz w:val="28"/>
          <w:szCs w:val="28"/>
        </w:rPr>
      </w:pPr>
      <w:r w:rsidRPr="00467F9C">
        <w:rPr>
          <w:sz w:val="28"/>
          <w:szCs w:val="28"/>
        </w:rPr>
        <w:t>Таблица 1 (тыс. рублей)</w:t>
      </w:r>
    </w:p>
    <w:tbl>
      <w:tblPr>
        <w:tblW w:w="9944" w:type="dxa"/>
        <w:tblInd w:w="-5" w:type="dxa"/>
        <w:tblLook w:val="04A0" w:firstRow="1" w:lastRow="0" w:firstColumn="1" w:lastColumn="0" w:noHBand="0" w:noVBand="1"/>
      </w:tblPr>
      <w:tblGrid>
        <w:gridCol w:w="5387"/>
        <w:gridCol w:w="1359"/>
        <w:gridCol w:w="924"/>
        <w:gridCol w:w="1124"/>
        <w:gridCol w:w="1150"/>
      </w:tblGrid>
      <w:tr w:rsidR="00D135AC" w:rsidRPr="00AC77CF" w:rsidTr="003119CB">
        <w:trPr>
          <w:trHeight w:val="192"/>
          <w:tblHeader/>
        </w:trPr>
        <w:tc>
          <w:tcPr>
            <w:tcW w:w="5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35AC" w:rsidRPr="00AC77CF" w:rsidRDefault="00D135AC" w:rsidP="00191861">
            <w:pPr>
              <w:jc w:val="center"/>
              <w:rPr>
                <w:b/>
                <w:sz w:val="20"/>
                <w:szCs w:val="20"/>
              </w:rPr>
            </w:pPr>
            <w:r w:rsidRPr="00AC77CF">
              <w:rPr>
                <w:b/>
                <w:sz w:val="20"/>
                <w:szCs w:val="20"/>
              </w:rPr>
              <w:t>Наименование показателя</w:t>
            </w:r>
          </w:p>
        </w:tc>
        <w:tc>
          <w:tcPr>
            <w:tcW w:w="1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35AC" w:rsidRPr="00AC77CF" w:rsidRDefault="00D135AC" w:rsidP="00AC77CF">
            <w:pPr>
              <w:ind w:left="-103" w:right="-62"/>
              <w:jc w:val="center"/>
              <w:rPr>
                <w:b/>
                <w:sz w:val="20"/>
                <w:szCs w:val="20"/>
              </w:rPr>
            </w:pPr>
            <w:r w:rsidRPr="00AC77CF">
              <w:rPr>
                <w:b/>
                <w:sz w:val="20"/>
                <w:szCs w:val="20"/>
              </w:rPr>
              <w:t>Утверждены ассигнования</w:t>
            </w:r>
          </w:p>
        </w:tc>
        <w:tc>
          <w:tcPr>
            <w:tcW w:w="2048" w:type="dxa"/>
            <w:gridSpan w:val="2"/>
            <w:tcBorders>
              <w:top w:val="single" w:sz="4" w:space="0" w:color="auto"/>
              <w:left w:val="nil"/>
              <w:bottom w:val="single" w:sz="4" w:space="0" w:color="auto"/>
              <w:right w:val="single" w:sz="4" w:space="0" w:color="auto"/>
            </w:tcBorders>
            <w:shd w:val="clear" w:color="auto" w:fill="auto"/>
            <w:noWrap/>
            <w:vAlign w:val="center"/>
            <w:hideMark/>
          </w:tcPr>
          <w:p w:rsidR="00D135AC" w:rsidRPr="00AC77CF" w:rsidRDefault="00D135AC" w:rsidP="00191861">
            <w:pPr>
              <w:jc w:val="center"/>
              <w:rPr>
                <w:b/>
                <w:sz w:val="20"/>
                <w:szCs w:val="20"/>
              </w:rPr>
            </w:pPr>
            <w:r w:rsidRPr="00AC77CF">
              <w:rPr>
                <w:b/>
                <w:sz w:val="20"/>
                <w:szCs w:val="20"/>
              </w:rPr>
              <w:t>Исполнение</w:t>
            </w:r>
          </w:p>
        </w:tc>
        <w:tc>
          <w:tcPr>
            <w:tcW w:w="1150" w:type="dxa"/>
            <w:vMerge w:val="restart"/>
            <w:tcBorders>
              <w:top w:val="single" w:sz="4" w:space="0" w:color="auto"/>
              <w:left w:val="single" w:sz="4" w:space="0" w:color="auto"/>
              <w:right w:val="single" w:sz="4" w:space="0" w:color="auto"/>
            </w:tcBorders>
            <w:shd w:val="clear" w:color="auto" w:fill="auto"/>
            <w:vAlign w:val="center"/>
            <w:hideMark/>
          </w:tcPr>
          <w:p w:rsidR="00D135AC" w:rsidRPr="00AC77CF" w:rsidRDefault="00D135AC" w:rsidP="00AC77CF">
            <w:pPr>
              <w:ind w:left="-45" w:right="-97"/>
              <w:jc w:val="center"/>
              <w:rPr>
                <w:b/>
                <w:sz w:val="20"/>
                <w:szCs w:val="20"/>
              </w:rPr>
            </w:pPr>
            <w:r w:rsidRPr="00AC77CF">
              <w:rPr>
                <w:b/>
                <w:sz w:val="20"/>
                <w:szCs w:val="20"/>
              </w:rPr>
              <w:t>Структура доходов, %</w:t>
            </w:r>
          </w:p>
        </w:tc>
      </w:tr>
      <w:tr w:rsidR="00D135AC" w:rsidRPr="00AC77CF" w:rsidTr="003119CB">
        <w:trPr>
          <w:trHeight w:val="480"/>
          <w:tblHeader/>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D135AC" w:rsidRPr="00AC77CF" w:rsidRDefault="00D135AC" w:rsidP="00191861">
            <w:pPr>
              <w:rPr>
                <w:sz w:val="20"/>
                <w:szCs w:val="20"/>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rsidR="00D135AC" w:rsidRPr="00AC77CF" w:rsidRDefault="00D135AC" w:rsidP="00191861">
            <w:pPr>
              <w:rPr>
                <w:sz w:val="20"/>
                <w:szCs w:val="20"/>
              </w:rPr>
            </w:pPr>
          </w:p>
        </w:tc>
        <w:tc>
          <w:tcPr>
            <w:tcW w:w="924" w:type="dxa"/>
            <w:tcBorders>
              <w:top w:val="nil"/>
              <w:left w:val="nil"/>
              <w:bottom w:val="single" w:sz="4" w:space="0" w:color="auto"/>
              <w:right w:val="single" w:sz="4" w:space="0" w:color="auto"/>
            </w:tcBorders>
            <w:shd w:val="clear" w:color="auto" w:fill="auto"/>
            <w:vAlign w:val="center"/>
            <w:hideMark/>
          </w:tcPr>
          <w:p w:rsidR="00D135AC" w:rsidRPr="00AC77CF" w:rsidRDefault="00D135AC" w:rsidP="00D135AC">
            <w:pPr>
              <w:ind w:left="-192" w:right="-167"/>
              <w:jc w:val="center"/>
              <w:rPr>
                <w:b/>
                <w:sz w:val="20"/>
                <w:szCs w:val="20"/>
              </w:rPr>
            </w:pPr>
            <w:r w:rsidRPr="00AC77CF">
              <w:rPr>
                <w:b/>
                <w:sz w:val="20"/>
                <w:szCs w:val="20"/>
              </w:rPr>
              <w:t>сумма</w:t>
            </w:r>
          </w:p>
        </w:tc>
        <w:tc>
          <w:tcPr>
            <w:tcW w:w="1124" w:type="dxa"/>
            <w:tcBorders>
              <w:top w:val="nil"/>
              <w:left w:val="nil"/>
              <w:bottom w:val="single" w:sz="4" w:space="0" w:color="auto"/>
              <w:right w:val="single" w:sz="4" w:space="0" w:color="auto"/>
            </w:tcBorders>
            <w:shd w:val="clear" w:color="auto" w:fill="auto"/>
            <w:vAlign w:val="center"/>
            <w:hideMark/>
          </w:tcPr>
          <w:p w:rsidR="00D135AC" w:rsidRPr="00AC77CF" w:rsidRDefault="00D135AC" w:rsidP="00AC77CF">
            <w:pPr>
              <w:ind w:left="-199" w:right="-160"/>
              <w:jc w:val="center"/>
              <w:rPr>
                <w:b/>
                <w:sz w:val="20"/>
                <w:szCs w:val="20"/>
              </w:rPr>
            </w:pPr>
            <w:r w:rsidRPr="00AC77CF">
              <w:rPr>
                <w:b/>
                <w:sz w:val="20"/>
                <w:szCs w:val="20"/>
              </w:rPr>
              <w:t xml:space="preserve">к плану, %         </w:t>
            </w:r>
            <w:proofErr w:type="gramStart"/>
            <w:r w:rsidRPr="00AC77CF">
              <w:rPr>
                <w:b/>
                <w:sz w:val="20"/>
                <w:szCs w:val="20"/>
              </w:rPr>
              <w:t xml:space="preserve">   (</w:t>
            </w:r>
            <w:proofErr w:type="gramEnd"/>
            <w:r w:rsidRPr="00AC77CF">
              <w:rPr>
                <w:b/>
                <w:sz w:val="20"/>
                <w:szCs w:val="20"/>
              </w:rPr>
              <w:t>гр.3/гр.2)</w:t>
            </w:r>
          </w:p>
        </w:tc>
        <w:tc>
          <w:tcPr>
            <w:tcW w:w="1150" w:type="dxa"/>
            <w:vMerge/>
            <w:tcBorders>
              <w:left w:val="single" w:sz="4" w:space="0" w:color="auto"/>
              <w:bottom w:val="single" w:sz="4" w:space="0" w:color="auto"/>
              <w:right w:val="single" w:sz="4" w:space="0" w:color="auto"/>
            </w:tcBorders>
            <w:vAlign w:val="center"/>
            <w:hideMark/>
          </w:tcPr>
          <w:p w:rsidR="00D135AC" w:rsidRPr="00AC77CF" w:rsidRDefault="00D135AC" w:rsidP="00191861">
            <w:pPr>
              <w:rPr>
                <w:sz w:val="20"/>
                <w:szCs w:val="20"/>
              </w:rPr>
            </w:pPr>
          </w:p>
        </w:tc>
      </w:tr>
      <w:tr w:rsidR="00664EE5" w:rsidRPr="00AC77CF" w:rsidTr="00D135AC">
        <w:trPr>
          <w:trHeight w:val="91"/>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rsidR="00664EE5" w:rsidRPr="00AC77CF" w:rsidRDefault="00664EE5" w:rsidP="00191861">
            <w:pPr>
              <w:jc w:val="center"/>
              <w:rPr>
                <w:sz w:val="20"/>
                <w:szCs w:val="20"/>
              </w:rPr>
            </w:pPr>
            <w:r w:rsidRPr="00AC77CF">
              <w:rPr>
                <w:sz w:val="20"/>
                <w:szCs w:val="20"/>
              </w:rPr>
              <w:t>1</w:t>
            </w:r>
          </w:p>
        </w:tc>
        <w:tc>
          <w:tcPr>
            <w:tcW w:w="1359" w:type="dxa"/>
            <w:tcBorders>
              <w:top w:val="nil"/>
              <w:left w:val="nil"/>
              <w:bottom w:val="single" w:sz="4" w:space="0" w:color="auto"/>
              <w:right w:val="single" w:sz="4" w:space="0" w:color="auto"/>
            </w:tcBorders>
            <w:shd w:val="clear" w:color="000000" w:fill="FFFFFF"/>
            <w:vAlign w:val="center"/>
            <w:hideMark/>
          </w:tcPr>
          <w:p w:rsidR="00664EE5" w:rsidRPr="00AC77CF" w:rsidRDefault="00664EE5" w:rsidP="00191861">
            <w:pPr>
              <w:jc w:val="center"/>
              <w:rPr>
                <w:sz w:val="20"/>
                <w:szCs w:val="20"/>
              </w:rPr>
            </w:pPr>
            <w:r w:rsidRPr="00AC77CF">
              <w:rPr>
                <w:sz w:val="20"/>
                <w:szCs w:val="20"/>
              </w:rPr>
              <w:t>2</w:t>
            </w:r>
          </w:p>
        </w:tc>
        <w:tc>
          <w:tcPr>
            <w:tcW w:w="924" w:type="dxa"/>
            <w:tcBorders>
              <w:top w:val="nil"/>
              <w:left w:val="nil"/>
              <w:bottom w:val="single" w:sz="4" w:space="0" w:color="auto"/>
              <w:right w:val="single" w:sz="4" w:space="0" w:color="auto"/>
            </w:tcBorders>
            <w:shd w:val="clear" w:color="000000" w:fill="FFFFFF"/>
            <w:vAlign w:val="center"/>
            <w:hideMark/>
          </w:tcPr>
          <w:p w:rsidR="00664EE5" w:rsidRPr="00AC77CF" w:rsidRDefault="00664EE5" w:rsidP="00D135AC">
            <w:pPr>
              <w:ind w:left="-192" w:right="-167"/>
              <w:jc w:val="center"/>
              <w:rPr>
                <w:sz w:val="20"/>
                <w:szCs w:val="20"/>
              </w:rPr>
            </w:pPr>
            <w:r w:rsidRPr="00AC77CF">
              <w:rPr>
                <w:sz w:val="20"/>
                <w:szCs w:val="20"/>
              </w:rPr>
              <w:t>3</w:t>
            </w:r>
          </w:p>
        </w:tc>
        <w:tc>
          <w:tcPr>
            <w:tcW w:w="1124" w:type="dxa"/>
            <w:tcBorders>
              <w:top w:val="nil"/>
              <w:left w:val="nil"/>
              <w:bottom w:val="single" w:sz="4" w:space="0" w:color="auto"/>
              <w:right w:val="single" w:sz="4" w:space="0" w:color="auto"/>
            </w:tcBorders>
            <w:shd w:val="clear" w:color="auto" w:fill="auto"/>
            <w:vAlign w:val="center"/>
            <w:hideMark/>
          </w:tcPr>
          <w:p w:rsidR="00664EE5" w:rsidRPr="00AC77CF" w:rsidRDefault="00664EE5" w:rsidP="00191861">
            <w:pPr>
              <w:jc w:val="center"/>
              <w:rPr>
                <w:sz w:val="20"/>
                <w:szCs w:val="20"/>
              </w:rPr>
            </w:pPr>
            <w:r w:rsidRPr="00AC77CF">
              <w:rPr>
                <w:sz w:val="20"/>
                <w:szCs w:val="20"/>
              </w:rPr>
              <w:t>4</w:t>
            </w:r>
          </w:p>
        </w:tc>
        <w:tc>
          <w:tcPr>
            <w:tcW w:w="1150" w:type="dxa"/>
            <w:tcBorders>
              <w:top w:val="nil"/>
              <w:left w:val="nil"/>
              <w:bottom w:val="single" w:sz="4" w:space="0" w:color="auto"/>
              <w:right w:val="single" w:sz="4" w:space="0" w:color="auto"/>
            </w:tcBorders>
            <w:shd w:val="clear" w:color="auto" w:fill="auto"/>
            <w:vAlign w:val="center"/>
            <w:hideMark/>
          </w:tcPr>
          <w:p w:rsidR="00664EE5" w:rsidRPr="00AC77CF" w:rsidRDefault="00664EE5" w:rsidP="00191861">
            <w:pPr>
              <w:jc w:val="center"/>
              <w:rPr>
                <w:sz w:val="20"/>
                <w:szCs w:val="20"/>
              </w:rPr>
            </w:pPr>
            <w:r w:rsidRPr="00AC77CF">
              <w:rPr>
                <w:sz w:val="20"/>
                <w:szCs w:val="20"/>
              </w:rPr>
              <w:t>5</w:t>
            </w:r>
          </w:p>
        </w:tc>
      </w:tr>
      <w:tr w:rsidR="00664EE5" w:rsidRPr="00AC77CF" w:rsidTr="00D135AC">
        <w:trPr>
          <w:trHeight w:val="91"/>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rsidR="00664EE5" w:rsidRPr="00BB43C2" w:rsidRDefault="00664EE5" w:rsidP="00191861">
            <w:pPr>
              <w:rPr>
                <w:b/>
                <w:bCs/>
                <w:sz w:val="19"/>
                <w:szCs w:val="19"/>
              </w:rPr>
            </w:pPr>
            <w:r w:rsidRPr="00BB43C2">
              <w:rPr>
                <w:b/>
                <w:bCs/>
                <w:sz w:val="19"/>
                <w:szCs w:val="19"/>
              </w:rPr>
              <w:t xml:space="preserve"> ДОХОДЫ</w:t>
            </w:r>
          </w:p>
        </w:tc>
        <w:tc>
          <w:tcPr>
            <w:tcW w:w="1359" w:type="dxa"/>
            <w:tcBorders>
              <w:top w:val="nil"/>
              <w:left w:val="nil"/>
              <w:bottom w:val="single" w:sz="4" w:space="0" w:color="auto"/>
              <w:right w:val="single" w:sz="4" w:space="0" w:color="auto"/>
            </w:tcBorders>
            <w:shd w:val="clear" w:color="000000" w:fill="FFFFFF"/>
            <w:vAlign w:val="center"/>
            <w:hideMark/>
          </w:tcPr>
          <w:p w:rsidR="00664EE5" w:rsidRPr="00AC77CF" w:rsidRDefault="00664EE5" w:rsidP="00191861">
            <w:pPr>
              <w:jc w:val="center"/>
              <w:rPr>
                <w:b/>
                <w:bCs/>
                <w:sz w:val="20"/>
                <w:szCs w:val="20"/>
              </w:rPr>
            </w:pPr>
            <w:r w:rsidRPr="00AC77CF">
              <w:rPr>
                <w:b/>
                <w:bCs/>
                <w:sz w:val="20"/>
                <w:szCs w:val="20"/>
              </w:rPr>
              <w:t>3 684 294,9</w:t>
            </w:r>
          </w:p>
        </w:tc>
        <w:tc>
          <w:tcPr>
            <w:tcW w:w="924" w:type="dxa"/>
            <w:tcBorders>
              <w:top w:val="nil"/>
              <w:left w:val="nil"/>
              <w:bottom w:val="single" w:sz="4" w:space="0" w:color="auto"/>
              <w:right w:val="single" w:sz="4" w:space="0" w:color="auto"/>
            </w:tcBorders>
            <w:shd w:val="clear" w:color="000000" w:fill="FFFFFF"/>
            <w:vAlign w:val="center"/>
            <w:hideMark/>
          </w:tcPr>
          <w:p w:rsidR="00664EE5" w:rsidRPr="00AC77CF" w:rsidRDefault="00664EE5" w:rsidP="00D135AC">
            <w:pPr>
              <w:ind w:left="-192" w:right="-167"/>
              <w:jc w:val="center"/>
              <w:rPr>
                <w:b/>
                <w:bCs/>
                <w:sz w:val="20"/>
                <w:szCs w:val="20"/>
              </w:rPr>
            </w:pPr>
            <w:r w:rsidRPr="00AC77CF">
              <w:rPr>
                <w:b/>
                <w:bCs/>
                <w:sz w:val="20"/>
                <w:szCs w:val="20"/>
              </w:rPr>
              <w:t>845 372,4</w:t>
            </w:r>
          </w:p>
        </w:tc>
        <w:tc>
          <w:tcPr>
            <w:tcW w:w="1124" w:type="dxa"/>
            <w:tcBorders>
              <w:top w:val="nil"/>
              <w:left w:val="nil"/>
              <w:bottom w:val="single" w:sz="4" w:space="0" w:color="auto"/>
              <w:right w:val="single" w:sz="4" w:space="0" w:color="auto"/>
            </w:tcBorders>
            <w:shd w:val="clear" w:color="auto" w:fill="auto"/>
            <w:vAlign w:val="center"/>
            <w:hideMark/>
          </w:tcPr>
          <w:p w:rsidR="00664EE5" w:rsidRPr="00AC77CF" w:rsidRDefault="00664EE5" w:rsidP="00191861">
            <w:pPr>
              <w:jc w:val="center"/>
              <w:rPr>
                <w:b/>
                <w:bCs/>
                <w:sz w:val="20"/>
                <w:szCs w:val="20"/>
              </w:rPr>
            </w:pPr>
            <w:r w:rsidRPr="00AC77CF">
              <w:rPr>
                <w:b/>
                <w:bCs/>
                <w:sz w:val="20"/>
                <w:szCs w:val="20"/>
              </w:rPr>
              <w:t>22,9</w:t>
            </w:r>
          </w:p>
        </w:tc>
        <w:tc>
          <w:tcPr>
            <w:tcW w:w="1150" w:type="dxa"/>
            <w:tcBorders>
              <w:top w:val="nil"/>
              <w:left w:val="nil"/>
              <w:bottom w:val="single" w:sz="4" w:space="0" w:color="auto"/>
              <w:right w:val="single" w:sz="4" w:space="0" w:color="auto"/>
            </w:tcBorders>
            <w:shd w:val="clear" w:color="auto" w:fill="auto"/>
            <w:vAlign w:val="center"/>
            <w:hideMark/>
          </w:tcPr>
          <w:p w:rsidR="00664EE5" w:rsidRPr="00AC77CF" w:rsidRDefault="00664EE5" w:rsidP="00191861">
            <w:pPr>
              <w:jc w:val="center"/>
              <w:rPr>
                <w:b/>
                <w:bCs/>
                <w:sz w:val="20"/>
                <w:szCs w:val="20"/>
              </w:rPr>
            </w:pPr>
            <w:r w:rsidRPr="00AC77CF">
              <w:rPr>
                <w:b/>
                <w:bCs/>
                <w:sz w:val="20"/>
                <w:szCs w:val="20"/>
              </w:rPr>
              <w:t>100,0</w:t>
            </w:r>
          </w:p>
        </w:tc>
      </w:tr>
      <w:tr w:rsidR="00664EE5" w:rsidRPr="00AC77CF" w:rsidTr="00D135AC">
        <w:trPr>
          <w:trHeight w:val="212"/>
        </w:trPr>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4EE5" w:rsidRPr="00BB43C2" w:rsidRDefault="00664EE5" w:rsidP="00191861">
            <w:pPr>
              <w:rPr>
                <w:b/>
                <w:bCs/>
                <w:sz w:val="19"/>
                <w:szCs w:val="19"/>
              </w:rPr>
            </w:pPr>
            <w:r w:rsidRPr="00BB43C2">
              <w:rPr>
                <w:b/>
                <w:bCs/>
                <w:sz w:val="19"/>
                <w:szCs w:val="19"/>
              </w:rPr>
              <w:t xml:space="preserve">НАЛОГОВЫЕ И НЕНАЛОГОВЫЕ ДОХОДЫ </w:t>
            </w:r>
          </w:p>
        </w:tc>
        <w:tc>
          <w:tcPr>
            <w:tcW w:w="13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64EE5" w:rsidRPr="00AC77CF" w:rsidRDefault="00664EE5" w:rsidP="00191861">
            <w:pPr>
              <w:jc w:val="center"/>
              <w:rPr>
                <w:b/>
                <w:bCs/>
                <w:sz w:val="20"/>
                <w:szCs w:val="20"/>
              </w:rPr>
            </w:pPr>
            <w:r w:rsidRPr="00AC77CF">
              <w:rPr>
                <w:b/>
                <w:bCs/>
                <w:sz w:val="20"/>
                <w:szCs w:val="20"/>
              </w:rPr>
              <w:t>14 000,0</w:t>
            </w:r>
          </w:p>
        </w:tc>
        <w:tc>
          <w:tcPr>
            <w:tcW w:w="92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64EE5" w:rsidRPr="00AC77CF" w:rsidRDefault="00664EE5" w:rsidP="00D135AC">
            <w:pPr>
              <w:ind w:left="-192" w:right="-167"/>
              <w:jc w:val="center"/>
              <w:rPr>
                <w:b/>
                <w:bCs/>
                <w:sz w:val="20"/>
                <w:szCs w:val="20"/>
              </w:rPr>
            </w:pPr>
            <w:r w:rsidRPr="00AC77CF">
              <w:rPr>
                <w:b/>
                <w:bCs/>
                <w:sz w:val="20"/>
                <w:szCs w:val="20"/>
              </w:rPr>
              <w:t>1 768,4</w:t>
            </w:r>
          </w:p>
        </w:tc>
        <w:tc>
          <w:tcPr>
            <w:tcW w:w="112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64EE5" w:rsidRPr="00AC77CF" w:rsidRDefault="00664EE5" w:rsidP="00191861">
            <w:pPr>
              <w:jc w:val="center"/>
              <w:rPr>
                <w:b/>
                <w:bCs/>
                <w:sz w:val="20"/>
                <w:szCs w:val="20"/>
              </w:rPr>
            </w:pPr>
            <w:r w:rsidRPr="00AC77CF">
              <w:rPr>
                <w:b/>
                <w:bCs/>
                <w:sz w:val="20"/>
                <w:szCs w:val="20"/>
              </w:rPr>
              <w:t>12,6</w:t>
            </w:r>
          </w:p>
        </w:tc>
        <w:tc>
          <w:tcPr>
            <w:tcW w:w="11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64EE5" w:rsidRPr="00AC77CF" w:rsidRDefault="00664EE5" w:rsidP="00191861">
            <w:pPr>
              <w:jc w:val="center"/>
              <w:rPr>
                <w:b/>
                <w:bCs/>
                <w:sz w:val="20"/>
                <w:szCs w:val="20"/>
              </w:rPr>
            </w:pPr>
            <w:r w:rsidRPr="00AC77CF">
              <w:rPr>
                <w:b/>
                <w:bCs/>
                <w:sz w:val="20"/>
                <w:szCs w:val="20"/>
              </w:rPr>
              <w:t>0,2</w:t>
            </w:r>
          </w:p>
        </w:tc>
      </w:tr>
      <w:tr w:rsidR="00664EE5" w:rsidRPr="00AC77CF" w:rsidTr="00D135AC">
        <w:trPr>
          <w:trHeight w:val="303"/>
        </w:trPr>
        <w:tc>
          <w:tcPr>
            <w:tcW w:w="5387" w:type="dxa"/>
            <w:tcBorders>
              <w:top w:val="nil"/>
              <w:left w:val="single" w:sz="4" w:space="0" w:color="auto"/>
              <w:bottom w:val="single" w:sz="4" w:space="0" w:color="auto"/>
              <w:right w:val="single" w:sz="4" w:space="0" w:color="auto"/>
            </w:tcBorders>
            <w:shd w:val="clear" w:color="auto" w:fill="auto"/>
            <w:hideMark/>
          </w:tcPr>
          <w:p w:rsidR="00664EE5" w:rsidRDefault="00664EE5" w:rsidP="00191861">
            <w:pPr>
              <w:rPr>
                <w:sz w:val="19"/>
                <w:szCs w:val="19"/>
              </w:rPr>
            </w:pPr>
            <w:r w:rsidRPr="00BB43C2">
              <w:rPr>
                <w:sz w:val="19"/>
                <w:szCs w:val="19"/>
              </w:rPr>
              <w:t xml:space="preserve">Доходы от оказания платных услуг (работ) и компенсации затрат государства  </w:t>
            </w:r>
          </w:p>
          <w:p w:rsidR="0069779E" w:rsidRPr="0069779E" w:rsidRDefault="0069779E" w:rsidP="00191861">
            <w:pPr>
              <w:rPr>
                <w:sz w:val="4"/>
                <w:szCs w:val="4"/>
              </w:rPr>
            </w:pPr>
          </w:p>
          <w:p w:rsidR="00D135AC" w:rsidRPr="00BB43C2" w:rsidRDefault="00D135AC" w:rsidP="00191861">
            <w:pPr>
              <w:rPr>
                <w:sz w:val="19"/>
                <w:szCs w:val="19"/>
              </w:rPr>
            </w:pPr>
          </w:p>
        </w:tc>
        <w:tc>
          <w:tcPr>
            <w:tcW w:w="1359" w:type="dxa"/>
            <w:tcBorders>
              <w:top w:val="nil"/>
              <w:left w:val="nil"/>
              <w:bottom w:val="single" w:sz="4" w:space="0" w:color="auto"/>
              <w:right w:val="single" w:sz="4" w:space="0" w:color="auto"/>
            </w:tcBorders>
            <w:shd w:val="clear" w:color="000000" w:fill="FFFFFF"/>
            <w:vAlign w:val="center"/>
          </w:tcPr>
          <w:p w:rsidR="00664EE5" w:rsidRPr="00AC77CF" w:rsidRDefault="00664EE5" w:rsidP="00191861">
            <w:pPr>
              <w:jc w:val="center"/>
              <w:rPr>
                <w:sz w:val="20"/>
                <w:szCs w:val="20"/>
              </w:rPr>
            </w:pPr>
            <w:r w:rsidRPr="00AC77CF">
              <w:rPr>
                <w:bCs/>
                <w:sz w:val="20"/>
                <w:szCs w:val="20"/>
              </w:rPr>
              <w:t>14 000,0</w:t>
            </w:r>
          </w:p>
        </w:tc>
        <w:tc>
          <w:tcPr>
            <w:tcW w:w="924" w:type="dxa"/>
            <w:tcBorders>
              <w:top w:val="nil"/>
              <w:left w:val="nil"/>
              <w:bottom w:val="single" w:sz="4" w:space="0" w:color="auto"/>
              <w:right w:val="single" w:sz="4" w:space="0" w:color="auto"/>
            </w:tcBorders>
            <w:shd w:val="clear" w:color="000000" w:fill="FFFFFF"/>
            <w:vAlign w:val="center"/>
          </w:tcPr>
          <w:p w:rsidR="00664EE5" w:rsidRPr="00AC77CF" w:rsidRDefault="00664EE5" w:rsidP="00D135AC">
            <w:pPr>
              <w:ind w:left="-192" w:right="-167"/>
              <w:jc w:val="center"/>
              <w:rPr>
                <w:sz w:val="20"/>
                <w:szCs w:val="20"/>
              </w:rPr>
            </w:pPr>
            <w:r w:rsidRPr="00AC77CF">
              <w:rPr>
                <w:sz w:val="20"/>
                <w:szCs w:val="20"/>
              </w:rPr>
              <w:t>1 115,8</w:t>
            </w:r>
          </w:p>
        </w:tc>
        <w:tc>
          <w:tcPr>
            <w:tcW w:w="1124" w:type="dxa"/>
            <w:tcBorders>
              <w:top w:val="nil"/>
              <w:left w:val="nil"/>
              <w:bottom w:val="single" w:sz="4" w:space="0" w:color="auto"/>
              <w:right w:val="single" w:sz="4" w:space="0" w:color="auto"/>
            </w:tcBorders>
            <w:shd w:val="clear" w:color="auto" w:fill="auto"/>
            <w:vAlign w:val="center"/>
          </w:tcPr>
          <w:p w:rsidR="00664EE5" w:rsidRPr="00AC77CF" w:rsidRDefault="00664EE5" w:rsidP="00191861">
            <w:pPr>
              <w:jc w:val="center"/>
              <w:rPr>
                <w:sz w:val="20"/>
                <w:szCs w:val="20"/>
              </w:rPr>
            </w:pPr>
            <w:r w:rsidRPr="00AC77CF">
              <w:rPr>
                <w:sz w:val="20"/>
                <w:szCs w:val="20"/>
              </w:rPr>
              <w:t>8,0</w:t>
            </w:r>
          </w:p>
        </w:tc>
        <w:tc>
          <w:tcPr>
            <w:tcW w:w="1150" w:type="dxa"/>
            <w:tcBorders>
              <w:top w:val="nil"/>
              <w:left w:val="nil"/>
              <w:bottom w:val="single" w:sz="4" w:space="0" w:color="auto"/>
              <w:right w:val="single" w:sz="4" w:space="0" w:color="auto"/>
            </w:tcBorders>
            <w:shd w:val="clear" w:color="auto" w:fill="auto"/>
            <w:vAlign w:val="center"/>
          </w:tcPr>
          <w:p w:rsidR="00664EE5" w:rsidRPr="00AC77CF" w:rsidRDefault="00664EE5" w:rsidP="00191861">
            <w:pPr>
              <w:jc w:val="center"/>
              <w:rPr>
                <w:sz w:val="20"/>
                <w:szCs w:val="20"/>
              </w:rPr>
            </w:pPr>
            <w:r w:rsidRPr="00AC77CF">
              <w:rPr>
                <w:sz w:val="20"/>
                <w:szCs w:val="20"/>
              </w:rPr>
              <w:t>0,1</w:t>
            </w:r>
          </w:p>
        </w:tc>
      </w:tr>
      <w:tr w:rsidR="00664EE5" w:rsidRPr="00AC77CF" w:rsidTr="00D135AC">
        <w:trPr>
          <w:trHeight w:val="135"/>
        </w:trPr>
        <w:tc>
          <w:tcPr>
            <w:tcW w:w="5387" w:type="dxa"/>
            <w:tcBorders>
              <w:top w:val="nil"/>
              <w:left w:val="single" w:sz="4" w:space="0" w:color="auto"/>
              <w:bottom w:val="single" w:sz="4" w:space="0" w:color="auto"/>
              <w:right w:val="single" w:sz="4" w:space="0" w:color="auto"/>
            </w:tcBorders>
            <w:shd w:val="clear" w:color="auto" w:fill="auto"/>
            <w:hideMark/>
          </w:tcPr>
          <w:p w:rsidR="00664EE5" w:rsidRDefault="00664EE5" w:rsidP="00191861">
            <w:pPr>
              <w:rPr>
                <w:sz w:val="19"/>
                <w:szCs w:val="19"/>
              </w:rPr>
            </w:pPr>
            <w:r w:rsidRPr="00BB43C2">
              <w:rPr>
                <w:sz w:val="19"/>
                <w:szCs w:val="19"/>
              </w:rPr>
              <w:t xml:space="preserve">Штрафы, санкции, возмещение ущерба </w:t>
            </w:r>
          </w:p>
          <w:p w:rsidR="0069779E" w:rsidRPr="0069779E" w:rsidRDefault="0069779E" w:rsidP="00191861">
            <w:pPr>
              <w:rPr>
                <w:sz w:val="4"/>
                <w:szCs w:val="4"/>
              </w:rPr>
            </w:pPr>
          </w:p>
          <w:p w:rsidR="00AC77CF" w:rsidRPr="00BB43C2" w:rsidRDefault="00AC77CF" w:rsidP="00191861">
            <w:pPr>
              <w:rPr>
                <w:sz w:val="19"/>
                <w:szCs w:val="19"/>
              </w:rPr>
            </w:pPr>
          </w:p>
        </w:tc>
        <w:tc>
          <w:tcPr>
            <w:tcW w:w="1359" w:type="dxa"/>
            <w:tcBorders>
              <w:top w:val="nil"/>
              <w:left w:val="nil"/>
              <w:bottom w:val="single" w:sz="4" w:space="0" w:color="auto"/>
              <w:right w:val="single" w:sz="4" w:space="0" w:color="auto"/>
            </w:tcBorders>
            <w:shd w:val="clear" w:color="000000" w:fill="FFFFFF"/>
            <w:vAlign w:val="center"/>
          </w:tcPr>
          <w:p w:rsidR="00664EE5" w:rsidRPr="00AC77CF" w:rsidRDefault="00664EE5" w:rsidP="00191861">
            <w:pPr>
              <w:jc w:val="center"/>
              <w:rPr>
                <w:sz w:val="20"/>
                <w:szCs w:val="20"/>
              </w:rPr>
            </w:pPr>
            <w:r w:rsidRPr="00AC77CF">
              <w:rPr>
                <w:sz w:val="20"/>
                <w:szCs w:val="20"/>
              </w:rPr>
              <w:t>-</w:t>
            </w:r>
          </w:p>
        </w:tc>
        <w:tc>
          <w:tcPr>
            <w:tcW w:w="924" w:type="dxa"/>
            <w:tcBorders>
              <w:top w:val="nil"/>
              <w:left w:val="nil"/>
              <w:bottom w:val="single" w:sz="4" w:space="0" w:color="auto"/>
              <w:right w:val="single" w:sz="4" w:space="0" w:color="auto"/>
            </w:tcBorders>
            <w:shd w:val="clear" w:color="000000" w:fill="FFFFFF"/>
            <w:vAlign w:val="center"/>
          </w:tcPr>
          <w:p w:rsidR="00664EE5" w:rsidRPr="00AC77CF" w:rsidRDefault="00664EE5" w:rsidP="00D135AC">
            <w:pPr>
              <w:ind w:left="-192" w:right="-167"/>
              <w:jc w:val="center"/>
              <w:rPr>
                <w:sz w:val="20"/>
                <w:szCs w:val="20"/>
              </w:rPr>
            </w:pPr>
            <w:r w:rsidRPr="00AC77CF">
              <w:rPr>
                <w:sz w:val="20"/>
                <w:szCs w:val="20"/>
              </w:rPr>
              <w:t>652,6</w:t>
            </w:r>
          </w:p>
        </w:tc>
        <w:tc>
          <w:tcPr>
            <w:tcW w:w="1124" w:type="dxa"/>
            <w:tcBorders>
              <w:top w:val="nil"/>
              <w:left w:val="nil"/>
              <w:bottom w:val="single" w:sz="4" w:space="0" w:color="auto"/>
              <w:right w:val="single" w:sz="4" w:space="0" w:color="auto"/>
            </w:tcBorders>
            <w:shd w:val="clear" w:color="auto" w:fill="auto"/>
            <w:vAlign w:val="center"/>
          </w:tcPr>
          <w:p w:rsidR="00664EE5" w:rsidRPr="00AC77CF" w:rsidRDefault="00664EE5" w:rsidP="00191861">
            <w:pPr>
              <w:jc w:val="center"/>
              <w:rPr>
                <w:sz w:val="20"/>
                <w:szCs w:val="20"/>
              </w:rPr>
            </w:pPr>
            <w:r w:rsidRPr="00AC77CF">
              <w:rPr>
                <w:sz w:val="20"/>
                <w:szCs w:val="20"/>
              </w:rPr>
              <w:t>-</w:t>
            </w:r>
          </w:p>
        </w:tc>
        <w:tc>
          <w:tcPr>
            <w:tcW w:w="1150" w:type="dxa"/>
            <w:tcBorders>
              <w:top w:val="nil"/>
              <w:left w:val="nil"/>
              <w:bottom w:val="single" w:sz="4" w:space="0" w:color="auto"/>
              <w:right w:val="single" w:sz="4" w:space="0" w:color="auto"/>
            </w:tcBorders>
            <w:shd w:val="clear" w:color="auto" w:fill="auto"/>
            <w:vAlign w:val="center"/>
          </w:tcPr>
          <w:p w:rsidR="00664EE5" w:rsidRPr="00AC77CF" w:rsidRDefault="00664EE5" w:rsidP="00191861">
            <w:pPr>
              <w:jc w:val="center"/>
              <w:rPr>
                <w:sz w:val="20"/>
                <w:szCs w:val="20"/>
              </w:rPr>
            </w:pPr>
            <w:r w:rsidRPr="00AC77CF">
              <w:rPr>
                <w:sz w:val="20"/>
                <w:szCs w:val="20"/>
              </w:rPr>
              <w:t>0,1</w:t>
            </w:r>
          </w:p>
        </w:tc>
      </w:tr>
      <w:tr w:rsidR="00664EE5" w:rsidRPr="00AC77CF" w:rsidTr="00D135AC">
        <w:trPr>
          <w:trHeight w:val="54"/>
        </w:trPr>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4EE5" w:rsidRPr="00BB43C2" w:rsidRDefault="00664EE5" w:rsidP="00191861">
            <w:pPr>
              <w:rPr>
                <w:b/>
                <w:bCs/>
                <w:sz w:val="19"/>
                <w:szCs w:val="19"/>
              </w:rPr>
            </w:pPr>
            <w:r w:rsidRPr="00BB43C2">
              <w:rPr>
                <w:b/>
                <w:bCs/>
                <w:sz w:val="19"/>
                <w:szCs w:val="19"/>
              </w:rPr>
              <w:t xml:space="preserve">БЕЗВОЗМЕЗДНЫЕ ПОСТУПЛЕНИЯ </w:t>
            </w:r>
          </w:p>
        </w:tc>
        <w:tc>
          <w:tcPr>
            <w:tcW w:w="13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64EE5" w:rsidRPr="00AC77CF" w:rsidRDefault="00664EE5" w:rsidP="00191861">
            <w:pPr>
              <w:jc w:val="center"/>
              <w:rPr>
                <w:b/>
                <w:bCs/>
                <w:sz w:val="20"/>
                <w:szCs w:val="20"/>
              </w:rPr>
            </w:pPr>
            <w:r w:rsidRPr="00AC77CF">
              <w:rPr>
                <w:b/>
                <w:bCs/>
                <w:sz w:val="20"/>
                <w:szCs w:val="20"/>
              </w:rPr>
              <w:t>3 670 294,9</w:t>
            </w:r>
          </w:p>
        </w:tc>
        <w:tc>
          <w:tcPr>
            <w:tcW w:w="92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64EE5" w:rsidRPr="00AC77CF" w:rsidRDefault="00664EE5" w:rsidP="00D135AC">
            <w:pPr>
              <w:ind w:left="-192" w:right="-167"/>
              <w:jc w:val="center"/>
              <w:rPr>
                <w:b/>
                <w:bCs/>
                <w:sz w:val="20"/>
                <w:szCs w:val="20"/>
              </w:rPr>
            </w:pPr>
            <w:r w:rsidRPr="00AC77CF">
              <w:rPr>
                <w:b/>
                <w:bCs/>
                <w:sz w:val="20"/>
                <w:szCs w:val="20"/>
              </w:rPr>
              <w:t>843 604,0</w:t>
            </w:r>
          </w:p>
        </w:tc>
        <w:tc>
          <w:tcPr>
            <w:tcW w:w="112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64EE5" w:rsidRPr="00AC77CF" w:rsidRDefault="00664EE5" w:rsidP="00191861">
            <w:pPr>
              <w:jc w:val="center"/>
              <w:rPr>
                <w:b/>
                <w:bCs/>
                <w:sz w:val="20"/>
                <w:szCs w:val="20"/>
              </w:rPr>
            </w:pPr>
            <w:r w:rsidRPr="00AC77CF">
              <w:rPr>
                <w:b/>
                <w:bCs/>
                <w:sz w:val="20"/>
                <w:szCs w:val="20"/>
              </w:rPr>
              <w:t>23,0</w:t>
            </w:r>
          </w:p>
        </w:tc>
        <w:tc>
          <w:tcPr>
            <w:tcW w:w="11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64EE5" w:rsidRPr="00AC77CF" w:rsidRDefault="00664EE5" w:rsidP="00191861">
            <w:pPr>
              <w:jc w:val="center"/>
              <w:rPr>
                <w:b/>
                <w:bCs/>
                <w:sz w:val="20"/>
                <w:szCs w:val="20"/>
              </w:rPr>
            </w:pPr>
            <w:r w:rsidRPr="00AC77CF">
              <w:rPr>
                <w:b/>
                <w:bCs/>
                <w:sz w:val="20"/>
                <w:szCs w:val="20"/>
              </w:rPr>
              <w:t>99,8</w:t>
            </w:r>
          </w:p>
        </w:tc>
      </w:tr>
      <w:tr w:rsidR="00664EE5" w:rsidRPr="00AC77CF" w:rsidTr="00D135AC">
        <w:trPr>
          <w:trHeight w:val="54"/>
        </w:trPr>
        <w:tc>
          <w:tcPr>
            <w:tcW w:w="5387" w:type="dxa"/>
            <w:tcBorders>
              <w:top w:val="nil"/>
              <w:left w:val="single" w:sz="4" w:space="0" w:color="auto"/>
              <w:bottom w:val="single" w:sz="4" w:space="0" w:color="auto"/>
              <w:right w:val="single" w:sz="4" w:space="0" w:color="auto"/>
            </w:tcBorders>
            <w:shd w:val="clear" w:color="auto" w:fill="auto"/>
          </w:tcPr>
          <w:p w:rsidR="00664EE5" w:rsidRDefault="00664EE5" w:rsidP="00191861">
            <w:pPr>
              <w:rPr>
                <w:sz w:val="19"/>
                <w:szCs w:val="19"/>
              </w:rPr>
            </w:pPr>
            <w:r w:rsidRPr="00BB43C2">
              <w:rPr>
                <w:sz w:val="19"/>
                <w:szCs w:val="19"/>
              </w:rPr>
              <w:t>Межбюджетные трансферты за счет средств окружного бюджета, в том числе:</w:t>
            </w:r>
          </w:p>
          <w:p w:rsidR="0069779E" w:rsidRPr="0069779E" w:rsidRDefault="0069779E" w:rsidP="00191861">
            <w:pPr>
              <w:rPr>
                <w:b/>
                <w:bCs/>
                <w:sz w:val="4"/>
                <w:szCs w:val="4"/>
              </w:rPr>
            </w:pPr>
          </w:p>
        </w:tc>
        <w:tc>
          <w:tcPr>
            <w:tcW w:w="1359" w:type="dxa"/>
            <w:tcBorders>
              <w:top w:val="nil"/>
              <w:left w:val="nil"/>
              <w:bottom w:val="single" w:sz="4" w:space="0" w:color="auto"/>
              <w:right w:val="single" w:sz="4" w:space="0" w:color="auto"/>
            </w:tcBorders>
            <w:shd w:val="clear" w:color="000000" w:fill="FFFFFF"/>
            <w:vAlign w:val="center"/>
          </w:tcPr>
          <w:p w:rsidR="00664EE5" w:rsidRPr="00AC77CF" w:rsidRDefault="00664EE5" w:rsidP="00191861">
            <w:pPr>
              <w:jc w:val="center"/>
              <w:rPr>
                <w:bCs/>
                <w:sz w:val="20"/>
                <w:szCs w:val="20"/>
              </w:rPr>
            </w:pPr>
            <w:r w:rsidRPr="00AC77CF">
              <w:rPr>
                <w:bCs/>
                <w:sz w:val="20"/>
                <w:szCs w:val="20"/>
              </w:rPr>
              <w:t>1 168 210,0</w:t>
            </w:r>
          </w:p>
        </w:tc>
        <w:tc>
          <w:tcPr>
            <w:tcW w:w="924" w:type="dxa"/>
            <w:tcBorders>
              <w:top w:val="nil"/>
              <w:left w:val="nil"/>
              <w:bottom w:val="single" w:sz="4" w:space="0" w:color="auto"/>
              <w:right w:val="single" w:sz="4" w:space="0" w:color="auto"/>
            </w:tcBorders>
            <w:shd w:val="clear" w:color="000000" w:fill="FFFFFF"/>
            <w:vAlign w:val="center"/>
          </w:tcPr>
          <w:p w:rsidR="00664EE5" w:rsidRPr="00AC77CF" w:rsidRDefault="00664EE5" w:rsidP="00D135AC">
            <w:pPr>
              <w:ind w:left="-192" w:right="-167"/>
              <w:jc w:val="center"/>
              <w:rPr>
                <w:bCs/>
                <w:sz w:val="20"/>
                <w:szCs w:val="20"/>
              </w:rPr>
            </w:pPr>
            <w:r w:rsidRPr="00AC77CF">
              <w:rPr>
                <w:bCs/>
                <w:sz w:val="20"/>
                <w:szCs w:val="20"/>
              </w:rPr>
              <w:t>292 052,40</w:t>
            </w:r>
          </w:p>
        </w:tc>
        <w:tc>
          <w:tcPr>
            <w:tcW w:w="1124" w:type="dxa"/>
            <w:tcBorders>
              <w:top w:val="nil"/>
              <w:left w:val="nil"/>
              <w:bottom w:val="single" w:sz="4" w:space="0" w:color="auto"/>
              <w:right w:val="single" w:sz="4" w:space="0" w:color="auto"/>
            </w:tcBorders>
            <w:shd w:val="clear" w:color="auto" w:fill="auto"/>
            <w:vAlign w:val="center"/>
          </w:tcPr>
          <w:p w:rsidR="00664EE5" w:rsidRPr="00AC77CF" w:rsidRDefault="00664EE5" w:rsidP="00191861">
            <w:pPr>
              <w:jc w:val="center"/>
              <w:rPr>
                <w:bCs/>
                <w:sz w:val="20"/>
                <w:szCs w:val="20"/>
              </w:rPr>
            </w:pPr>
            <w:r w:rsidRPr="00AC77CF">
              <w:rPr>
                <w:bCs/>
                <w:sz w:val="20"/>
                <w:szCs w:val="20"/>
              </w:rPr>
              <w:t>25,0</w:t>
            </w:r>
          </w:p>
        </w:tc>
        <w:tc>
          <w:tcPr>
            <w:tcW w:w="1150" w:type="dxa"/>
            <w:tcBorders>
              <w:top w:val="nil"/>
              <w:left w:val="nil"/>
              <w:bottom w:val="single" w:sz="4" w:space="0" w:color="auto"/>
              <w:right w:val="single" w:sz="4" w:space="0" w:color="auto"/>
            </w:tcBorders>
            <w:shd w:val="clear" w:color="auto" w:fill="auto"/>
            <w:vAlign w:val="center"/>
          </w:tcPr>
          <w:p w:rsidR="00664EE5" w:rsidRPr="00AC77CF" w:rsidRDefault="00664EE5" w:rsidP="00191861">
            <w:pPr>
              <w:jc w:val="center"/>
              <w:rPr>
                <w:bCs/>
                <w:sz w:val="20"/>
                <w:szCs w:val="20"/>
              </w:rPr>
            </w:pPr>
            <w:r w:rsidRPr="00AC77CF">
              <w:rPr>
                <w:bCs/>
                <w:sz w:val="20"/>
                <w:szCs w:val="20"/>
              </w:rPr>
              <w:t>34,5</w:t>
            </w:r>
          </w:p>
        </w:tc>
      </w:tr>
      <w:tr w:rsidR="00664EE5" w:rsidRPr="00AC77CF" w:rsidTr="00D135AC">
        <w:trPr>
          <w:trHeight w:val="695"/>
        </w:trPr>
        <w:tc>
          <w:tcPr>
            <w:tcW w:w="5387" w:type="dxa"/>
            <w:tcBorders>
              <w:top w:val="nil"/>
              <w:left w:val="single" w:sz="4" w:space="0" w:color="auto"/>
              <w:bottom w:val="single" w:sz="4" w:space="0" w:color="auto"/>
              <w:right w:val="single" w:sz="4" w:space="0" w:color="auto"/>
            </w:tcBorders>
            <w:shd w:val="clear" w:color="auto" w:fill="auto"/>
            <w:hideMark/>
          </w:tcPr>
          <w:p w:rsidR="00664EE5" w:rsidRDefault="00664EE5" w:rsidP="00D135AC">
            <w:pPr>
              <w:ind w:right="-114"/>
              <w:rPr>
                <w:i/>
                <w:sz w:val="19"/>
                <w:szCs w:val="19"/>
              </w:rPr>
            </w:pPr>
            <w:r w:rsidRPr="00BB43C2">
              <w:rPr>
                <w:i/>
                <w:sz w:val="19"/>
                <w:szCs w:val="19"/>
              </w:rPr>
              <w:t xml:space="preserve">Межбюджетные трансферты из бюджетов субъектов РФ, передаваемые территориальным фондам ОМС на дополнительное финансовое обеспечение реализации </w:t>
            </w:r>
            <w:r w:rsidRPr="00BB43C2">
              <w:rPr>
                <w:i/>
                <w:sz w:val="19"/>
                <w:szCs w:val="19"/>
              </w:rPr>
              <w:lastRenderedPageBreak/>
              <w:t xml:space="preserve">территориальной программы ОМС в части базовой программы ОМС </w:t>
            </w:r>
          </w:p>
          <w:p w:rsidR="0069779E" w:rsidRPr="0069779E" w:rsidRDefault="0069779E" w:rsidP="00D135AC">
            <w:pPr>
              <w:ind w:right="-114"/>
              <w:rPr>
                <w:i/>
                <w:sz w:val="4"/>
                <w:szCs w:val="4"/>
              </w:rPr>
            </w:pPr>
          </w:p>
          <w:p w:rsidR="00D135AC" w:rsidRPr="00BB43C2" w:rsidRDefault="00D135AC" w:rsidP="00191861">
            <w:pPr>
              <w:rPr>
                <w:i/>
                <w:sz w:val="19"/>
                <w:szCs w:val="19"/>
              </w:rPr>
            </w:pPr>
          </w:p>
        </w:tc>
        <w:tc>
          <w:tcPr>
            <w:tcW w:w="1359" w:type="dxa"/>
            <w:tcBorders>
              <w:top w:val="nil"/>
              <w:left w:val="nil"/>
              <w:bottom w:val="single" w:sz="4" w:space="0" w:color="auto"/>
              <w:right w:val="single" w:sz="4" w:space="0" w:color="auto"/>
            </w:tcBorders>
            <w:shd w:val="clear" w:color="000000" w:fill="FFFFFF"/>
            <w:vAlign w:val="center"/>
          </w:tcPr>
          <w:p w:rsidR="00664EE5" w:rsidRPr="00AC77CF" w:rsidRDefault="00664EE5" w:rsidP="00191861">
            <w:pPr>
              <w:jc w:val="center"/>
              <w:rPr>
                <w:i/>
                <w:sz w:val="20"/>
                <w:szCs w:val="20"/>
              </w:rPr>
            </w:pPr>
            <w:r w:rsidRPr="00AC77CF">
              <w:rPr>
                <w:i/>
                <w:sz w:val="20"/>
                <w:szCs w:val="20"/>
              </w:rPr>
              <w:lastRenderedPageBreak/>
              <w:t>686 470,6</w:t>
            </w:r>
          </w:p>
        </w:tc>
        <w:tc>
          <w:tcPr>
            <w:tcW w:w="924" w:type="dxa"/>
            <w:tcBorders>
              <w:top w:val="nil"/>
              <w:left w:val="nil"/>
              <w:bottom w:val="single" w:sz="4" w:space="0" w:color="auto"/>
              <w:right w:val="single" w:sz="4" w:space="0" w:color="auto"/>
            </w:tcBorders>
            <w:shd w:val="clear" w:color="000000" w:fill="FFFFFF"/>
            <w:vAlign w:val="center"/>
          </w:tcPr>
          <w:p w:rsidR="00664EE5" w:rsidRPr="00AC77CF" w:rsidRDefault="00664EE5" w:rsidP="00D135AC">
            <w:pPr>
              <w:ind w:left="-192" w:right="-167"/>
              <w:jc w:val="center"/>
              <w:rPr>
                <w:i/>
                <w:sz w:val="20"/>
                <w:szCs w:val="20"/>
              </w:rPr>
            </w:pPr>
            <w:r w:rsidRPr="00AC77CF">
              <w:rPr>
                <w:i/>
                <w:sz w:val="20"/>
                <w:szCs w:val="20"/>
              </w:rPr>
              <w:t>171 617,7</w:t>
            </w:r>
          </w:p>
        </w:tc>
        <w:tc>
          <w:tcPr>
            <w:tcW w:w="1124" w:type="dxa"/>
            <w:tcBorders>
              <w:top w:val="nil"/>
              <w:left w:val="nil"/>
              <w:bottom w:val="single" w:sz="4" w:space="0" w:color="auto"/>
              <w:right w:val="single" w:sz="4" w:space="0" w:color="auto"/>
            </w:tcBorders>
            <w:shd w:val="clear" w:color="auto" w:fill="auto"/>
            <w:vAlign w:val="center"/>
          </w:tcPr>
          <w:p w:rsidR="00664EE5" w:rsidRPr="00AC77CF" w:rsidRDefault="00664EE5" w:rsidP="00191861">
            <w:pPr>
              <w:jc w:val="center"/>
              <w:rPr>
                <w:i/>
                <w:sz w:val="20"/>
                <w:szCs w:val="20"/>
              </w:rPr>
            </w:pPr>
            <w:r w:rsidRPr="00AC77CF">
              <w:rPr>
                <w:i/>
                <w:sz w:val="20"/>
                <w:szCs w:val="20"/>
              </w:rPr>
              <w:t>25,0</w:t>
            </w:r>
          </w:p>
        </w:tc>
        <w:tc>
          <w:tcPr>
            <w:tcW w:w="1150" w:type="dxa"/>
            <w:tcBorders>
              <w:top w:val="nil"/>
              <w:left w:val="nil"/>
              <w:bottom w:val="single" w:sz="4" w:space="0" w:color="auto"/>
              <w:right w:val="single" w:sz="4" w:space="0" w:color="auto"/>
            </w:tcBorders>
            <w:shd w:val="clear" w:color="auto" w:fill="auto"/>
            <w:vAlign w:val="center"/>
          </w:tcPr>
          <w:p w:rsidR="00664EE5" w:rsidRPr="00AC77CF" w:rsidRDefault="00664EE5" w:rsidP="00191861">
            <w:pPr>
              <w:jc w:val="center"/>
              <w:rPr>
                <w:sz w:val="20"/>
                <w:szCs w:val="20"/>
              </w:rPr>
            </w:pPr>
            <w:r w:rsidRPr="00AC77CF">
              <w:rPr>
                <w:bCs/>
                <w:sz w:val="20"/>
                <w:szCs w:val="20"/>
              </w:rPr>
              <w:t>20,3</w:t>
            </w:r>
          </w:p>
        </w:tc>
      </w:tr>
      <w:tr w:rsidR="00664EE5" w:rsidRPr="00AC77CF" w:rsidTr="00D135AC">
        <w:trPr>
          <w:trHeight w:val="835"/>
        </w:trPr>
        <w:tc>
          <w:tcPr>
            <w:tcW w:w="5387" w:type="dxa"/>
            <w:tcBorders>
              <w:top w:val="nil"/>
              <w:left w:val="single" w:sz="4" w:space="0" w:color="auto"/>
              <w:bottom w:val="single" w:sz="4" w:space="0" w:color="auto"/>
              <w:right w:val="single" w:sz="4" w:space="0" w:color="auto"/>
            </w:tcBorders>
            <w:shd w:val="clear" w:color="auto" w:fill="auto"/>
            <w:hideMark/>
          </w:tcPr>
          <w:p w:rsidR="00664EE5" w:rsidRDefault="00664EE5" w:rsidP="00191861">
            <w:pPr>
              <w:rPr>
                <w:i/>
                <w:sz w:val="19"/>
                <w:szCs w:val="19"/>
              </w:rPr>
            </w:pPr>
            <w:r w:rsidRPr="00BB43C2">
              <w:rPr>
                <w:i/>
                <w:sz w:val="19"/>
                <w:szCs w:val="19"/>
              </w:rPr>
              <w:t>Межбюджетные трансферты из бюджетов субъектов РФ, передаваемые территориальным фондам ОМС на финансовое обеспечение доп. видов и условий оказания медицинской помощи, не установленных базовой программой ОМС</w:t>
            </w:r>
          </w:p>
          <w:p w:rsidR="00BB43C2" w:rsidRPr="00BB43C2" w:rsidRDefault="00BB43C2" w:rsidP="00191861">
            <w:pPr>
              <w:rPr>
                <w:i/>
                <w:sz w:val="4"/>
                <w:szCs w:val="4"/>
              </w:rPr>
            </w:pPr>
          </w:p>
          <w:p w:rsidR="00D135AC" w:rsidRPr="00BB43C2" w:rsidRDefault="00D135AC" w:rsidP="00191861">
            <w:pPr>
              <w:rPr>
                <w:i/>
                <w:sz w:val="19"/>
                <w:szCs w:val="19"/>
              </w:rPr>
            </w:pPr>
          </w:p>
        </w:tc>
        <w:tc>
          <w:tcPr>
            <w:tcW w:w="1359" w:type="dxa"/>
            <w:tcBorders>
              <w:top w:val="nil"/>
              <w:left w:val="nil"/>
              <w:bottom w:val="single" w:sz="4" w:space="0" w:color="auto"/>
              <w:right w:val="single" w:sz="4" w:space="0" w:color="auto"/>
            </w:tcBorders>
            <w:shd w:val="clear" w:color="000000" w:fill="FFFFFF"/>
            <w:vAlign w:val="center"/>
          </w:tcPr>
          <w:p w:rsidR="00664EE5" w:rsidRPr="00AC77CF" w:rsidRDefault="00664EE5" w:rsidP="00191861">
            <w:pPr>
              <w:jc w:val="center"/>
              <w:rPr>
                <w:i/>
                <w:sz w:val="20"/>
                <w:szCs w:val="20"/>
              </w:rPr>
            </w:pPr>
            <w:r w:rsidRPr="00AC77CF">
              <w:rPr>
                <w:i/>
                <w:sz w:val="20"/>
                <w:szCs w:val="20"/>
              </w:rPr>
              <w:t>481 739,3</w:t>
            </w:r>
          </w:p>
        </w:tc>
        <w:tc>
          <w:tcPr>
            <w:tcW w:w="924" w:type="dxa"/>
            <w:tcBorders>
              <w:top w:val="nil"/>
              <w:left w:val="nil"/>
              <w:bottom w:val="single" w:sz="4" w:space="0" w:color="auto"/>
              <w:right w:val="single" w:sz="4" w:space="0" w:color="auto"/>
            </w:tcBorders>
            <w:shd w:val="clear" w:color="000000" w:fill="FFFFFF"/>
            <w:vAlign w:val="center"/>
          </w:tcPr>
          <w:p w:rsidR="00664EE5" w:rsidRPr="00AC77CF" w:rsidRDefault="00664EE5" w:rsidP="00D135AC">
            <w:pPr>
              <w:ind w:left="-192" w:right="-167"/>
              <w:jc w:val="center"/>
              <w:rPr>
                <w:i/>
                <w:sz w:val="20"/>
                <w:szCs w:val="20"/>
              </w:rPr>
            </w:pPr>
            <w:r w:rsidRPr="00AC77CF">
              <w:rPr>
                <w:i/>
                <w:sz w:val="20"/>
                <w:szCs w:val="20"/>
              </w:rPr>
              <w:t>120 434,7</w:t>
            </w:r>
          </w:p>
        </w:tc>
        <w:tc>
          <w:tcPr>
            <w:tcW w:w="1124" w:type="dxa"/>
            <w:tcBorders>
              <w:top w:val="nil"/>
              <w:left w:val="nil"/>
              <w:bottom w:val="single" w:sz="4" w:space="0" w:color="auto"/>
              <w:right w:val="single" w:sz="4" w:space="0" w:color="auto"/>
            </w:tcBorders>
            <w:shd w:val="clear" w:color="auto" w:fill="auto"/>
            <w:vAlign w:val="center"/>
          </w:tcPr>
          <w:p w:rsidR="00664EE5" w:rsidRPr="00AC77CF" w:rsidRDefault="00664EE5" w:rsidP="00191861">
            <w:pPr>
              <w:jc w:val="center"/>
              <w:rPr>
                <w:i/>
                <w:sz w:val="20"/>
                <w:szCs w:val="20"/>
              </w:rPr>
            </w:pPr>
            <w:r w:rsidRPr="00AC77CF">
              <w:rPr>
                <w:i/>
                <w:sz w:val="20"/>
                <w:szCs w:val="20"/>
              </w:rPr>
              <w:t>25,0</w:t>
            </w:r>
          </w:p>
        </w:tc>
        <w:tc>
          <w:tcPr>
            <w:tcW w:w="1150" w:type="dxa"/>
            <w:tcBorders>
              <w:top w:val="nil"/>
              <w:left w:val="nil"/>
              <w:bottom w:val="single" w:sz="4" w:space="0" w:color="auto"/>
              <w:right w:val="single" w:sz="4" w:space="0" w:color="auto"/>
            </w:tcBorders>
            <w:shd w:val="clear" w:color="auto" w:fill="auto"/>
            <w:vAlign w:val="center"/>
          </w:tcPr>
          <w:p w:rsidR="00664EE5" w:rsidRPr="00AC77CF" w:rsidRDefault="00664EE5" w:rsidP="00191861">
            <w:pPr>
              <w:jc w:val="center"/>
              <w:rPr>
                <w:sz w:val="20"/>
                <w:szCs w:val="20"/>
              </w:rPr>
            </w:pPr>
            <w:r w:rsidRPr="00AC77CF">
              <w:rPr>
                <w:bCs/>
                <w:sz w:val="20"/>
                <w:szCs w:val="20"/>
              </w:rPr>
              <w:t>14,2</w:t>
            </w:r>
          </w:p>
        </w:tc>
      </w:tr>
      <w:tr w:rsidR="00664EE5" w:rsidRPr="00AC77CF" w:rsidTr="00D135AC">
        <w:trPr>
          <w:trHeight w:val="393"/>
        </w:trPr>
        <w:tc>
          <w:tcPr>
            <w:tcW w:w="5387" w:type="dxa"/>
            <w:tcBorders>
              <w:top w:val="nil"/>
              <w:left w:val="single" w:sz="4" w:space="0" w:color="auto"/>
              <w:bottom w:val="single" w:sz="4" w:space="0" w:color="auto"/>
              <w:right w:val="single" w:sz="4" w:space="0" w:color="auto"/>
            </w:tcBorders>
            <w:shd w:val="clear" w:color="auto" w:fill="auto"/>
          </w:tcPr>
          <w:p w:rsidR="00664EE5" w:rsidRPr="00BB43C2" w:rsidRDefault="00664EE5" w:rsidP="00191861">
            <w:pPr>
              <w:rPr>
                <w:sz w:val="19"/>
                <w:szCs w:val="19"/>
              </w:rPr>
            </w:pPr>
            <w:r w:rsidRPr="00BB43C2">
              <w:rPr>
                <w:sz w:val="19"/>
                <w:szCs w:val="19"/>
              </w:rPr>
              <w:t>Межбюджетные трансферты ФФОМС, передаваемые бюджетам территориальных фондов ОМС, в том числе:</w:t>
            </w:r>
          </w:p>
        </w:tc>
        <w:tc>
          <w:tcPr>
            <w:tcW w:w="1359" w:type="dxa"/>
            <w:tcBorders>
              <w:top w:val="nil"/>
              <w:left w:val="nil"/>
              <w:bottom w:val="single" w:sz="4" w:space="0" w:color="auto"/>
              <w:right w:val="single" w:sz="4" w:space="0" w:color="auto"/>
            </w:tcBorders>
            <w:shd w:val="clear" w:color="000000" w:fill="FFFFFF"/>
            <w:vAlign w:val="center"/>
          </w:tcPr>
          <w:p w:rsidR="00664EE5" w:rsidRPr="00AC77CF" w:rsidRDefault="00664EE5" w:rsidP="00191861">
            <w:pPr>
              <w:jc w:val="center"/>
              <w:rPr>
                <w:sz w:val="20"/>
                <w:szCs w:val="20"/>
              </w:rPr>
            </w:pPr>
            <w:r w:rsidRPr="00AC77CF">
              <w:rPr>
                <w:sz w:val="20"/>
                <w:szCs w:val="20"/>
              </w:rPr>
              <w:t>2 456 584,9</w:t>
            </w:r>
          </w:p>
        </w:tc>
        <w:tc>
          <w:tcPr>
            <w:tcW w:w="924" w:type="dxa"/>
            <w:tcBorders>
              <w:top w:val="nil"/>
              <w:left w:val="nil"/>
              <w:bottom w:val="single" w:sz="4" w:space="0" w:color="auto"/>
              <w:right w:val="single" w:sz="4" w:space="0" w:color="auto"/>
            </w:tcBorders>
            <w:shd w:val="clear" w:color="000000" w:fill="FFFFFF"/>
            <w:vAlign w:val="center"/>
          </w:tcPr>
          <w:p w:rsidR="00664EE5" w:rsidRPr="00AC77CF" w:rsidRDefault="00664EE5" w:rsidP="00D135AC">
            <w:pPr>
              <w:ind w:left="-192" w:right="-167"/>
              <w:jc w:val="center"/>
              <w:rPr>
                <w:sz w:val="20"/>
                <w:szCs w:val="20"/>
              </w:rPr>
            </w:pPr>
            <w:r w:rsidRPr="00AC77CF">
              <w:rPr>
                <w:sz w:val="20"/>
                <w:szCs w:val="20"/>
              </w:rPr>
              <w:t xml:space="preserve"> 656 237,8</w:t>
            </w:r>
          </w:p>
        </w:tc>
        <w:tc>
          <w:tcPr>
            <w:tcW w:w="1124" w:type="dxa"/>
            <w:tcBorders>
              <w:top w:val="nil"/>
              <w:left w:val="nil"/>
              <w:bottom w:val="single" w:sz="4" w:space="0" w:color="auto"/>
              <w:right w:val="single" w:sz="4" w:space="0" w:color="auto"/>
            </w:tcBorders>
            <w:shd w:val="clear" w:color="auto" w:fill="auto"/>
            <w:vAlign w:val="center"/>
          </w:tcPr>
          <w:p w:rsidR="00664EE5" w:rsidRPr="00AC77CF" w:rsidRDefault="00664EE5" w:rsidP="00191861">
            <w:pPr>
              <w:jc w:val="center"/>
              <w:rPr>
                <w:sz w:val="20"/>
                <w:szCs w:val="20"/>
              </w:rPr>
            </w:pPr>
            <w:r w:rsidRPr="00AC77CF">
              <w:rPr>
                <w:sz w:val="20"/>
                <w:szCs w:val="20"/>
              </w:rPr>
              <w:t>26,7</w:t>
            </w:r>
          </w:p>
        </w:tc>
        <w:tc>
          <w:tcPr>
            <w:tcW w:w="1150" w:type="dxa"/>
            <w:tcBorders>
              <w:top w:val="nil"/>
              <w:left w:val="nil"/>
              <w:bottom w:val="single" w:sz="4" w:space="0" w:color="auto"/>
              <w:right w:val="single" w:sz="4" w:space="0" w:color="auto"/>
            </w:tcBorders>
            <w:shd w:val="clear" w:color="auto" w:fill="auto"/>
            <w:vAlign w:val="center"/>
          </w:tcPr>
          <w:p w:rsidR="00664EE5" w:rsidRPr="00AC77CF" w:rsidRDefault="00664EE5" w:rsidP="00191861">
            <w:pPr>
              <w:jc w:val="center"/>
              <w:rPr>
                <w:sz w:val="20"/>
                <w:szCs w:val="20"/>
              </w:rPr>
            </w:pPr>
            <w:r w:rsidRPr="00AC77CF">
              <w:rPr>
                <w:bCs/>
                <w:sz w:val="20"/>
                <w:szCs w:val="20"/>
              </w:rPr>
              <w:t>77,6</w:t>
            </w:r>
          </w:p>
        </w:tc>
      </w:tr>
      <w:tr w:rsidR="00664EE5" w:rsidRPr="00AC77CF" w:rsidTr="00D135AC">
        <w:trPr>
          <w:trHeight w:val="527"/>
        </w:trPr>
        <w:tc>
          <w:tcPr>
            <w:tcW w:w="5387" w:type="dxa"/>
            <w:tcBorders>
              <w:top w:val="nil"/>
              <w:left w:val="single" w:sz="4" w:space="0" w:color="auto"/>
              <w:bottom w:val="single" w:sz="4" w:space="0" w:color="auto"/>
              <w:right w:val="single" w:sz="4" w:space="0" w:color="auto"/>
            </w:tcBorders>
            <w:shd w:val="clear" w:color="auto" w:fill="auto"/>
            <w:hideMark/>
          </w:tcPr>
          <w:p w:rsidR="009951D9" w:rsidRDefault="00664EE5" w:rsidP="00191861">
            <w:pPr>
              <w:rPr>
                <w:i/>
                <w:sz w:val="19"/>
                <w:szCs w:val="19"/>
              </w:rPr>
            </w:pPr>
            <w:r w:rsidRPr="00BB43C2">
              <w:rPr>
                <w:i/>
                <w:sz w:val="19"/>
                <w:szCs w:val="19"/>
              </w:rPr>
              <w:t>Субвенции бюджетам территориальных фондов ОМС на финансовое обеспечение организации ОМС на территориях субъектов РФ</w:t>
            </w:r>
          </w:p>
          <w:p w:rsidR="00BB43C2" w:rsidRPr="0069779E" w:rsidRDefault="00BB43C2" w:rsidP="00191861">
            <w:pPr>
              <w:rPr>
                <w:i/>
                <w:sz w:val="4"/>
                <w:szCs w:val="4"/>
              </w:rPr>
            </w:pPr>
          </w:p>
          <w:p w:rsidR="00AC77CF" w:rsidRPr="00BB43C2" w:rsidRDefault="00AC77CF" w:rsidP="00191861">
            <w:pPr>
              <w:rPr>
                <w:i/>
                <w:sz w:val="19"/>
                <w:szCs w:val="19"/>
              </w:rPr>
            </w:pPr>
          </w:p>
        </w:tc>
        <w:tc>
          <w:tcPr>
            <w:tcW w:w="1359" w:type="dxa"/>
            <w:tcBorders>
              <w:top w:val="nil"/>
              <w:left w:val="nil"/>
              <w:bottom w:val="single" w:sz="4" w:space="0" w:color="auto"/>
              <w:right w:val="single" w:sz="4" w:space="0" w:color="auto"/>
            </w:tcBorders>
            <w:shd w:val="clear" w:color="000000" w:fill="FFFFFF"/>
            <w:vAlign w:val="center"/>
          </w:tcPr>
          <w:p w:rsidR="00664EE5" w:rsidRPr="00AC77CF" w:rsidRDefault="00664EE5" w:rsidP="00191861">
            <w:pPr>
              <w:jc w:val="center"/>
              <w:rPr>
                <w:i/>
                <w:sz w:val="20"/>
                <w:szCs w:val="20"/>
              </w:rPr>
            </w:pPr>
            <w:r w:rsidRPr="00AC77CF">
              <w:rPr>
                <w:i/>
                <w:sz w:val="20"/>
                <w:szCs w:val="20"/>
              </w:rPr>
              <w:t>2 456 584,9</w:t>
            </w:r>
          </w:p>
        </w:tc>
        <w:tc>
          <w:tcPr>
            <w:tcW w:w="924" w:type="dxa"/>
            <w:tcBorders>
              <w:top w:val="nil"/>
              <w:left w:val="nil"/>
              <w:bottom w:val="single" w:sz="4" w:space="0" w:color="auto"/>
              <w:right w:val="single" w:sz="4" w:space="0" w:color="auto"/>
            </w:tcBorders>
            <w:shd w:val="clear" w:color="000000" w:fill="FFFFFF"/>
            <w:vAlign w:val="center"/>
          </w:tcPr>
          <w:p w:rsidR="00664EE5" w:rsidRPr="00AC77CF" w:rsidRDefault="00664EE5" w:rsidP="00D135AC">
            <w:pPr>
              <w:ind w:left="-192" w:right="-167"/>
              <w:jc w:val="center"/>
              <w:rPr>
                <w:i/>
                <w:sz w:val="20"/>
                <w:szCs w:val="20"/>
              </w:rPr>
            </w:pPr>
            <w:r w:rsidRPr="00AC77CF">
              <w:rPr>
                <w:i/>
                <w:sz w:val="20"/>
                <w:szCs w:val="20"/>
              </w:rPr>
              <w:t>637 411,3</w:t>
            </w:r>
          </w:p>
        </w:tc>
        <w:tc>
          <w:tcPr>
            <w:tcW w:w="1124" w:type="dxa"/>
            <w:tcBorders>
              <w:top w:val="nil"/>
              <w:left w:val="nil"/>
              <w:bottom w:val="single" w:sz="4" w:space="0" w:color="auto"/>
              <w:right w:val="single" w:sz="4" w:space="0" w:color="auto"/>
            </w:tcBorders>
            <w:shd w:val="clear" w:color="auto" w:fill="auto"/>
            <w:vAlign w:val="center"/>
          </w:tcPr>
          <w:p w:rsidR="00664EE5" w:rsidRPr="00AC77CF" w:rsidRDefault="00664EE5" w:rsidP="00191861">
            <w:pPr>
              <w:jc w:val="center"/>
              <w:rPr>
                <w:i/>
                <w:sz w:val="20"/>
                <w:szCs w:val="20"/>
              </w:rPr>
            </w:pPr>
            <w:r w:rsidRPr="00AC77CF">
              <w:rPr>
                <w:i/>
                <w:sz w:val="20"/>
                <w:szCs w:val="20"/>
              </w:rPr>
              <w:t>25,9</w:t>
            </w:r>
          </w:p>
        </w:tc>
        <w:tc>
          <w:tcPr>
            <w:tcW w:w="1150" w:type="dxa"/>
            <w:tcBorders>
              <w:top w:val="nil"/>
              <w:left w:val="nil"/>
              <w:bottom w:val="single" w:sz="4" w:space="0" w:color="auto"/>
              <w:right w:val="single" w:sz="4" w:space="0" w:color="auto"/>
            </w:tcBorders>
            <w:shd w:val="clear" w:color="auto" w:fill="auto"/>
            <w:vAlign w:val="center"/>
          </w:tcPr>
          <w:p w:rsidR="00664EE5" w:rsidRPr="00AC77CF" w:rsidRDefault="00664EE5" w:rsidP="00191861">
            <w:pPr>
              <w:jc w:val="center"/>
              <w:rPr>
                <w:sz w:val="20"/>
                <w:szCs w:val="20"/>
              </w:rPr>
            </w:pPr>
            <w:r w:rsidRPr="00AC77CF">
              <w:rPr>
                <w:bCs/>
                <w:sz w:val="20"/>
                <w:szCs w:val="20"/>
              </w:rPr>
              <w:t>75,4</w:t>
            </w:r>
          </w:p>
        </w:tc>
      </w:tr>
      <w:tr w:rsidR="00664EE5" w:rsidRPr="00AC77CF" w:rsidTr="00D135AC">
        <w:trPr>
          <w:trHeight w:val="1014"/>
        </w:trPr>
        <w:tc>
          <w:tcPr>
            <w:tcW w:w="5387" w:type="dxa"/>
            <w:tcBorders>
              <w:top w:val="nil"/>
              <w:left w:val="single" w:sz="4" w:space="0" w:color="auto"/>
              <w:bottom w:val="single" w:sz="4" w:space="0" w:color="auto"/>
              <w:right w:val="single" w:sz="4" w:space="0" w:color="auto"/>
            </w:tcBorders>
            <w:shd w:val="clear" w:color="auto" w:fill="auto"/>
            <w:hideMark/>
          </w:tcPr>
          <w:p w:rsidR="009951D9" w:rsidRDefault="00664EE5" w:rsidP="00191861">
            <w:pPr>
              <w:rPr>
                <w:i/>
                <w:sz w:val="19"/>
                <w:szCs w:val="19"/>
              </w:rPr>
            </w:pPr>
            <w:r w:rsidRPr="00BB43C2">
              <w:rPr>
                <w:i/>
                <w:sz w:val="19"/>
                <w:szCs w:val="19"/>
              </w:rPr>
              <w:t>Межбюджетные трансферты, передаваемые бюджетам территориальных фондов обязательного медицинского страхования на финансовое обеспечение формирования нормированного страхового запаса территориального фонда обязательного медицинского страхования</w:t>
            </w:r>
          </w:p>
          <w:p w:rsidR="0069779E" w:rsidRPr="0069779E" w:rsidRDefault="0069779E" w:rsidP="00191861">
            <w:pPr>
              <w:rPr>
                <w:i/>
                <w:sz w:val="4"/>
                <w:szCs w:val="4"/>
              </w:rPr>
            </w:pPr>
          </w:p>
          <w:p w:rsidR="00AC77CF" w:rsidRPr="00BB43C2" w:rsidRDefault="00AC77CF" w:rsidP="00191861">
            <w:pPr>
              <w:rPr>
                <w:i/>
                <w:sz w:val="19"/>
                <w:szCs w:val="19"/>
              </w:rPr>
            </w:pPr>
          </w:p>
        </w:tc>
        <w:tc>
          <w:tcPr>
            <w:tcW w:w="1359" w:type="dxa"/>
            <w:tcBorders>
              <w:top w:val="nil"/>
              <w:left w:val="nil"/>
              <w:bottom w:val="single" w:sz="4" w:space="0" w:color="auto"/>
              <w:right w:val="single" w:sz="4" w:space="0" w:color="auto"/>
            </w:tcBorders>
            <w:shd w:val="clear" w:color="000000" w:fill="FFFFFF"/>
            <w:vAlign w:val="center"/>
          </w:tcPr>
          <w:p w:rsidR="00664EE5" w:rsidRPr="00AC77CF" w:rsidRDefault="00664EE5" w:rsidP="00191861">
            <w:pPr>
              <w:jc w:val="center"/>
              <w:rPr>
                <w:i/>
                <w:sz w:val="20"/>
                <w:szCs w:val="20"/>
              </w:rPr>
            </w:pPr>
            <w:r w:rsidRPr="00AC77CF">
              <w:rPr>
                <w:i/>
                <w:sz w:val="20"/>
                <w:szCs w:val="20"/>
              </w:rPr>
              <w:t>-</w:t>
            </w:r>
          </w:p>
        </w:tc>
        <w:tc>
          <w:tcPr>
            <w:tcW w:w="924" w:type="dxa"/>
            <w:tcBorders>
              <w:top w:val="nil"/>
              <w:left w:val="nil"/>
              <w:bottom w:val="single" w:sz="4" w:space="0" w:color="auto"/>
              <w:right w:val="single" w:sz="4" w:space="0" w:color="auto"/>
            </w:tcBorders>
            <w:shd w:val="clear" w:color="000000" w:fill="FFFFFF"/>
            <w:vAlign w:val="center"/>
          </w:tcPr>
          <w:p w:rsidR="00664EE5" w:rsidRPr="00AC77CF" w:rsidRDefault="00664EE5" w:rsidP="00D135AC">
            <w:pPr>
              <w:ind w:left="-192" w:right="-167"/>
              <w:jc w:val="center"/>
              <w:rPr>
                <w:i/>
                <w:sz w:val="20"/>
                <w:szCs w:val="20"/>
              </w:rPr>
            </w:pPr>
            <w:r w:rsidRPr="00AC77CF">
              <w:rPr>
                <w:i/>
                <w:sz w:val="20"/>
                <w:szCs w:val="20"/>
              </w:rPr>
              <w:t>11 529,3</w:t>
            </w:r>
          </w:p>
        </w:tc>
        <w:tc>
          <w:tcPr>
            <w:tcW w:w="1124" w:type="dxa"/>
            <w:tcBorders>
              <w:top w:val="nil"/>
              <w:left w:val="nil"/>
              <w:bottom w:val="single" w:sz="4" w:space="0" w:color="auto"/>
              <w:right w:val="single" w:sz="4" w:space="0" w:color="auto"/>
            </w:tcBorders>
            <w:shd w:val="clear" w:color="auto" w:fill="auto"/>
            <w:vAlign w:val="center"/>
          </w:tcPr>
          <w:p w:rsidR="00664EE5" w:rsidRPr="00AC77CF" w:rsidRDefault="00664EE5" w:rsidP="00191861">
            <w:pPr>
              <w:jc w:val="center"/>
              <w:rPr>
                <w:i/>
                <w:sz w:val="20"/>
                <w:szCs w:val="20"/>
              </w:rPr>
            </w:pPr>
            <w:r w:rsidRPr="00AC77CF">
              <w:rPr>
                <w:i/>
                <w:sz w:val="20"/>
                <w:szCs w:val="20"/>
              </w:rPr>
              <w:t>-</w:t>
            </w:r>
          </w:p>
        </w:tc>
        <w:tc>
          <w:tcPr>
            <w:tcW w:w="1150" w:type="dxa"/>
            <w:tcBorders>
              <w:top w:val="nil"/>
              <w:left w:val="nil"/>
              <w:bottom w:val="single" w:sz="4" w:space="0" w:color="auto"/>
              <w:right w:val="single" w:sz="4" w:space="0" w:color="auto"/>
            </w:tcBorders>
            <w:shd w:val="clear" w:color="auto" w:fill="auto"/>
            <w:vAlign w:val="center"/>
          </w:tcPr>
          <w:p w:rsidR="00664EE5" w:rsidRPr="00AC77CF" w:rsidRDefault="00664EE5" w:rsidP="00191861">
            <w:pPr>
              <w:jc w:val="center"/>
              <w:rPr>
                <w:sz w:val="20"/>
                <w:szCs w:val="20"/>
              </w:rPr>
            </w:pPr>
            <w:r w:rsidRPr="00AC77CF">
              <w:rPr>
                <w:bCs/>
                <w:sz w:val="20"/>
                <w:szCs w:val="20"/>
              </w:rPr>
              <w:t>1,4</w:t>
            </w:r>
          </w:p>
        </w:tc>
      </w:tr>
      <w:tr w:rsidR="00664EE5" w:rsidRPr="00AC77CF" w:rsidTr="00D135AC">
        <w:trPr>
          <w:trHeight w:val="1241"/>
        </w:trPr>
        <w:tc>
          <w:tcPr>
            <w:tcW w:w="5387" w:type="dxa"/>
            <w:tcBorders>
              <w:top w:val="nil"/>
              <w:left w:val="single" w:sz="4" w:space="0" w:color="auto"/>
              <w:bottom w:val="single" w:sz="4" w:space="0" w:color="auto"/>
              <w:right w:val="single" w:sz="4" w:space="0" w:color="auto"/>
            </w:tcBorders>
            <w:shd w:val="clear" w:color="auto" w:fill="auto"/>
            <w:hideMark/>
          </w:tcPr>
          <w:p w:rsidR="0069779E" w:rsidRDefault="00664EE5" w:rsidP="00191861">
            <w:pPr>
              <w:rPr>
                <w:i/>
                <w:sz w:val="19"/>
                <w:szCs w:val="19"/>
              </w:rPr>
            </w:pPr>
            <w:r w:rsidRPr="00BB43C2">
              <w:rPr>
                <w:i/>
                <w:sz w:val="19"/>
                <w:szCs w:val="19"/>
              </w:rPr>
              <w:t xml:space="preserve">Межбюджетные трансферты, передаваемые бюджетам территориальных фондов обязательного медицинского страхования на финансовое обеспечение осуществления денежных </w:t>
            </w:r>
            <w:proofErr w:type="gramStart"/>
            <w:r w:rsidRPr="00BB43C2">
              <w:rPr>
                <w:i/>
                <w:sz w:val="19"/>
                <w:szCs w:val="19"/>
              </w:rPr>
              <w:t>выплат  стимулирующего</w:t>
            </w:r>
            <w:proofErr w:type="gramEnd"/>
            <w:r w:rsidRPr="00BB43C2">
              <w:rPr>
                <w:i/>
                <w:sz w:val="19"/>
                <w:szCs w:val="19"/>
              </w:rPr>
              <w:t xml:space="preserve"> характера медицинским работникам за выявление онкологических заболеваний в ходе проведения диспансеризации и профилактических осмотров населения    </w:t>
            </w:r>
          </w:p>
          <w:p w:rsidR="0069779E" w:rsidRPr="0069779E" w:rsidRDefault="0069779E" w:rsidP="00191861">
            <w:pPr>
              <w:rPr>
                <w:i/>
                <w:sz w:val="4"/>
                <w:szCs w:val="4"/>
              </w:rPr>
            </w:pPr>
          </w:p>
          <w:p w:rsidR="00AC77CF" w:rsidRPr="00BB43C2" w:rsidRDefault="00AC77CF" w:rsidP="00191861">
            <w:pPr>
              <w:rPr>
                <w:i/>
                <w:sz w:val="19"/>
                <w:szCs w:val="19"/>
              </w:rPr>
            </w:pPr>
          </w:p>
        </w:tc>
        <w:tc>
          <w:tcPr>
            <w:tcW w:w="1359" w:type="dxa"/>
            <w:tcBorders>
              <w:top w:val="nil"/>
              <w:left w:val="nil"/>
              <w:bottom w:val="single" w:sz="4" w:space="0" w:color="auto"/>
              <w:right w:val="single" w:sz="4" w:space="0" w:color="auto"/>
            </w:tcBorders>
            <w:shd w:val="clear" w:color="000000" w:fill="FFFFFF"/>
            <w:vAlign w:val="center"/>
          </w:tcPr>
          <w:p w:rsidR="00664EE5" w:rsidRPr="00AC77CF" w:rsidRDefault="00664EE5" w:rsidP="00191861">
            <w:pPr>
              <w:jc w:val="center"/>
              <w:rPr>
                <w:i/>
                <w:sz w:val="20"/>
                <w:szCs w:val="20"/>
              </w:rPr>
            </w:pPr>
            <w:r w:rsidRPr="00AC77CF">
              <w:rPr>
                <w:i/>
                <w:sz w:val="20"/>
                <w:szCs w:val="20"/>
              </w:rPr>
              <w:t>-</w:t>
            </w:r>
          </w:p>
        </w:tc>
        <w:tc>
          <w:tcPr>
            <w:tcW w:w="924" w:type="dxa"/>
            <w:tcBorders>
              <w:top w:val="nil"/>
              <w:left w:val="nil"/>
              <w:bottom w:val="single" w:sz="4" w:space="0" w:color="auto"/>
              <w:right w:val="single" w:sz="4" w:space="0" w:color="auto"/>
            </w:tcBorders>
            <w:shd w:val="clear" w:color="000000" w:fill="FFFFFF"/>
            <w:vAlign w:val="center"/>
          </w:tcPr>
          <w:p w:rsidR="00664EE5" w:rsidRPr="00AC77CF" w:rsidRDefault="00664EE5" w:rsidP="00D135AC">
            <w:pPr>
              <w:ind w:left="-192" w:right="-167"/>
              <w:jc w:val="center"/>
              <w:rPr>
                <w:i/>
                <w:sz w:val="20"/>
                <w:szCs w:val="20"/>
              </w:rPr>
            </w:pPr>
            <w:r w:rsidRPr="00AC77CF">
              <w:rPr>
                <w:i/>
                <w:sz w:val="20"/>
                <w:szCs w:val="20"/>
              </w:rPr>
              <w:t>2,1</w:t>
            </w:r>
          </w:p>
        </w:tc>
        <w:tc>
          <w:tcPr>
            <w:tcW w:w="1124" w:type="dxa"/>
            <w:tcBorders>
              <w:top w:val="nil"/>
              <w:left w:val="nil"/>
              <w:bottom w:val="single" w:sz="4" w:space="0" w:color="auto"/>
              <w:right w:val="single" w:sz="4" w:space="0" w:color="auto"/>
            </w:tcBorders>
            <w:shd w:val="clear" w:color="auto" w:fill="auto"/>
            <w:vAlign w:val="center"/>
          </w:tcPr>
          <w:p w:rsidR="00664EE5" w:rsidRPr="00AC77CF" w:rsidRDefault="00664EE5" w:rsidP="00191861">
            <w:pPr>
              <w:jc w:val="center"/>
              <w:rPr>
                <w:i/>
                <w:sz w:val="20"/>
                <w:szCs w:val="20"/>
              </w:rPr>
            </w:pPr>
            <w:r w:rsidRPr="00AC77CF">
              <w:rPr>
                <w:i/>
                <w:sz w:val="20"/>
                <w:szCs w:val="20"/>
              </w:rPr>
              <w:t>-</w:t>
            </w:r>
          </w:p>
        </w:tc>
        <w:tc>
          <w:tcPr>
            <w:tcW w:w="1150" w:type="dxa"/>
            <w:tcBorders>
              <w:top w:val="nil"/>
              <w:left w:val="nil"/>
              <w:bottom w:val="single" w:sz="4" w:space="0" w:color="auto"/>
              <w:right w:val="single" w:sz="4" w:space="0" w:color="auto"/>
            </w:tcBorders>
            <w:shd w:val="clear" w:color="auto" w:fill="auto"/>
            <w:vAlign w:val="center"/>
          </w:tcPr>
          <w:p w:rsidR="00664EE5" w:rsidRPr="00AC77CF" w:rsidRDefault="00664EE5" w:rsidP="00191861">
            <w:pPr>
              <w:jc w:val="center"/>
              <w:rPr>
                <w:sz w:val="20"/>
                <w:szCs w:val="20"/>
              </w:rPr>
            </w:pPr>
            <w:r w:rsidRPr="00AC77CF">
              <w:rPr>
                <w:bCs/>
                <w:sz w:val="20"/>
                <w:szCs w:val="20"/>
              </w:rPr>
              <w:t>0,0</w:t>
            </w:r>
          </w:p>
        </w:tc>
      </w:tr>
      <w:tr w:rsidR="00664EE5" w:rsidRPr="00AC77CF" w:rsidTr="00D135AC">
        <w:trPr>
          <w:trHeight w:val="1241"/>
        </w:trPr>
        <w:tc>
          <w:tcPr>
            <w:tcW w:w="5387" w:type="dxa"/>
            <w:tcBorders>
              <w:top w:val="nil"/>
              <w:left w:val="single" w:sz="4" w:space="0" w:color="auto"/>
              <w:bottom w:val="single" w:sz="4" w:space="0" w:color="auto"/>
              <w:right w:val="single" w:sz="4" w:space="0" w:color="auto"/>
            </w:tcBorders>
            <w:shd w:val="clear" w:color="auto" w:fill="auto"/>
            <w:hideMark/>
          </w:tcPr>
          <w:p w:rsidR="00D135AC" w:rsidRDefault="00664EE5" w:rsidP="00191861">
            <w:pPr>
              <w:rPr>
                <w:i/>
                <w:sz w:val="19"/>
                <w:szCs w:val="19"/>
              </w:rPr>
            </w:pPr>
            <w:r w:rsidRPr="00BB43C2">
              <w:rPr>
                <w:i/>
                <w:sz w:val="19"/>
                <w:szCs w:val="19"/>
              </w:rPr>
              <w:t xml:space="preserve">Межбюджетные трансферты на 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 </w:t>
            </w:r>
            <w:proofErr w:type="spellStart"/>
            <w:proofErr w:type="gramStart"/>
            <w:r w:rsidRPr="00BB43C2">
              <w:rPr>
                <w:i/>
                <w:sz w:val="19"/>
                <w:szCs w:val="19"/>
              </w:rPr>
              <w:t>коронавирусной</w:t>
            </w:r>
            <w:proofErr w:type="spellEnd"/>
            <w:r w:rsidRPr="00BB43C2">
              <w:rPr>
                <w:i/>
                <w:sz w:val="19"/>
                <w:szCs w:val="19"/>
              </w:rPr>
              <w:t xml:space="preserve">  инфекцией</w:t>
            </w:r>
            <w:proofErr w:type="gramEnd"/>
            <w:r w:rsidRPr="00BB43C2">
              <w:rPr>
                <w:i/>
                <w:sz w:val="19"/>
                <w:szCs w:val="19"/>
              </w:rPr>
              <w:t xml:space="preserve"> (</w:t>
            </w:r>
            <w:r w:rsidRPr="00BB43C2">
              <w:rPr>
                <w:i/>
                <w:sz w:val="19"/>
                <w:szCs w:val="19"/>
                <w:lang w:val="en-US"/>
              </w:rPr>
              <w:t>COVID</w:t>
            </w:r>
            <w:r w:rsidRPr="00BB43C2">
              <w:rPr>
                <w:i/>
                <w:sz w:val="19"/>
                <w:szCs w:val="19"/>
              </w:rPr>
              <w:t>-19), в рамках реализации территориальных программ обязательного медицинского страхования</w:t>
            </w:r>
          </w:p>
          <w:p w:rsidR="0069779E" w:rsidRPr="0069779E" w:rsidRDefault="0069779E" w:rsidP="00191861">
            <w:pPr>
              <w:rPr>
                <w:i/>
                <w:sz w:val="4"/>
                <w:szCs w:val="4"/>
              </w:rPr>
            </w:pPr>
          </w:p>
          <w:p w:rsidR="00AC77CF" w:rsidRPr="00BB43C2" w:rsidRDefault="00AC77CF" w:rsidP="00191861">
            <w:pPr>
              <w:rPr>
                <w:i/>
                <w:sz w:val="19"/>
                <w:szCs w:val="19"/>
              </w:rPr>
            </w:pPr>
          </w:p>
        </w:tc>
        <w:tc>
          <w:tcPr>
            <w:tcW w:w="1359" w:type="dxa"/>
            <w:tcBorders>
              <w:top w:val="nil"/>
              <w:left w:val="nil"/>
              <w:bottom w:val="single" w:sz="4" w:space="0" w:color="auto"/>
              <w:right w:val="single" w:sz="4" w:space="0" w:color="auto"/>
            </w:tcBorders>
            <w:shd w:val="clear" w:color="000000" w:fill="FFFFFF"/>
            <w:vAlign w:val="center"/>
          </w:tcPr>
          <w:p w:rsidR="00664EE5" w:rsidRPr="00AC77CF" w:rsidRDefault="00664EE5" w:rsidP="00191861">
            <w:pPr>
              <w:jc w:val="center"/>
              <w:rPr>
                <w:i/>
                <w:sz w:val="20"/>
                <w:szCs w:val="20"/>
              </w:rPr>
            </w:pPr>
            <w:r w:rsidRPr="00AC77CF">
              <w:rPr>
                <w:i/>
                <w:sz w:val="20"/>
                <w:szCs w:val="20"/>
              </w:rPr>
              <w:t>-</w:t>
            </w:r>
          </w:p>
        </w:tc>
        <w:tc>
          <w:tcPr>
            <w:tcW w:w="924" w:type="dxa"/>
            <w:tcBorders>
              <w:top w:val="nil"/>
              <w:left w:val="nil"/>
              <w:bottom w:val="single" w:sz="4" w:space="0" w:color="auto"/>
              <w:right w:val="single" w:sz="4" w:space="0" w:color="auto"/>
            </w:tcBorders>
            <w:shd w:val="clear" w:color="000000" w:fill="FFFFFF"/>
            <w:vAlign w:val="center"/>
          </w:tcPr>
          <w:p w:rsidR="00664EE5" w:rsidRPr="00AC77CF" w:rsidRDefault="00664EE5" w:rsidP="00D135AC">
            <w:pPr>
              <w:ind w:left="-192" w:right="-167"/>
              <w:jc w:val="center"/>
              <w:rPr>
                <w:i/>
                <w:sz w:val="20"/>
                <w:szCs w:val="20"/>
              </w:rPr>
            </w:pPr>
            <w:r w:rsidRPr="00AC77CF">
              <w:rPr>
                <w:i/>
                <w:sz w:val="20"/>
                <w:szCs w:val="20"/>
              </w:rPr>
              <w:t>7 295,1</w:t>
            </w:r>
          </w:p>
        </w:tc>
        <w:tc>
          <w:tcPr>
            <w:tcW w:w="1124" w:type="dxa"/>
            <w:tcBorders>
              <w:top w:val="nil"/>
              <w:left w:val="nil"/>
              <w:bottom w:val="single" w:sz="4" w:space="0" w:color="auto"/>
              <w:right w:val="single" w:sz="4" w:space="0" w:color="auto"/>
            </w:tcBorders>
            <w:shd w:val="clear" w:color="auto" w:fill="auto"/>
            <w:vAlign w:val="center"/>
          </w:tcPr>
          <w:p w:rsidR="00664EE5" w:rsidRPr="00AC77CF" w:rsidRDefault="00664EE5" w:rsidP="00191861">
            <w:pPr>
              <w:jc w:val="center"/>
              <w:rPr>
                <w:i/>
                <w:sz w:val="20"/>
                <w:szCs w:val="20"/>
              </w:rPr>
            </w:pPr>
            <w:r w:rsidRPr="00AC77CF">
              <w:rPr>
                <w:i/>
                <w:sz w:val="20"/>
                <w:szCs w:val="20"/>
              </w:rPr>
              <w:t>-</w:t>
            </w:r>
          </w:p>
        </w:tc>
        <w:tc>
          <w:tcPr>
            <w:tcW w:w="1150" w:type="dxa"/>
            <w:tcBorders>
              <w:top w:val="nil"/>
              <w:left w:val="nil"/>
              <w:bottom w:val="single" w:sz="4" w:space="0" w:color="auto"/>
              <w:right w:val="single" w:sz="4" w:space="0" w:color="auto"/>
            </w:tcBorders>
            <w:shd w:val="clear" w:color="auto" w:fill="auto"/>
            <w:vAlign w:val="center"/>
          </w:tcPr>
          <w:p w:rsidR="00664EE5" w:rsidRPr="00AC77CF" w:rsidRDefault="00664EE5" w:rsidP="00191861">
            <w:pPr>
              <w:jc w:val="center"/>
              <w:rPr>
                <w:bCs/>
                <w:sz w:val="20"/>
                <w:szCs w:val="20"/>
              </w:rPr>
            </w:pPr>
            <w:r w:rsidRPr="00AC77CF">
              <w:rPr>
                <w:bCs/>
                <w:sz w:val="20"/>
                <w:szCs w:val="20"/>
              </w:rPr>
              <w:t>0,9</w:t>
            </w:r>
          </w:p>
        </w:tc>
      </w:tr>
      <w:tr w:rsidR="00664EE5" w:rsidRPr="00AC77CF" w:rsidTr="00D135AC">
        <w:trPr>
          <w:trHeight w:val="139"/>
        </w:trPr>
        <w:tc>
          <w:tcPr>
            <w:tcW w:w="5387" w:type="dxa"/>
            <w:tcBorders>
              <w:top w:val="nil"/>
              <w:left w:val="single" w:sz="4" w:space="0" w:color="auto"/>
              <w:bottom w:val="single" w:sz="4" w:space="0" w:color="auto"/>
              <w:right w:val="single" w:sz="4" w:space="0" w:color="auto"/>
            </w:tcBorders>
            <w:shd w:val="clear" w:color="auto" w:fill="auto"/>
            <w:hideMark/>
          </w:tcPr>
          <w:p w:rsidR="00AC77CF" w:rsidRDefault="00664EE5" w:rsidP="00D135AC">
            <w:pPr>
              <w:rPr>
                <w:sz w:val="19"/>
                <w:szCs w:val="19"/>
              </w:rPr>
            </w:pPr>
            <w:r w:rsidRPr="00BB43C2">
              <w:rPr>
                <w:sz w:val="19"/>
                <w:szCs w:val="19"/>
              </w:rPr>
              <w:t>Прочие межбюджетные трансферты, передаваемые бюджетам территориальных фондов ОМС</w:t>
            </w:r>
          </w:p>
          <w:p w:rsidR="0069779E" w:rsidRPr="0069779E" w:rsidRDefault="0069779E" w:rsidP="00D135AC">
            <w:pPr>
              <w:rPr>
                <w:sz w:val="4"/>
                <w:szCs w:val="4"/>
              </w:rPr>
            </w:pPr>
          </w:p>
        </w:tc>
        <w:tc>
          <w:tcPr>
            <w:tcW w:w="1359" w:type="dxa"/>
            <w:tcBorders>
              <w:top w:val="nil"/>
              <w:left w:val="nil"/>
              <w:bottom w:val="single" w:sz="4" w:space="0" w:color="auto"/>
              <w:right w:val="single" w:sz="4" w:space="0" w:color="auto"/>
            </w:tcBorders>
            <w:shd w:val="clear" w:color="000000" w:fill="FFFFFF"/>
            <w:vAlign w:val="center"/>
          </w:tcPr>
          <w:p w:rsidR="00664EE5" w:rsidRPr="00AC77CF" w:rsidRDefault="00664EE5" w:rsidP="00191861">
            <w:pPr>
              <w:jc w:val="center"/>
              <w:rPr>
                <w:sz w:val="20"/>
                <w:szCs w:val="20"/>
              </w:rPr>
            </w:pPr>
            <w:r w:rsidRPr="00AC77CF">
              <w:rPr>
                <w:sz w:val="20"/>
                <w:szCs w:val="20"/>
              </w:rPr>
              <w:t>45 500,0</w:t>
            </w:r>
          </w:p>
        </w:tc>
        <w:tc>
          <w:tcPr>
            <w:tcW w:w="924" w:type="dxa"/>
            <w:tcBorders>
              <w:top w:val="nil"/>
              <w:left w:val="nil"/>
              <w:bottom w:val="single" w:sz="4" w:space="0" w:color="auto"/>
              <w:right w:val="single" w:sz="4" w:space="0" w:color="auto"/>
            </w:tcBorders>
            <w:shd w:val="clear" w:color="auto" w:fill="auto"/>
            <w:vAlign w:val="center"/>
          </w:tcPr>
          <w:p w:rsidR="00664EE5" w:rsidRPr="00AC77CF" w:rsidRDefault="00664EE5" w:rsidP="00D135AC">
            <w:pPr>
              <w:ind w:left="-192" w:right="-167"/>
              <w:jc w:val="center"/>
              <w:rPr>
                <w:sz w:val="20"/>
                <w:szCs w:val="20"/>
              </w:rPr>
            </w:pPr>
            <w:r w:rsidRPr="00AC77CF">
              <w:rPr>
                <w:sz w:val="20"/>
                <w:szCs w:val="20"/>
              </w:rPr>
              <w:t>22 812,9</w:t>
            </w:r>
          </w:p>
        </w:tc>
        <w:tc>
          <w:tcPr>
            <w:tcW w:w="1124" w:type="dxa"/>
            <w:tcBorders>
              <w:top w:val="nil"/>
              <w:left w:val="nil"/>
              <w:bottom w:val="single" w:sz="4" w:space="0" w:color="auto"/>
              <w:right w:val="single" w:sz="4" w:space="0" w:color="auto"/>
            </w:tcBorders>
            <w:shd w:val="clear" w:color="auto" w:fill="auto"/>
            <w:vAlign w:val="center"/>
          </w:tcPr>
          <w:p w:rsidR="00664EE5" w:rsidRPr="00AC77CF" w:rsidRDefault="00664EE5" w:rsidP="00191861">
            <w:pPr>
              <w:jc w:val="center"/>
              <w:rPr>
                <w:sz w:val="20"/>
                <w:szCs w:val="20"/>
              </w:rPr>
            </w:pPr>
            <w:r w:rsidRPr="00AC77CF">
              <w:rPr>
                <w:sz w:val="20"/>
                <w:szCs w:val="20"/>
              </w:rPr>
              <w:t>50,1</w:t>
            </w:r>
          </w:p>
        </w:tc>
        <w:tc>
          <w:tcPr>
            <w:tcW w:w="1150" w:type="dxa"/>
            <w:tcBorders>
              <w:top w:val="nil"/>
              <w:left w:val="nil"/>
              <w:bottom w:val="single" w:sz="4" w:space="0" w:color="auto"/>
              <w:right w:val="single" w:sz="4" w:space="0" w:color="auto"/>
            </w:tcBorders>
            <w:shd w:val="clear" w:color="auto" w:fill="auto"/>
            <w:vAlign w:val="center"/>
          </w:tcPr>
          <w:p w:rsidR="00664EE5" w:rsidRPr="00AC77CF" w:rsidRDefault="00664EE5" w:rsidP="00191861">
            <w:pPr>
              <w:jc w:val="center"/>
              <w:rPr>
                <w:sz w:val="20"/>
                <w:szCs w:val="20"/>
              </w:rPr>
            </w:pPr>
            <w:r w:rsidRPr="00AC77CF">
              <w:rPr>
                <w:bCs/>
                <w:sz w:val="20"/>
                <w:szCs w:val="20"/>
              </w:rPr>
              <w:t>2,7</w:t>
            </w:r>
          </w:p>
        </w:tc>
      </w:tr>
      <w:tr w:rsidR="00664EE5" w:rsidRPr="00AC77CF" w:rsidTr="00D135AC">
        <w:trPr>
          <w:trHeight w:val="273"/>
        </w:trPr>
        <w:tc>
          <w:tcPr>
            <w:tcW w:w="5387" w:type="dxa"/>
            <w:tcBorders>
              <w:top w:val="nil"/>
              <w:left w:val="single" w:sz="4" w:space="0" w:color="auto"/>
              <w:bottom w:val="single" w:sz="4" w:space="0" w:color="auto"/>
              <w:right w:val="single" w:sz="4" w:space="0" w:color="auto"/>
            </w:tcBorders>
            <w:shd w:val="clear" w:color="auto" w:fill="auto"/>
            <w:hideMark/>
          </w:tcPr>
          <w:p w:rsidR="00D135AC" w:rsidRDefault="00664EE5" w:rsidP="00191861">
            <w:pPr>
              <w:rPr>
                <w:sz w:val="19"/>
                <w:szCs w:val="19"/>
              </w:rPr>
            </w:pPr>
            <w:r w:rsidRPr="00BB43C2">
              <w:rPr>
                <w:sz w:val="19"/>
                <w:szCs w:val="19"/>
              </w:rPr>
              <w:t>Доходы бюджетов бюджетной системы РФ от возврата остатков субсидий, субвенций и иных межбюджетных трансфертов, имеющих целевое назначение, прошлых лет</w:t>
            </w:r>
          </w:p>
          <w:p w:rsidR="0069779E" w:rsidRPr="0069779E" w:rsidRDefault="0069779E" w:rsidP="00191861">
            <w:pPr>
              <w:rPr>
                <w:sz w:val="4"/>
                <w:szCs w:val="4"/>
              </w:rPr>
            </w:pPr>
          </w:p>
          <w:p w:rsidR="00AC77CF" w:rsidRPr="00BB43C2" w:rsidRDefault="00AC77CF" w:rsidP="00191861">
            <w:pPr>
              <w:rPr>
                <w:sz w:val="19"/>
                <w:szCs w:val="19"/>
              </w:rPr>
            </w:pPr>
          </w:p>
        </w:tc>
        <w:tc>
          <w:tcPr>
            <w:tcW w:w="1359" w:type="dxa"/>
            <w:tcBorders>
              <w:top w:val="nil"/>
              <w:left w:val="nil"/>
              <w:bottom w:val="single" w:sz="4" w:space="0" w:color="auto"/>
              <w:right w:val="single" w:sz="4" w:space="0" w:color="auto"/>
            </w:tcBorders>
            <w:shd w:val="clear" w:color="000000" w:fill="FFFFFF"/>
            <w:vAlign w:val="center"/>
          </w:tcPr>
          <w:p w:rsidR="00664EE5" w:rsidRPr="00AC77CF" w:rsidRDefault="00664EE5" w:rsidP="00191861">
            <w:pPr>
              <w:jc w:val="center"/>
              <w:rPr>
                <w:sz w:val="20"/>
                <w:szCs w:val="20"/>
              </w:rPr>
            </w:pPr>
            <w:r w:rsidRPr="00AC77CF">
              <w:rPr>
                <w:sz w:val="20"/>
                <w:szCs w:val="20"/>
              </w:rPr>
              <w:t>-</w:t>
            </w:r>
          </w:p>
        </w:tc>
        <w:tc>
          <w:tcPr>
            <w:tcW w:w="924" w:type="dxa"/>
            <w:tcBorders>
              <w:top w:val="nil"/>
              <w:left w:val="nil"/>
              <w:bottom w:val="single" w:sz="4" w:space="0" w:color="auto"/>
              <w:right w:val="single" w:sz="4" w:space="0" w:color="auto"/>
            </w:tcBorders>
            <w:shd w:val="clear" w:color="000000" w:fill="FFFFFF"/>
            <w:vAlign w:val="center"/>
          </w:tcPr>
          <w:p w:rsidR="00664EE5" w:rsidRPr="00AC77CF" w:rsidRDefault="00664EE5" w:rsidP="00D135AC">
            <w:pPr>
              <w:ind w:left="-192" w:right="-167"/>
              <w:jc w:val="center"/>
              <w:rPr>
                <w:sz w:val="20"/>
                <w:szCs w:val="20"/>
              </w:rPr>
            </w:pPr>
            <w:r w:rsidRPr="00AC77CF">
              <w:rPr>
                <w:sz w:val="20"/>
                <w:szCs w:val="20"/>
              </w:rPr>
              <w:t>29,4</w:t>
            </w:r>
          </w:p>
        </w:tc>
        <w:tc>
          <w:tcPr>
            <w:tcW w:w="1124" w:type="dxa"/>
            <w:tcBorders>
              <w:top w:val="nil"/>
              <w:left w:val="nil"/>
              <w:bottom w:val="single" w:sz="4" w:space="0" w:color="auto"/>
              <w:right w:val="single" w:sz="4" w:space="0" w:color="auto"/>
            </w:tcBorders>
            <w:shd w:val="clear" w:color="auto" w:fill="auto"/>
            <w:vAlign w:val="center"/>
          </w:tcPr>
          <w:p w:rsidR="00664EE5" w:rsidRPr="00AC77CF" w:rsidRDefault="00664EE5" w:rsidP="00191861">
            <w:pPr>
              <w:jc w:val="center"/>
              <w:rPr>
                <w:sz w:val="20"/>
                <w:szCs w:val="20"/>
              </w:rPr>
            </w:pPr>
            <w:r w:rsidRPr="00AC77CF">
              <w:rPr>
                <w:sz w:val="20"/>
                <w:szCs w:val="20"/>
              </w:rPr>
              <w:t>-</w:t>
            </w:r>
          </w:p>
        </w:tc>
        <w:tc>
          <w:tcPr>
            <w:tcW w:w="1150" w:type="dxa"/>
            <w:tcBorders>
              <w:top w:val="nil"/>
              <w:left w:val="nil"/>
              <w:bottom w:val="single" w:sz="4" w:space="0" w:color="auto"/>
              <w:right w:val="single" w:sz="4" w:space="0" w:color="auto"/>
            </w:tcBorders>
            <w:shd w:val="clear" w:color="auto" w:fill="auto"/>
            <w:vAlign w:val="center"/>
          </w:tcPr>
          <w:p w:rsidR="00664EE5" w:rsidRPr="00AC77CF" w:rsidRDefault="00664EE5" w:rsidP="00191861">
            <w:pPr>
              <w:jc w:val="center"/>
              <w:rPr>
                <w:sz w:val="20"/>
                <w:szCs w:val="20"/>
              </w:rPr>
            </w:pPr>
            <w:r w:rsidRPr="00AC77CF">
              <w:rPr>
                <w:bCs/>
                <w:sz w:val="20"/>
                <w:szCs w:val="20"/>
              </w:rPr>
              <w:t>0,0</w:t>
            </w:r>
          </w:p>
        </w:tc>
      </w:tr>
      <w:tr w:rsidR="00664EE5" w:rsidRPr="00AC77CF" w:rsidTr="00D135AC">
        <w:trPr>
          <w:trHeight w:val="441"/>
        </w:trPr>
        <w:tc>
          <w:tcPr>
            <w:tcW w:w="5387" w:type="dxa"/>
            <w:tcBorders>
              <w:top w:val="nil"/>
              <w:left w:val="single" w:sz="4" w:space="0" w:color="auto"/>
              <w:bottom w:val="single" w:sz="4" w:space="0" w:color="auto"/>
              <w:right w:val="single" w:sz="4" w:space="0" w:color="auto"/>
            </w:tcBorders>
            <w:shd w:val="clear" w:color="auto" w:fill="auto"/>
          </w:tcPr>
          <w:p w:rsidR="00AC77CF" w:rsidRDefault="00664EE5" w:rsidP="00D135AC">
            <w:pPr>
              <w:rPr>
                <w:sz w:val="19"/>
                <w:szCs w:val="19"/>
              </w:rPr>
            </w:pPr>
            <w:r w:rsidRPr="00BB43C2">
              <w:rPr>
                <w:sz w:val="19"/>
                <w:szCs w:val="19"/>
              </w:rPr>
              <w:t xml:space="preserve">Возврат остатков субсидий, субвенций и иных межбюджетных трансфертов, имеющих целевое назначение, прошлых лет </w:t>
            </w:r>
          </w:p>
          <w:p w:rsidR="0069779E" w:rsidRPr="0069779E" w:rsidRDefault="0069779E" w:rsidP="00D135AC">
            <w:pPr>
              <w:rPr>
                <w:sz w:val="4"/>
                <w:szCs w:val="4"/>
              </w:rPr>
            </w:pPr>
          </w:p>
        </w:tc>
        <w:tc>
          <w:tcPr>
            <w:tcW w:w="1359" w:type="dxa"/>
            <w:tcBorders>
              <w:top w:val="nil"/>
              <w:left w:val="nil"/>
              <w:bottom w:val="single" w:sz="4" w:space="0" w:color="auto"/>
              <w:right w:val="single" w:sz="4" w:space="0" w:color="auto"/>
            </w:tcBorders>
            <w:shd w:val="clear" w:color="000000" w:fill="FFFFFF"/>
            <w:vAlign w:val="center"/>
          </w:tcPr>
          <w:p w:rsidR="00664EE5" w:rsidRPr="00AC77CF" w:rsidRDefault="00664EE5" w:rsidP="00191861">
            <w:pPr>
              <w:jc w:val="center"/>
              <w:rPr>
                <w:sz w:val="20"/>
                <w:szCs w:val="20"/>
              </w:rPr>
            </w:pPr>
            <w:r w:rsidRPr="00AC77CF">
              <w:rPr>
                <w:sz w:val="20"/>
                <w:szCs w:val="20"/>
              </w:rPr>
              <w:t>-</w:t>
            </w:r>
          </w:p>
        </w:tc>
        <w:tc>
          <w:tcPr>
            <w:tcW w:w="924" w:type="dxa"/>
            <w:tcBorders>
              <w:top w:val="nil"/>
              <w:left w:val="nil"/>
              <w:bottom w:val="single" w:sz="4" w:space="0" w:color="auto"/>
              <w:right w:val="single" w:sz="4" w:space="0" w:color="auto"/>
            </w:tcBorders>
            <w:shd w:val="clear" w:color="000000" w:fill="FFFFFF"/>
            <w:vAlign w:val="center"/>
          </w:tcPr>
          <w:p w:rsidR="00664EE5" w:rsidRPr="00AC77CF" w:rsidRDefault="00664EE5" w:rsidP="00D135AC">
            <w:pPr>
              <w:ind w:left="-192" w:right="-167"/>
              <w:jc w:val="center"/>
              <w:rPr>
                <w:sz w:val="20"/>
                <w:szCs w:val="20"/>
              </w:rPr>
            </w:pPr>
            <w:r w:rsidRPr="00AC77CF">
              <w:rPr>
                <w:sz w:val="20"/>
                <w:szCs w:val="20"/>
              </w:rPr>
              <w:t>-127 528,5</w:t>
            </w:r>
          </w:p>
        </w:tc>
        <w:tc>
          <w:tcPr>
            <w:tcW w:w="1124" w:type="dxa"/>
            <w:tcBorders>
              <w:top w:val="nil"/>
              <w:left w:val="nil"/>
              <w:bottom w:val="single" w:sz="4" w:space="0" w:color="auto"/>
              <w:right w:val="single" w:sz="4" w:space="0" w:color="auto"/>
            </w:tcBorders>
            <w:shd w:val="clear" w:color="auto" w:fill="auto"/>
            <w:vAlign w:val="center"/>
          </w:tcPr>
          <w:p w:rsidR="00664EE5" w:rsidRPr="00AC77CF" w:rsidRDefault="00664EE5" w:rsidP="00191861">
            <w:pPr>
              <w:jc w:val="center"/>
              <w:rPr>
                <w:sz w:val="20"/>
                <w:szCs w:val="20"/>
              </w:rPr>
            </w:pPr>
            <w:r w:rsidRPr="00AC77CF">
              <w:rPr>
                <w:sz w:val="20"/>
                <w:szCs w:val="20"/>
              </w:rPr>
              <w:t>-</w:t>
            </w:r>
          </w:p>
        </w:tc>
        <w:tc>
          <w:tcPr>
            <w:tcW w:w="1150" w:type="dxa"/>
            <w:tcBorders>
              <w:top w:val="nil"/>
              <w:left w:val="nil"/>
              <w:bottom w:val="single" w:sz="4" w:space="0" w:color="auto"/>
              <w:right w:val="single" w:sz="4" w:space="0" w:color="auto"/>
            </w:tcBorders>
            <w:shd w:val="clear" w:color="auto" w:fill="auto"/>
            <w:vAlign w:val="center"/>
          </w:tcPr>
          <w:p w:rsidR="00664EE5" w:rsidRPr="00AC77CF" w:rsidRDefault="00664EE5" w:rsidP="00191861">
            <w:pPr>
              <w:jc w:val="center"/>
              <w:rPr>
                <w:sz w:val="20"/>
                <w:szCs w:val="20"/>
              </w:rPr>
            </w:pPr>
            <w:r w:rsidRPr="00AC77CF">
              <w:rPr>
                <w:bCs/>
                <w:sz w:val="20"/>
                <w:szCs w:val="20"/>
              </w:rPr>
              <w:t>-15,1</w:t>
            </w:r>
          </w:p>
        </w:tc>
      </w:tr>
    </w:tbl>
    <w:p w:rsidR="00664EE5" w:rsidRPr="00467F9C" w:rsidRDefault="00664EE5" w:rsidP="00191861">
      <w:pPr>
        <w:pStyle w:val="a3"/>
        <w:tabs>
          <w:tab w:val="left" w:pos="720"/>
          <w:tab w:val="left" w:pos="2700"/>
          <w:tab w:val="left" w:pos="3060"/>
        </w:tabs>
        <w:ind w:firstLine="709"/>
        <w:jc w:val="both"/>
      </w:pPr>
    </w:p>
    <w:p w:rsidR="00664EE5" w:rsidRPr="00467F9C" w:rsidRDefault="00664EE5" w:rsidP="00191861">
      <w:pPr>
        <w:pStyle w:val="a3"/>
        <w:tabs>
          <w:tab w:val="left" w:pos="720"/>
          <w:tab w:val="left" w:pos="2700"/>
          <w:tab w:val="left" w:pos="3060"/>
        </w:tabs>
        <w:ind w:firstLine="709"/>
        <w:jc w:val="both"/>
        <w:rPr>
          <w:b w:val="0"/>
        </w:rPr>
      </w:pPr>
      <w:r w:rsidRPr="00467F9C">
        <w:t>Налоговые и неналоговые доходы</w:t>
      </w:r>
      <w:r w:rsidRPr="00467F9C">
        <w:rPr>
          <w:b w:val="0"/>
        </w:rPr>
        <w:t xml:space="preserve"> за январь-март текущего года поступили в бюджет Фонда в объеме 1 768,4 тыс. рублей (12,6% плановых назначений) и в структуре доходов бюджета Фонда составили 0,2%, по сравнению с аналогичным периодом прошлого года объем поступлений уменьшился на 3 706,7 тыс. рублей или на 67,7%.</w:t>
      </w:r>
    </w:p>
    <w:p w:rsidR="00664EE5" w:rsidRPr="00467F9C" w:rsidRDefault="00664EE5" w:rsidP="00191861">
      <w:pPr>
        <w:pStyle w:val="a3"/>
        <w:tabs>
          <w:tab w:val="left" w:pos="720"/>
          <w:tab w:val="left" w:pos="2700"/>
          <w:tab w:val="left" w:pos="3060"/>
        </w:tabs>
        <w:ind w:firstLine="709"/>
        <w:jc w:val="both"/>
        <w:rPr>
          <w:b w:val="0"/>
        </w:rPr>
      </w:pPr>
      <w:r w:rsidRPr="00467F9C">
        <w:rPr>
          <w:b w:val="0"/>
        </w:rPr>
        <w:t xml:space="preserve">Основная часть доходов бюджета Фонда (99,8%) сформирована за счет </w:t>
      </w:r>
      <w:r w:rsidRPr="00467F9C">
        <w:t>безвозмездных поступлений</w:t>
      </w:r>
      <w:r w:rsidRPr="00467F9C">
        <w:rPr>
          <w:b w:val="0"/>
        </w:rPr>
        <w:t>, объем которых за 1 квартал текущего года                               (с учетом возврата остатков субсидий, субвенций и иных межбюджетных трансфертов, имеющих целевое назначение, прошлых лет) составил                    843 604,0 тыс. рублей, или 23% годовых бюджетных назначений, из них:</w:t>
      </w:r>
    </w:p>
    <w:p w:rsidR="00664EE5" w:rsidRPr="00467F9C" w:rsidRDefault="00664EE5" w:rsidP="00191861">
      <w:pPr>
        <w:pStyle w:val="af8"/>
        <w:ind w:firstLine="709"/>
        <w:jc w:val="both"/>
        <w:rPr>
          <w:sz w:val="28"/>
          <w:szCs w:val="28"/>
        </w:rPr>
      </w:pPr>
      <w:r w:rsidRPr="00467F9C">
        <w:rPr>
          <w:sz w:val="28"/>
          <w:szCs w:val="28"/>
        </w:rPr>
        <w:lastRenderedPageBreak/>
        <w:t xml:space="preserve">- межбюджетные трансферты из окружного бюджета на </w:t>
      </w:r>
      <w:r w:rsidRPr="00467F9C">
        <w:rPr>
          <w:iCs/>
          <w:sz w:val="28"/>
          <w:szCs w:val="28"/>
        </w:rPr>
        <w:t>дополнительное финансовое обеспечение реализации территориальной программы ОМС в части базовой и сверх базовой программы ОМС</w:t>
      </w:r>
      <w:r w:rsidRPr="00467F9C">
        <w:rPr>
          <w:sz w:val="28"/>
          <w:szCs w:val="28"/>
        </w:rPr>
        <w:t xml:space="preserve"> – 292 052,4 тыс. рублей или 25%  от годовых бюджетных назначений, что на  36 180,0  тыс. рублей (11%) меньше объема трансфертов, поступивших в аналогичном периоде 2021 года                         (328 232,4 тыс. рублей); </w:t>
      </w:r>
    </w:p>
    <w:p w:rsidR="00664EE5" w:rsidRPr="00467F9C" w:rsidRDefault="00664EE5" w:rsidP="00191861">
      <w:pPr>
        <w:pStyle w:val="af8"/>
        <w:ind w:firstLine="709"/>
        <w:jc w:val="both"/>
        <w:rPr>
          <w:sz w:val="28"/>
          <w:szCs w:val="28"/>
        </w:rPr>
      </w:pPr>
      <w:r w:rsidRPr="00467F9C">
        <w:rPr>
          <w:sz w:val="28"/>
          <w:szCs w:val="28"/>
        </w:rPr>
        <w:t>- межбюджетные трансферты Федерального фонда ОМС, передаваемые бюджетам территориальных фондов ОМС – в объеме 656 237,8 тыс. рублей, или 26,7% от годовых бюджетных назначений, в том числе:</w:t>
      </w:r>
    </w:p>
    <w:p w:rsidR="00664EE5" w:rsidRPr="00467F9C" w:rsidRDefault="00664EE5" w:rsidP="00191861">
      <w:pPr>
        <w:pStyle w:val="af8"/>
        <w:ind w:firstLine="709"/>
        <w:jc w:val="both"/>
        <w:rPr>
          <w:sz w:val="28"/>
          <w:szCs w:val="28"/>
        </w:rPr>
      </w:pPr>
      <w:r w:rsidRPr="00467F9C">
        <w:rPr>
          <w:sz w:val="28"/>
          <w:szCs w:val="28"/>
        </w:rPr>
        <w:t>637 411,3 тыс. рублей – субвенции бюджетам территориальных фондов ОМС на финансовое обеспечение организации ОМС на территориях субъектов РФ;</w:t>
      </w:r>
    </w:p>
    <w:p w:rsidR="00664EE5" w:rsidRPr="00467F9C" w:rsidRDefault="00664EE5" w:rsidP="00191861">
      <w:pPr>
        <w:pStyle w:val="af8"/>
        <w:ind w:firstLine="709"/>
        <w:jc w:val="both"/>
        <w:rPr>
          <w:sz w:val="28"/>
          <w:szCs w:val="28"/>
        </w:rPr>
      </w:pPr>
      <w:r w:rsidRPr="00467F9C">
        <w:rPr>
          <w:sz w:val="28"/>
          <w:szCs w:val="28"/>
        </w:rPr>
        <w:t xml:space="preserve">11 529,3 тыс. рублей – межбюджетные трансферты на финансовое обеспечение формирования нормированного страхового запаса (далее – НСЗ) для </w:t>
      </w:r>
      <w:proofErr w:type="spellStart"/>
      <w:r w:rsidRPr="00467F9C">
        <w:rPr>
          <w:sz w:val="28"/>
          <w:szCs w:val="28"/>
        </w:rPr>
        <w:t>софинансирования</w:t>
      </w:r>
      <w:proofErr w:type="spellEnd"/>
      <w:r w:rsidRPr="00467F9C">
        <w:rPr>
          <w:sz w:val="28"/>
          <w:szCs w:val="28"/>
        </w:rPr>
        <w:t xml:space="preserve"> расходов медицинских организаций на оплату труда врачей и среднего медицинского персонала. По состоянию на 31 марта 2022 года в бюджете Фонда на 2022 год данные трансферты не предусмотрены; </w:t>
      </w:r>
    </w:p>
    <w:p w:rsidR="00664EE5" w:rsidRPr="00467F9C" w:rsidRDefault="00664EE5" w:rsidP="00191861">
      <w:pPr>
        <w:pStyle w:val="af8"/>
        <w:ind w:firstLine="709"/>
        <w:jc w:val="both"/>
        <w:rPr>
          <w:sz w:val="28"/>
          <w:szCs w:val="28"/>
        </w:rPr>
      </w:pPr>
      <w:r w:rsidRPr="00467F9C">
        <w:rPr>
          <w:sz w:val="28"/>
          <w:szCs w:val="28"/>
        </w:rPr>
        <w:t xml:space="preserve">2,1 тыс. рублей – межбюджетные трансферты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осмотров населения. По состоянию на </w:t>
      </w:r>
      <w:r w:rsidR="0045297F">
        <w:rPr>
          <w:sz w:val="28"/>
          <w:szCs w:val="28"/>
        </w:rPr>
        <w:t xml:space="preserve">                   </w:t>
      </w:r>
      <w:r w:rsidRPr="00467F9C">
        <w:rPr>
          <w:sz w:val="28"/>
          <w:szCs w:val="28"/>
        </w:rPr>
        <w:t xml:space="preserve">31 марта 2022 года в бюджете Фонда на 2022 год данные трансферты не предусмотрены; </w:t>
      </w:r>
    </w:p>
    <w:p w:rsidR="00664EE5" w:rsidRPr="00467F9C" w:rsidRDefault="00664EE5" w:rsidP="00191861">
      <w:pPr>
        <w:pStyle w:val="af8"/>
        <w:ind w:firstLine="709"/>
        <w:jc w:val="both"/>
        <w:rPr>
          <w:sz w:val="28"/>
          <w:szCs w:val="28"/>
        </w:rPr>
      </w:pPr>
      <w:r w:rsidRPr="00467F9C">
        <w:rPr>
          <w:sz w:val="28"/>
          <w:szCs w:val="28"/>
        </w:rPr>
        <w:t xml:space="preserve">7 295,1 тыс. рублей – межбюджетные трансферты на дополнительное финансовое обеспечение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 </w:t>
      </w:r>
      <w:proofErr w:type="spellStart"/>
      <w:r w:rsidRPr="00467F9C">
        <w:rPr>
          <w:sz w:val="28"/>
          <w:szCs w:val="28"/>
        </w:rPr>
        <w:t>коронавирусной</w:t>
      </w:r>
      <w:proofErr w:type="spellEnd"/>
      <w:r w:rsidRPr="00467F9C">
        <w:rPr>
          <w:sz w:val="28"/>
          <w:szCs w:val="28"/>
        </w:rPr>
        <w:t xml:space="preserve"> инфекцией (</w:t>
      </w:r>
      <w:r w:rsidRPr="00467F9C">
        <w:rPr>
          <w:sz w:val="28"/>
          <w:szCs w:val="28"/>
          <w:lang w:val="en-US"/>
        </w:rPr>
        <w:t>COVID</w:t>
      </w:r>
      <w:r w:rsidRPr="00467F9C">
        <w:rPr>
          <w:sz w:val="28"/>
          <w:szCs w:val="28"/>
        </w:rPr>
        <w:t xml:space="preserve">-19), в рамках реализации территориальных программ обязательного медицинского страхования. По состоянию на 31 марта 2022 года в бюджете Фонда на 2022 год данные трансферты не предусмотрены; </w:t>
      </w:r>
    </w:p>
    <w:p w:rsidR="00664EE5" w:rsidRPr="00467F9C" w:rsidRDefault="00664EE5" w:rsidP="00191861">
      <w:pPr>
        <w:pStyle w:val="af8"/>
        <w:ind w:firstLine="709"/>
        <w:jc w:val="both"/>
        <w:rPr>
          <w:sz w:val="28"/>
          <w:szCs w:val="28"/>
        </w:rPr>
      </w:pPr>
      <w:r w:rsidRPr="00467F9C">
        <w:rPr>
          <w:sz w:val="28"/>
          <w:szCs w:val="28"/>
        </w:rPr>
        <w:t xml:space="preserve">Прочие межбюджетные трансферты, передаваемые бюджетам территориальных фондов ОМС в порядке межтерриториальных расчетов, поступили в бюджет Фонда в сумме 22 812,9 тыс. рублей (50,1% от годовых бюджетных назначений), что в 2,8 раза больше объема трансфертов                          </w:t>
      </w:r>
      <w:proofErr w:type="gramStart"/>
      <w:r w:rsidRPr="00467F9C">
        <w:rPr>
          <w:sz w:val="28"/>
          <w:szCs w:val="28"/>
        </w:rPr>
        <w:t xml:space="preserve">   (</w:t>
      </w:r>
      <w:proofErr w:type="gramEnd"/>
      <w:r w:rsidRPr="00467F9C">
        <w:rPr>
          <w:sz w:val="28"/>
          <w:szCs w:val="28"/>
        </w:rPr>
        <w:t xml:space="preserve">8 212,1 тыс. рублей), поступивших в аналогичном периоде прошлого года. </w:t>
      </w:r>
    </w:p>
    <w:p w:rsidR="00664EE5" w:rsidRPr="00467F9C" w:rsidRDefault="00664EE5" w:rsidP="00191861">
      <w:pPr>
        <w:pStyle w:val="af8"/>
        <w:ind w:firstLine="709"/>
        <w:jc w:val="both"/>
        <w:rPr>
          <w:sz w:val="28"/>
          <w:szCs w:val="28"/>
        </w:rPr>
      </w:pPr>
      <w:r w:rsidRPr="00467F9C">
        <w:rPr>
          <w:sz w:val="28"/>
          <w:szCs w:val="28"/>
        </w:rPr>
        <w:t>Доходы бюджетов бюджетной системы РФ от возврата остатков субсидий, субвенций и иных межбюджетных трансфертов прошлых лет, имеющих целевое назначение, составили 29,4 тыс. рублей.</w:t>
      </w:r>
    </w:p>
    <w:p w:rsidR="00664EE5" w:rsidRPr="00467F9C" w:rsidRDefault="00664EE5" w:rsidP="00191861">
      <w:pPr>
        <w:pStyle w:val="31"/>
        <w:rPr>
          <w:sz w:val="28"/>
          <w:szCs w:val="28"/>
        </w:rPr>
      </w:pPr>
      <w:r w:rsidRPr="00467F9C">
        <w:rPr>
          <w:sz w:val="28"/>
          <w:szCs w:val="28"/>
        </w:rPr>
        <w:t>В отчетном периоде из бюджета Фонда произведен возврат остатков субсидий, субвенций, и иных межбюджетных трансфертов, имеющих целевое назначение, прошлых лет в общей сумме 127 528,5 тыс. рублей.</w:t>
      </w:r>
    </w:p>
    <w:p w:rsidR="00664EE5" w:rsidRPr="00467F9C" w:rsidRDefault="00664EE5" w:rsidP="00191861">
      <w:pPr>
        <w:ind w:firstLine="709"/>
        <w:jc w:val="both"/>
        <w:rPr>
          <w:b/>
          <w:sz w:val="16"/>
          <w:szCs w:val="16"/>
        </w:rPr>
      </w:pPr>
    </w:p>
    <w:p w:rsidR="00664EE5" w:rsidRPr="00467F9C" w:rsidRDefault="00664EE5" w:rsidP="00191861">
      <w:pPr>
        <w:ind w:firstLine="709"/>
        <w:jc w:val="both"/>
        <w:rPr>
          <w:b/>
          <w:sz w:val="28"/>
          <w:szCs w:val="28"/>
        </w:rPr>
      </w:pPr>
      <w:r w:rsidRPr="00467F9C">
        <w:rPr>
          <w:b/>
          <w:sz w:val="28"/>
          <w:szCs w:val="28"/>
        </w:rPr>
        <w:t>2. Исполнение бюджета Фонда по расходам</w:t>
      </w:r>
    </w:p>
    <w:p w:rsidR="00664EE5" w:rsidRPr="00467F9C" w:rsidRDefault="00664EE5" w:rsidP="00191861">
      <w:pPr>
        <w:ind w:firstLine="709"/>
        <w:jc w:val="both"/>
        <w:rPr>
          <w:b/>
          <w:sz w:val="16"/>
          <w:szCs w:val="16"/>
        </w:rPr>
      </w:pPr>
    </w:p>
    <w:p w:rsidR="00664EE5" w:rsidRPr="00467F9C" w:rsidRDefault="00664EE5" w:rsidP="00191861">
      <w:pPr>
        <w:ind w:firstLine="709"/>
        <w:jc w:val="both"/>
        <w:rPr>
          <w:sz w:val="28"/>
          <w:szCs w:val="28"/>
        </w:rPr>
      </w:pPr>
      <w:r w:rsidRPr="00467F9C">
        <w:rPr>
          <w:sz w:val="28"/>
          <w:szCs w:val="28"/>
        </w:rPr>
        <w:t xml:space="preserve">Расходы бюджета Фонда за 1 квартал 2022 года составили                                        911 926,0 тыс. рублей или 24,7% от годовых бюджетных назначений и </w:t>
      </w:r>
      <w:r w:rsidRPr="00467F9C">
        <w:rPr>
          <w:sz w:val="28"/>
          <w:szCs w:val="28"/>
        </w:rPr>
        <w:lastRenderedPageBreak/>
        <w:t>относительно расходов в аналогичном периоде прошлого года (851 373,1тыс. рублей) увеличились на 60 552,8 тыс. рублей или на 7,1%.</w:t>
      </w:r>
    </w:p>
    <w:p w:rsidR="00664EE5" w:rsidRPr="00467F9C" w:rsidRDefault="00664EE5" w:rsidP="00191861">
      <w:pPr>
        <w:pStyle w:val="af8"/>
        <w:ind w:firstLine="709"/>
        <w:jc w:val="both"/>
        <w:rPr>
          <w:sz w:val="28"/>
          <w:szCs w:val="28"/>
        </w:rPr>
      </w:pPr>
      <w:r w:rsidRPr="00467F9C">
        <w:rPr>
          <w:sz w:val="28"/>
          <w:szCs w:val="28"/>
        </w:rPr>
        <w:t xml:space="preserve">Анализ исполнения бюджета Фонда по расходам за январь-март 2022 года и структура расходов приведены в таблице 2. </w:t>
      </w:r>
    </w:p>
    <w:p w:rsidR="00664EE5" w:rsidRDefault="00664EE5" w:rsidP="00191861">
      <w:pPr>
        <w:pStyle w:val="af8"/>
        <w:ind w:firstLine="709"/>
        <w:jc w:val="right"/>
        <w:rPr>
          <w:sz w:val="28"/>
          <w:szCs w:val="28"/>
        </w:rPr>
      </w:pPr>
      <w:r w:rsidRPr="00467F9C">
        <w:rPr>
          <w:sz w:val="28"/>
          <w:szCs w:val="28"/>
        </w:rPr>
        <w:t>Таблица 2 (тыс. рублей)</w:t>
      </w:r>
    </w:p>
    <w:p w:rsidR="0069779E" w:rsidRDefault="0069779E" w:rsidP="00191861">
      <w:pPr>
        <w:pStyle w:val="af8"/>
        <w:ind w:firstLine="709"/>
        <w:jc w:val="right"/>
        <w:rPr>
          <w:sz w:val="28"/>
          <w:szCs w:val="28"/>
        </w:rPr>
      </w:pPr>
    </w:p>
    <w:p w:rsidR="0069779E" w:rsidRDefault="0069779E" w:rsidP="00191861">
      <w:pPr>
        <w:pStyle w:val="af8"/>
        <w:ind w:firstLine="709"/>
        <w:jc w:val="right"/>
        <w:rPr>
          <w:sz w:val="28"/>
          <w:szCs w:val="28"/>
        </w:rPr>
      </w:pPr>
    </w:p>
    <w:p w:rsidR="0069779E" w:rsidRPr="0069779E" w:rsidRDefault="0069779E" w:rsidP="00191861">
      <w:pPr>
        <w:pStyle w:val="af8"/>
        <w:ind w:firstLine="709"/>
        <w:jc w:val="right"/>
        <w:rPr>
          <w:sz w:val="4"/>
          <w:szCs w:val="4"/>
        </w:rPr>
      </w:pPr>
    </w:p>
    <w:tbl>
      <w:tblPr>
        <w:tblW w:w="10065" w:type="dxa"/>
        <w:tblInd w:w="-5" w:type="dxa"/>
        <w:tblLook w:val="04A0" w:firstRow="1" w:lastRow="0" w:firstColumn="1" w:lastColumn="0" w:noHBand="0" w:noVBand="1"/>
      </w:tblPr>
      <w:tblGrid>
        <w:gridCol w:w="5954"/>
        <w:gridCol w:w="1231"/>
        <w:gridCol w:w="895"/>
        <w:gridCol w:w="992"/>
        <w:gridCol w:w="993"/>
      </w:tblGrid>
      <w:tr w:rsidR="00664EE5" w:rsidRPr="00467F9C" w:rsidTr="00D135AC">
        <w:trPr>
          <w:trHeight w:val="51"/>
        </w:trPr>
        <w:tc>
          <w:tcPr>
            <w:tcW w:w="59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4EE5" w:rsidRPr="00467F9C" w:rsidRDefault="00664EE5" w:rsidP="00191861">
            <w:pPr>
              <w:jc w:val="center"/>
              <w:rPr>
                <w:b/>
                <w:sz w:val="18"/>
                <w:szCs w:val="18"/>
              </w:rPr>
            </w:pPr>
            <w:r w:rsidRPr="00467F9C">
              <w:rPr>
                <w:b/>
                <w:sz w:val="18"/>
                <w:szCs w:val="18"/>
              </w:rPr>
              <w:t>Наименование   показателя</w:t>
            </w:r>
          </w:p>
        </w:tc>
        <w:tc>
          <w:tcPr>
            <w:tcW w:w="12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4EE5" w:rsidRPr="00467F9C" w:rsidRDefault="00664EE5" w:rsidP="00D135AC">
            <w:pPr>
              <w:ind w:left="-106" w:right="-47"/>
              <w:jc w:val="center"/>
              <w:rPr>
                <w:b/>
                <w:sz w:val="18"/>
                <w:szCs w:val="18"/>
              </w:rPr>
            </w:pPr>
            <w:r w:rsidRPr="00467F9C">
              <w:rPr>
                <w:b/>
                <w:sz w:val="18"/>
                <w:szCs w:val="18"/>
              </w:rPr>
              <w:t>Утверждены ассигнования (СБР)</w:t>
            </w:r>
          </w:p>
        </w:tc>
        <w:tc>
          <w:tcPr>
            <w:tcW w:w="1887" w:type="dxa"/>
            <w:gridSpan w:val="2"/>
            <w:tcBorders>
              <w:top w:val="single" w:sz="4" w:space="0" w:color="auto"/>
              <w:left w:val="nil"/>
              <w:bottom w:val="single" w:sz="4" w:space="0" w:color="auto"/>
              <w:right w:val="single" w:sz="4" w:space="0" w:color="auto"/>
            </w:tcBorders>
            <w:shd w:val="clear" w:color="auto" w:fill="auto"/>
            <w:noWrap/>
            <w:vAlign w:val="bottom"/>
            <w:hideMark/>
          </w:tcPr>
          <w:p w:rsidR="00664EE5" w:rsidRPr="00467F9C" w:rsidRDefault="00664EE5" w:rsidP="00191861">
            <w:pPr>
              <w:jc w:val="center"/>
              <w:rPr>
                <w:b/>
                <w:sz w:val="18"/>
                <w:szCs w:val="18"/>
              </w:rPr>
            </w:pPr>
            <w:r w:rsidRPr="00467F9C">
              <w:rPr>
                <w:b/>
                <w:sz w:val="18"/>
                <w:szCs w:val="18"/>
              </w:rPr>
              <w:t>Исполнение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64EE5" w:rsidRPr="00467F9C" w:rsidRDefault="00664EE5" w:rsidP="00D135AC">
            <w:pPr>
              <w:ind w:left="-104" w:right="-8"/>
              <w:jc w:val="center"/>
              <w:rPr>
                <w:b/>
                <w:sz w:val="18"/>
                <w:szCs w:val="18"/>
              </w:rPr>
            </w:pPr>
            <w:r w:rsidRPr="00467F9C">
              <w:rPr>
                <w:b/>
                <w:sz w:val="18"/>
                <w:szCs w:val="18"/>
              </w:rPr>
              <w:t>Структура расходов, %</w:t>
            </w:r>
          </w:p>
        </w:tc>
      </w:tr>
      <w:tr w:rsidR="00664EE5" w:rsidRPr="00467F9C" w:rsidTr="00D135AC">
        <w:trPr>
          <w:trHeight w:val="495"/>
        </w:trPr>
        <w:tc>
          <w:tcPr>
            <w:tcW w:w="5954" w:type="dxa"/>
            <w:vMerge/>
            <w:tcBorders>
              <w:top w:val="single" w:sz="4" w:space="0" w:color="auto"/>
              <w:left w:val="single" w:sz="4" w:space="0" w:color="auto"/>
              <w:bottom w:val="single" w:sz="4" w:space="0" w:color="auto"/>
              <w:right w:val="single" w:sz="4" w:space="0" w:color="auto"/>
            </w:tcBorders>
            <w:vAlign w:val="center"/>
            <w:hideMark/>
          </w:tcPr>
          <w:p w:rsidR="00664EE5" w:rsidRPr="00467F9C" w:rsidRDefault="00664EE5" w:rsidP="00191861">
            <w:pPr>
              <w:rPr>
                <w:sz w:val="18"/>
                <w:szCs w:val="18"/>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664EE5" w:rsidRPr="00467F9C" w:rsidRDefault="00664EE5" w:rsidP="00D135AC">
            <w:pPr>
              <w:ind w:left="-106" w:right="-47"/>
              <w:rPr>
                <w:sz w:val="18"/>
                <w:szCs w:val="18"/>
              </w:rPr>
            </w:pPr>
          </w:p>
        </w:tc>
        <w:tc>
          <w:tcPr>
            <w:tcW w:w="895" w:type="dxa"/>
            <w:tcBorders>
              <w:top w:val="nil"/>
              <w:left w:val="nil"/>
              <w:bottom w:val="single" w:sz="4" w:space="0" w:color="auto"/>
              <w:right w:val="single" w:sz="4" w:space="0" w:color="auto"/>
            </w:tcBorders>
            <w:shd w:val="clear" w:color="auto" w:fill="auto"/>
            <w:vAlign w:val="center"/>
            <w:hideMark/>
          </w:tcPr>
          <w:p w:rsidR="00664EE5" w:rsidRPr="00467F9C" w:rsidRDefault="00664EE5" w:rsidP="00D135AC">
            <w:pPr>
              <w:ind w:left="-58" w:right="-149"/>
              <w:jc w:val="center"/>
              <w:rPr>
                <w:b/>
                <w:sz w:val="18"/>
                <w:szCs w:val="18"/>
              </w:rPr>
            </w:pPr>
            <w:r w:rsidRPr="00467F9C">
              <w:rPr>
                <w:b/>
                <w:sz w:val="18"/>
                <w:szCs w:val="18"/>
              </w:rPr>
              <w:t>сумма</w:t>
            </w:r>
          </w:p>
        </w:tc>
        <w:tc>
          <w:tcPr>
            <w:tcW w:w="992" w:type="dxa"/>
            <w:tcBorders>
              <w:top w:val="nil"/>
              <w:left w:val="nil"/>
              <w:bottom w:val="single" w:sz="4" w:space="0" w:color="auto"/>
              <w:right w:val="single" w:sz="4" w:space="0" w:color="auto"/>
            </w:tcBorders>
            <w:shd w:val="clear" w:color="auto" w:fill="auto"/>
            <w:vAlign w:val="center"/>
            <w:hideMark/>
          </w:tcPr>
          <w:p w:rsidR="00664EE5" w:rsidRPr="00467F9C" w:rsidRDefault="00664EE5" w:rsidP="00D135AC">
            <w:pPr>
              <w:ind w:left="-105" w:right="-112"/>
              <w:jc w:val="center"/>
              <w:rPr>
                <w:b/>
                <w:sz w:val="18"/>
                <w:szCs w:val="18"/>
              </w:rPr>
            </w:pPr>
            <w:r w:rsidRPr="00467F9C">
              <w:rPr>
                <w:b/>
                <w:sz w:val="18"/>
                <w:szCs w:val="18"/>
              </w:rPr>
              <w:t xml:space="preserve">к плану, %         </w:t>
            </w:r>
            <w:proofErr w:type="gramStart"/>
            <w:r w:rsidRPr="00467F9C">
              <w:rPr>
                <w:b/>
                <w:sz w:val="18"/>
                <w:szCs w:val="18"/>
              </w:rPr>
              <w:t xml:space="preserve">   (</w:t>
            </w:r>
            <w:proofErr w:type="gramEnd"/>
            <w:r w:rsidRPr="00467F9C">
              <w:rPr>
                <w:b/>
                <w:sz w:val="18"/>
                <w:szCs w:val="18"/>
              </w:rPr>
              <w:t>гр.3/гр.2)</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64EE5" w:rsidRPr="00467F9C" w:rsidRDefault="00664EE5" w:rsidP="00191861">
            <w:pPr>
              <w:rPr>
                <w:sz w:val="18"/>
                <w:szCs w:val="18"/>
              </w:rPr>
            </w:pPr>
          </w:p>
        </w:tc>
      </w:tr>
      <w:tr w:rsidR="00664EE5" w:rsidRPr="00467F9C" w:rsidTr="00D135AC">
        <w:trPr>
          <w:trHeight w:val="51"/>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664EE5" w:rsidRPr="00467F9C" w:rsidRDefault="00664EE5" w:rsidP="00191861">
            <w:pPr>
              <w:jc w:val="center"/>
              <w:rPr>
                <w:sz w:val="14"/>
                <w:szCs w:val="14"/>
              </w:rPr>
            </w:pPr>
            <w:r w:rsidRPr="00467F9C">
              <w:rPr>
                <w:sz w:val="14"/>
                <w:szCs w:val="14"/>
              </w:rPr>
              <w:t>1</w:t>
            </w:r>
          </w:p>
        </w:tc>
        <w:tc>
          <w:tcPr>
            <w:tcW w:w="1231" w:type="dxa"/>
            <w:tcBorders>
              <w:top w:val="nil"/>
              <w:left w:val="nil"/>
              <w:bottom w:val="single" w:sz="4" w:space="0" w:color="auto"/>
              <w:right w:val="single" w:sz="4" w:space="0" w:color="auto"/>
            </w:tcBorders>
            <w:shd w:val="clear" w:color="auto" w:fill="auto"/>
            <w:vAlign w:val="center"/>
            <w:hideMark/>
          </w:tcPr>
          <w:p w:rsidR="00664EE5" w:rsidRPr="00467F9C" w:rsidRDefault="00664EE5" w:rsidP="00D135AC">
            <w:pPr>
              <w:ind w:left="-106" w:right="-47"/>
              <w:jc w:val="center"/>
              <w:rPr>
                <w:sz w:val="14"/>
                <w:szCs w:val="14"/>
              </w:rPr>
            </w:pPr>
            <w:r w:rsidRPr="00467F9C">
              <w:rPr>
                <w:sz w:val="14"/>
                <w:szCs w:val="14"/>
              </w:rPr>
              <w:t>2</w:t>
            </w:r>
          </w:p>
        </w:tc>
        <w:tc>
          <w:tcPr>
            <w:tcW w:w="895" w:type="dxa"/>
            <w:tcBorders>
              <w:top w:val="nil"/>
              <w:left w:val="nil"/>
              <w:bottom w:val="single" w:sz="4" w:space="0" w:color="auto"/>
              <w:right w:val="single" w:sz="4" w:space="0" w:color="auto"/>
            </w:tcBorders>
            <w:shd w:val="clear" w:color="auto" w:fill="auto"/>
            <w:vAlign w:val="center"/>
            <w:hideMark/>
          </w:tcPr>
          <w:p w:rsidR="00664EE5" w:rsidRPr="00467F9C" w:rsidRDefault="00664EE5" w:rsidP="00D135AC">
            <w:pPr>
              <w:ind w:left="-58" w:right="-149"/>
              <w:jc w:val="center"/>
              <w:rPr>
                <w:sz w:val="14"/>
                <w:szCs w:val="14"/>
              </w:rPr>
            </w:pPr>
            <w:r w:rsidRPr="00467F9C">
              <w:rPr>
                <w:sz w:val="14"/>
                <w:szCs w:val="14"/>
              </w:rPr>
              <w:t>3</w:t>
            </w:r>
          </w:p>
        </w:tc>
        <w:tc>
          <w:tcPr>
            <w:tcW w:w="992" w:type="dxa"/>
            <w:tcBorders>
              <w:top w:val="nil"/>
              <w:left w:val="nil"/>
              <w:bottom w:val="single" w:sz="4" w:space="0" w:color="auto"/>
              <w:right w:val="single" w:sz="4" w:space="0" w:color="auto"/>
            </w:tcBorders>
            <w:shd w:val="clear" w:color="auto" w:fill="auto"/>
            <w:vAlign w:val="center"/>
            <w:hideMark/>
          </w:tcPr>
          <w:p w:rsidR="00664EE5" w:rsidRPr="00467F9C" w:rsidRDefault="00664EE5" w:rsidP="00D135AC">
            <w:pPr>
              <w:ind w:left="-105" w:right="-112"/>
              <w:jc w:val="center"/>
              <w:rPr>
                <w:sz w:val="14"/>
                <w:szCs w:val="14"/>
              </w:rPr>
            </w:pPr>
            <w:r w:rsidRPr="00467F9C">
              <w:rPr>
                <w:sz w:val="14"/>
                <w:szCs w:val="14"/>
              </w:rPr>
              <w:t>5</w:t>
            </w:r>
          </w:p>
        </w:tc>
        <w:tc>
          <w:tcPr>
            <w:tcW w:w="993" w:type="dxa"/>
            <w:tcBorders>
              <w:top w:val="nil"/>
              <w:left w:val="nil"/>
              <w:bottom w:val="single" w:sz="4" w:space="0" w:color="auto"/>
              <w:right w:val="single" w:sz="4" w:space="0" w:color="auto"/>
            </w:tcBorders>
            <w:shd w:val="clear" w:color="auto" w:fill="auto"/>
            <w:vAlign w:val="center"/>
            <w:hideMark/>
          </w:tcPr>
          <w:p w:rsidR="00664EE5" w:rsidRPr="00467F9C" w:rsidRDefault="00664EE5" w:rsidP="00191861">
            <w:pPr>
              <w:jc w:val="center"/>
              <w:rPr>
                <w:sz w:val="14"/>
                <w:szCs w:val="14"/>
              </w:rPr>
            </w:pPr>
            <w:r w:rsidRPr="00467F9C">
              <w:rPr>
                <w:sz w:val="14"/>
                <w:szCs w:val="14"/>
              </w:rPr>
              <w:t>7</w:t>
            </w:r>
          </w:p>
        </w:tc>
      </w:tr>
      <w:tr w:rsidR="00664EE5" w:rsidRPr="00467F9C" w:rsidTr="00D135AC">
        <w:trPr>
          <w:trHeight w:val="51"/>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664EE5" w:rsidRPr="00467F9C" w:rsidRDefault="00664EE5" w:rsidP="00191861">
            <w:pPr>
              <w:rPr>
                <w:b/>
                <w:bCs/>
                <w:sz w:val="18"/>
                <w:szCs w:val="18"/>
              </w:rPr>
            </w:pPr>
            <w:r w:rsidRPr="00467F9C">
              <w:rPr>
                <w:b/>
                <w:bCs/>
                <w:sz w:val="18"/>
                <w:szCs w:val="18"/>
              </w:rPr>
              <w:t>РАСХОДЫ</w:t>
            </w:r>
          </w:p>
        </w:tc>
        <w:tc>
          <w:tcPr>
            <w:tcW w:w="1231" w:type="dxa"/>
            <w:tcBorders>
              <w:top w:val="nil"/>
              <w:left w:val="nil"/>
              <w:bottom w:val="single" w:sz="4" w:space="0" w:color="auto"/>
              <w:right w:val="single" w:sz="4" w:space="0" w:color="auto"/>
            </w:tcBorders>
            <w:shd w:val="clear" w:color="auto" w:fill="auto"/>
            <w:vAlign w:val="center"/>
          </w:tcPr>
          <w:p w:rsidR="00664EE5" w:rsidRPr="00D135AC" w:rsidRDefault="00664EE5" w:rsidP="00D135AC">
            <w:pPr>
              <w:ind w:left="-106" w:right="-47"/>
              <w:jc w:val="center"/>
              <w:rPr>
                <w:b/>
                <w:bCs/>
                <w:sz w:val="20"/>
                <w:szCs w:val="20"/>
              </w:rPr>
            </w:pPr>
            <w:r w:rsidRPr="00D135AC">
              <w:rPr>
                <w:b/>
                <w:bCs/>
                <w:sz w:val="20"/>
                <w:szCs w:val="20"/>
              </w:rPr>
              <w:t>3 691 590</w:t>
            </w:r>
          </w:p>
        </w:tc>
        <w:tc>
          <w:tcPr>
            <w:tcW w:w="895" w:type="dxa"/>
            <w:tcBorders>
              <w:top w:val="nil"/>
              <w:left w:val="nil"/>
              <w:bottom w:val="single" w:sz="4" w:space="0" w:color="auto"/>
              <w:right w:val="single" w:sz="4" w:space="0" w:color="auto"/>
            </w:tcBorders>
            <w:shd w:val="clear" w:color="auto" w:fill="auto"/>
            <w:vAlign w:val="center"/>
          </w:tcPr>
          <w:p w:rsidR="00664EE5" w:rsidRPr="00D135AC" w:rsidRDefault="00664EE5" w:rsidP="00D135AC">
            <w:pPr>
              <w:ind w:left="-58" w:right="-100" w:hanging="141"/>
              <w:jc w:val="center"/>
              <w:rPr>
                <w:b/>
                <w:bCs/>
                <w:sz w:val="20"/>
                <w:szCs w:val="20"/>
              </w:rPr>
            </w:pPr>
            <w:r w:rsidRPr="00D135AC">
              <w:rPr>
                <w:b/>
                <w:bCs/>
                <w:sz w:val="20"/>
                <w:szCs w:val="20"/>
              </w:rPr>
              <w:t>911 926,0</w:t>
            </w:r>
          </w:p>
        </w:tc>
        <w:tc>
          <w:tcPr>
            <w:tcW w:w="992" w:type="dxa"/>
            <w:tcBorders>
              <w:top w:val="nil"/>
              <w:left w:val="nil"/>
              <w:bottom w:val="single" w:sz="4" w:space="0" w:color="auto"/>
              <w:right w:val="single" w:sz="4" w:space="0" w:color="auto"/>
            </w:tcBorders>
            <w:shd w:val="clear" w:color="auto" w:fill="auto"/>
            <w:vAlign w:val="center"/>
          </w:tcPr>
          <w:p w:rsidR="00664EE5" w:rsidRPr="00D135AC" w:rsidRDefault="00664EE5" w:rsidP="00D135AC">
            <w:pPr>
              <w:ind w:left="-105" w:right="-112"/>
              <w:jc w:val="center"/>
              <w:rPr>
                <w:b/>
                <w:bCs/>
                <w:sz w:val="20"/>
                <w:szCs w:val="20"/>
              </w:rPr>
            </w:pPr>
            <w:r w:rsidRPr="00D135AC">
              <w:rPr>
                <w:b/>
                <w:bCs/>
                <w:sz w:val="20"/>
                <w:szCs w:val="20"/>
              </w:rPr>
              <w:t>24,7</w:t>
            </w:r>
          </w:p>
        </w:tc>
        <w:tc>
          <w:tcPr>
            <w:tcW w:w="993" w:type="dxa"/>
            <w:tcBorders>
              <w:top w:val="nil"/>
              <w:left w:val="nil"/>
              <w:bottom w:val="single" w:sz="4" w:space="0" w:color="auto"/>
              <w:right w:val="single" w:sz="4" w:space="0" w:color="auto"/>
            </w:tcBorders>
            <w:shd w:val="clear" w:color="auto" w:fill="auto"/>
            <w:vAlign w:val="center"/>
          </w:tcPr>
          <w:p w:rsidR="00664EE5" w:rsidRPr="00D135AC" w:rsidRDefault="00664EE5" w:rsidP="00191861">
            <w:pPr>
              <w:jc w:val="center"/>
              <w:rPr>
                <w:b/>
                <w:bCs/>
                <w:sz w:val="20"/>
                <w:szCs w:val="20"/>
              </w:rPr>
            </w:pPr>
            <w:r w:rsidRPr="00D135AC">
              <w:rPr>
                <w:b/>
                <w:bCs/>
                <w:sz w:val="20"/>
                <w:szCs w:val="20"/>
              </w:rPr>
              <w:t>100,0</w:t>
            </w:r>
          </w:p>
        </w:tc>
      </w:tr>
      <w:tr w:rsidR="00664EE5" w:rsidRPr="00467F9C" w:rsidTr="00D135AC">
        <w:trPr>
          <w:trHeight w:val="51"/>
        </w:trPr>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64EE5" w:rsidRPr="00467F9C" w:rsidRDefault="00664EE5" w:rsidP="00191861">
            <w:pPr>
              <w:rPr>
                <w:b/>
                <w:bCs/>
                <w:sz w:val="18"/>
                <w:szCs w:val="18"/>
              </w:rPr>
            </w:pPr>
            <w:r w:rsidRPr="00467F9C">
              <w:rPr>
                <w:b/>
                <w:bCs/>
                <w:sz w:val="18"/>
                <w:szCs w:val="18"/>
              </w:rPr>
              <w:t>ОБЩЕГОСУДАРСТВЕННЫЕ ВОПРОСЫ</w:t>
            </w:r>
          </w:p>
        </w:tc>
        <w:tc>
          <w:tcPr>
            <w:tcW w:w="123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64EE5" w:rsidRPr="00D135AC" w:rsidRDefault="00664EE5" w:rsidP="00D135AC">
            <w:pPr>
              <w:ind w:left="-106" w:right="-47"/>
              <w:jc w:val="center"/>
              <w:rPr>
                <w:b/>
                <w:bCs/>
                <w:sz w:val="20"/>
                <w:szCs w:val="20"/>
              </w:rPr>
            </w:pPr>
            <w:r w:rsidRPr="00D135AC">
              <w:rPr>
                <w:b/>
                <w:bCs/>
                <w:sz w:val="20"/>
                <w:szCs w:val="20"/>
              </w:rPr>
              <w:t>45 757,2</w:t>
            </w:r>
          </w:p>
        </w:tc>
        <w:tc>
          <w:tcPr>
            <w:tcW w:w="89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64EE5" w:rsidRPr="00D135AC" w:rsidRDefault="00664EE5" w:rsidP="00D135AC">
            <w:pPr>
              <w:ind w:left="-58" w:right="-100" w:hanging="141"/>
              <w:jc w:val="center"/>
              <w:rPr>
                <w:b/>
                <w:bCs/>
                <w:sz w:val="20"/>
                <w:szCs w:val="20"/>
              </w:rPr>
            </w:pPr>
            <w:r w:rsidRPr="00D135AC">
              <w:rPr>
                <w:b/>
                <w:bCs/>
                <w:sz w:val="20"/>
                <w:szCs w:val="20"/>
              </w:rPr>
              <w:t>11 678,9</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64EE5" w:rsidRPr="00D135AC" w:rsidRDefault="00664EE5" w:rsidP="00D135AC">
            <w:pPr>
              <w:ind w:left="-105" w:right="-112"/>
              <w:jc w:val="center"/>
              <w:rPr>
                <w:b/>
                <w:bCs/>
                <w:sz w:val="20"/>
                <w:szCs w:val="20"/>
              </w:rPr>
            </w:pPr>
            <w:r w:rsidRPr="00D135AC">
              <w:rPr>
                <w:b/>
                <w:bCs/>
                <w:sz w:val="20"/>
                <w:szCs w:val="20"/>
              </w:rPr>
              <w:t>25,5</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64EE5" w:rsidRPr="00D135AC" w:rsidRDefault="00664EE5" w:rsidP="00191861">
            <w:pPr>
              <w:jc w:val="center"/>
              <w:rPr>
                <w:b/>
                <w:bCs/>
                <w:sz w:val="20"/>
                <w:szCs w:val="20"/>
              </w:rPr>
            </w:pPr>
            <w:r w:rsidRPr="00D135AC">
              <w:rPr>
                <w:b/>
                <w:bCs/>
                <w:sz w:val="20"/>
                <w:szCs w:val="20"/>
              </w:rPr>
              <w:t>1,3</w:t>
            </w:r>
          </w:p>
        </w:tc>
      </w:tr>
      <w:tr w:rsidR="00664EE5" w:rsidRPr="00467F9C" w:rsidTr="00D135AC">
        <w:trPr>
          <w:trHeight w:val="607"/>
        </w:trPr>
        <w:tc>
          <w:tcPr>
            <w:tcW w:w="5954" w:type="dxa"/>
            <w:tcBorders>
              <w:top w:val="nil"/>
              <w:left w:val="single" w:sz="4" w:space="0" w:color="auto"/>
              <w:bottom w:val="single" w:sz="4" w:space="0" w:color="auto"/>
              <w:right w:val="single" w:sz="4" w:space="0" w:color="auto"/>
            </w:tcBorders>
            <w:shd w:val="clear" w:color="000000" w:fill="FFFFFF"/>
            <w:hideMark/>
          </w:tcPr>
          <w:p w:rsidR="00664EE5" w:rsidRPr="00467F9C" w:rsidRDefault="00664EE5" w:rsidP="00191861">
            <w:pPr>
              <w:rPr>
                <w:sz w:val="18"/>
                <w:szCs w:val="18"/>
              </w:rPr>
            </w:pPr>
            <w:r w:rsidRPr="00467F9C">
              <w:rPr>
                <w:sz w:val="18"/>
                <w:szCs w:val="1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231" w:type="dxa"/>
            <w:tcBorders>
              <w:top w:val="nil"/>
              <w:left w:val="nil"/>
              <w:bottom w:val="single" w:sz="4" w:space="0" w:color="auto"/>
              <w:right w:val="single" w:sz="4" w:space="0" w:color="auto"/>
            </w:tcBorders>
            <w:shd w:val="clear" w:color="auto" w:fill="auto"/>
            <w:vAlign w:val="center"/>
          </w:tcPr>
          <w:p w:rsidR="00664EE5" w:rsidRPr="00D135AC" w:rsidRDefault="00664EE5" w:rsidP="00D135AC">
            <w:pPr>
              <w:ind w:left="-106" w:right="-47"/>
              <w:jc w:val="center"/>
              <w:rPr>
                <w:sz w:val="20"/>
                <w:szCs w:val="20"/>
              </w:rPr>
            </w:pPr>
            <w:r w:rsidRPr="00D135AC">
              <w:rPr>
                <w:sz w:val="20"/>
                <w:szCs w:val="20"/>
              </w:rPr>
              <w:t>37 633,4</w:t>
            </w:r>
          </w:p>
        </w:tc>
        <w:tc>
          <w:tcPr>
            <w:tcW w:w="895" w:type="dxa"/>
            <w:tcBorders>
              <w:top w:val="nil"/>
              <w:left w:val="nil"/>
              <w:bottom w:val="single" w:sz="4" w:space="0" w:color="auto"/>
              <w:right w:val="single" w:sz="4" w:space="0" w:color="auto"/>
            </w:tcBorders>
            <w:shd w:val="clear" w:color="auto" w:fill="auto"/>
            <w:vAlign w:val="center"/>
          </w:tcPr>
          <w:p w:rsidR="00664EE5" w:rsidRPr="00D135AC" w:rsidRDefault="00664EE5" w:rsidP="00D135AC">
            <w:pPr>
              <w:ind w:left="-58" w:right="-100" w:hanging="141"/>
              <w:jc w:val="center"/>
              <w:rPr>
                <w:sz w:val="20"/>
                <w:szCs w:val="20"/>
              </w:rPr>
            </w:pPr>
            <w:r w:rsidRPr="00D135AC">
              <w:rPr>
                <w:sz w:val="20"/>
                <w:szCs w:val="20"/>
              </w:rPr>
              <w:t>10 044,8</w:t>
            </w:r>
          </w:p>
        </w:tc>
        <w:tc>
          <w:tcPr>
            <w:tcW w:w="992" w:type="dxa"/>
            <w:tcBorders>
              <w:top w:val="nil"/>
              <w:left w:val="nil"/>
              <w:bottom w:val="single" w:sz="4" w:space="0" w:color="auto"/>
              <w:right w:val="single" w:sz="4" w:space="0" w:color="auto"/>
            </w:tcBorders>
            <w:shd w:val="clear" w:color="auto" w:fill="auto"/>
            <w:vAlign w:val="center"/>
          </w:tcPr>
          <w:p w:rsidR="00664EE5" w:rsidRPr="00D135AC" w:rsidRDefault="00664EE5" w:rsidP="00D135AC">
            <w:pPr>
              <w:ind w:left="-105" w:right="-112"/>
              <w:jc w:val="center"/>
              <w:rPr>
                <w:sz w:val="20"/>
                <w:szCs w:val="20"/>
              </w:rPr>
            </w:pPr>
            <w:r w:rsidRPr="00D135AC">
              <w:rPr>
                <w:sz w:val="20"/>
                <w:szCs w:val="20"/>
              </w:rPr>
              <w:t>26,7</w:t>
            </w:r>
          </w:p>
        </w:tc>
        <w:tc>
          <w:tcPr>
            <w:tcW w:w="993" w:type="dxa"/>
            <w:tcBorders>
              <w:top w:val="nil"/>
              <w:left w:val="nil"/>
              <w:bottom w:val="single" w:sz="4" w:space="0" w:color="auto"/>
              <w:right w:val="single" w:sz="4" w:space="0" w:color="auto"/>
            </w:tcBorders>
            <w:shd w:val="clear" w:color="auto" w:fill="auto"/>
            <w:vAlign w:val="center"/>
          </w:tcPr>
          <w:p w:rsidR="00664EE5" w:rsidRPr="00D135AC" w:rsidRDefault="00664EE5" w:rsidP="00191861">
            <w:pPr>
              <w:jc w:val="center"/>
              <w:rPr>
                <w:sz w:val="20"/>
                <w:szCs w:val="20"/>
              </w:rPr>
            </w:pPr>
            <w:r w:rsidRPr="00D135AC">
              <w:rPr>
                <w:sz w:val="20"/>
                <w:szCs w:val="20"/>
              </w:rPr>
              <w:t>1,1</w:t>
            </w:r>
          </w:p>
        </w:tc>
      </w:tr>
      <w:tr w:rsidR="00664EE5" w:rsidRPr="00467F9C" w:rsidTr="00D135AC">
        <w:trPr>
          <w:trHeight w:val="385"/>
        </w:trPr>
        <w:tc>
          <w:tcPr>
            <w:tcW w:w="5954" w:type="dxa"/>
            <w:tcBorders>
              <w:top w:val="nil"/>
              <w:left w:val="single" w:sz="4" w:space="0" w:color="auto"/>
              <w:bottom w:val="single" w:sz="4" w:space="0" w:color="auto"/>
              <w:right w:val="single" w:sz="4" w:space="0" w:color="auto"/>
            </w:tcBorders>
            <w:shd w:val="clear" w:color="000000" w:fill="FFFFFF"/>
            <w:hideMark/>
          </w:tcPr>
          <w:p w:rsidR="00664EE5" w:rsidRPr="00467F9C" w:rsidRDefault="00664EE5" w:rsidP="00191861">
            <w:pPr>
              <w:rPr>
                <w:sz w:val="18"/>
                <w:szCs w:val="18"/>
              </w:rPr>
            </w:pPr>
            <w:r w:rsidRPr="00467F9C">
              <w:rPr>
                <w:sz w:val="18"/>
                <w:szCs w:val="18"/>
              </w:rPr>
              <w:t xml:space="preserve">Закупки товаров, работ и услуг для </w:t>
            </w:r>
            <w:proofErr w:type="gramStart"/>
            <w:r w:rsidRPr="00467F9C">
              <w:rPr>
                <w:sz w:val="18"/>
                <w:szCs w:val="18"/>
              </w:rPr>
              <w:t>государственных  (</w:t>
            </w:r>
            <w:proofErr w:type="gramEnd"/>
            <w:r w:rsidRPr="00467F9C">
              <w:rPr>
                <w:sz w:val="18"/>
                <w:szCs w:val="18"/>
              </w:rPr>
              <w:t>муниципальных) нужд</w:t>
            </w:r>
          </w:p>
        </w:tc>
        <w:tc>
          <w:tcPr>
            <w:tcW w:w="1231" w:type="dxa"/>
            <w:tcBorders>
              <w:top w:val="nil"/>
              <w:left w:val="nil"/>
              <w:bottom w:val="single" w:sz="4" w:space="0" w:color="auto"/>
              <w:right w:val="single" w:sz="4" w:space="0" w:color="auto"/>
            </w:tcBorders>
            <w:shd w:val="clear" w:color="auto" w:fill="auto"/>
            <w:vAlign w:val="center"/>
          </w:tcPr>
          <w:p w:rsidR="00664EE5" w:rsidRPr="00D135AC" w:rsidRDefault="00664EE5" w:rsidP="00D135AC">
            <w:pPr>
              <w:ind w:left="-106" w:right="-47"/>
              <w:jc w:val="center"/>
              <w:rPr>
                <w:sz w:val="20"/>
                <w:szCs w:val="20"/>
              </w:rPr>
            </w:pPr>
            <w:r w:rsidRPr="00D135AC">
              <w:rPr>
                <w:sz w:val="20"/>
                <w:szCs w:val="20"/>
              </w:rPr>
              <w:t>8 119,6</w:t>
            </w:r>
          </w:p>
        </w:tc>
        <w:tc>
          <w:tcPr>
            <w:tcW w:w="895" w:type="dxa"/>
            <w:tcBorders>
              <w:top w:val="nil"/>
              <w:left w:val="nil"/>
              <w:bottom w:val="single" w:sz="4" w:space="0" w:color="auto"/>
              <w:right w:val="single" w:sz="4" w:space="0" w:color="auto"/>
            </w:tcBorders>
            <w:shd w:val="clear" w:color="auto" w:fill="auto"/>
            <w:vAlign w:val="center"/>
          </w:tcPr>
          <w:p w:rsidR="00664EE5" w:rsidRPr="00D135AC" w:rsidRDefault="00664EE5" w:rsidP="00D135AC">
            <w:pPr>
              <w:ind w:left="-58" w:right="-100" w:hanging="141"/>
              <w:jc w:val="center"/>
              <w:rPr>
                <w:sz w:val="20"/>
                <w:szCs w:val="20"/>
              </w:rPr>
            </w:pPr>
            <w:r w:rsidRPr="00D135AC">
              <w:rPr>
                <w:sz w:val="20"/>
                <w:szCs w:val="20"/>
              </w:rPr>
              <w:t>1 629,9</w:t>
            </w:r>
          </w:p>
        </w:tc>
        <w:tc>
          <w:tcPr>
            <w:tcW w:w="992" w:type="dxa"/>
            <w:tcBorders>
              <w:top w:val="nil"/>
              <w:left w:val="nil"/>
              <w:bottom w:val="single" w:sz="4" w:space="0" w:color="auto"/>
              <w:right w:val="single" w:sz="4" w:space="0" w:color="auto"/>
            </w:tcBorders>
            <w:shd w:val="clear" w:color="auto" w:fill="auto"/>
            <w:vAlign w:val="center"/>
          </w:tcPr>
          <w:p w:rsidR="00664EE5" w:rsidRPr="00D135AC" w:rsidRDefault="00664EE5" w:rsidP="00D135AC">
            <w:pPr>
              <w:ind w:left="-105" w:right="-112"/>
              <w:jc w:val="center"/>
              <w:rPr>
                <w:sz w:val="20"/>
                <w:szCs w:val="20"/>
              </w:rPr>
            </w:pPr>
            <w:r w:rsidRPr="00D135AC">
              <w:rPr>
                <w:sz w:val="20"/>
                <w:szCs w:val="20"/>
              </w:rPr>
              <w:t>20,1</w:t>
            </w:r>
          </w:p>
        </w:tc>
        <w:tc>
          <w:tcPr>
            <w:tcW w:w="993" w:type="dxa"/>
            <w:tcBorders>
              <w:top w:val="nil"/>
              <w:left w:val="nil"/>
              <w:bottom w:val="single" w:sz="4" w:space="0" w:color="auto"/>
              <w:right w:val="single" w:sz="4" w:space="0" w:color="auto"/>
            </w:tcBorders>
            <w:shd w:val="clear" w:color="auto" w:fill="auto"/>
            <w:vAlign w:val="center"/>
          </w:tcPr>
          <w:p w:rsidR="00664EE5" w:rsidRPr="00D135AC" w:rsidRDefault="00664EE5" w:rsidP="00191861">
            <w:pPr>
              <w:jc w:val="center"/>
              <w:rPr>
                <w:sz w:val="20"/>
                <w:szCs w:val="20"/>
              </w:rPr>
            </w:pPr>
            <w:r w:rsidRPr="00D135AC">
              <w:rPr>
                <w:sz w:val="20"/>
                <w:szCs w:val="20"/>
              </w:rPr>
              <w:t>0,2</w:t>
            </w:r>
          </w:p>
        </w:tc>
      </w:tr>
      <w:tr w:rsidR="00664EE5" w:rsidRPr="00467F9C" w:rsidTr="00D135AC">
        <w:trPr>
          <w:trHeight w:val="139"/>
        </w:trPr>
        <w:tc>
          <w:tcPr>
            <w:tcW w:w="5954" w:type="dxa"/>
            <w:tcBorders>
              <w:top w:val="nil"/>
              <w:left w:val="single" w:sz="4" w:space="0" w:color="auto"/>
              <w:bottom w:val="single" w:sz="4" w:space="0" w:color="auto"/>
              <w:right w:val="single" w:sz="4" w:space="0" w:color="auto"/>
            </w:tcBorders>
            <w:shd w:val="clear" w:color="000000" w:fill="FFFFFF"/>
            <w:hideMark/>
          </w:tcPr>
          <w:p w:rsidR="00664EE5" w:rsidRPr="00467F9C" w:rsidRDefault="00664EE5" w:rsidP="00191861">
            <w:pPr>
              <w:rPr>
                <w:sz w:val="18"/>
                <w:szCs w:val="18"/>
              </w:rPr>
            </w:pPr>
            <w:r w:rsidRPr="00467F9C">
              <w:rPr>
                <w:sz w:val="18"/>
                <w:szCs w:val="18"/>
              </w:rPr>
              <w:t>Иные бюджетные ассигнования</w:t>
            </w:r>
          </w:p>
        </w:tc>
        <w:tc>
          <w:tcPr>
            <w:tcW w:w="1231" w:type="dxa"/>
            <w:tcBorders>
              <w:top w:val="nil"/>
              <w:left w:val="nil"/>
              <w:bottom w:val="single" w:sz="4" w:space="0" w:color="auto"/>
              <w:right w:val="single" w:sz="4" w:space="0" w:color="auto"/>
            </w:tcBorders>
            <w:shd w:val="clear" w:color="auto" w:fill="auto"/>
            <w:vAlign w:val="center"/>
          </w:tcPr>
          <w:p w:rsidR="00664EE5" w:rsidRPr="00D135AC" w:rsidRDefault="00664EE5" w:rsidP="00D135AC">
            <w:pPr>
              <w:ind w:left="-106" w:right="-47"/>
              <w:jc w:val="center"/>
              <w:rPr>
                <w:sz w:val="20"/>
                <w:szCs w:val="20"/>
              </w:rPr>
            </w:pPr>
            <w:r w:rsidRPr="00D135AC">
              <w:rPr>
                <w:sz w:val="20"/>
                <w:szCs w:val="20"/>
              </w:rPr>
              <w:t>4,2</w:t>
            </w:r>
          </w:p>
        </w:tc>
        <w:tc>
          <w:tcPr>
            <w:tcW w:w="895" w:type="dxa"/>
            <w:tcBorders>
              <w:top w:val="nil"/>
              <w:left w:val="nil"/>
              <w:bottom w:val="single" w:sz="4" w:space="0" w:color="auto"/>
              <w:right w:val="single" w:sz="4" w:space="0" w:color="auto"/>
            </w:tcBorders>
            <w:shd w:val="clear" w:color="auto" w:fill="auto"/>
            <w:vAlign w:val="center"/>
          </w:tcPr>
          <w:p w:rsidR="00664EE5" w:rsidRPr="00D135AC" w:rsidRDefault="00664EE5" w:rsidP="00D135AC">
            <w:pPr>
              <w:ind w:left="-58" w:right="-100" w:hanging="141"/>
              <w:jc w:val="center"/>
              <w:rPr>
                <w:sz w:val="20"/>
                <w:szCs w:val="20"/>
              </w:rPr>
            </w:pPr>
            <w:r w:rsidRPr="00D135AC">
              <w:rPr>
                <w:sz w:val="20"/>
                <w:szCs w:val="20"/>
              </w:rPr>
              <w:t>4,2</w:t>
            </w:r>
          </w:p>
        </w:tc>
        <w:tc>
          <w:tcPr>
            <w:tcW w:w="992" w:type="dxa"/>
            <w:tcBorders>
              <w:top w:val="nil"/>
              <w:left w:val="nil"/>
              <w:bottom w:val="single" w:sz="4" w:space="0" w:color="auto"/>
              <w:right w:val="single" w:sz="4" w:space="0" w:color="auto"/>
            </w:tcBorders>
            <w:shd w:val="clear" w:color="auto" w:fill="auto"/>
            <w:vAlign w:val="center"/>
          </w:tcPr>
          <w:p w:rsidR="00664EE5" w:rsidRPr="00D135AC" w:rsidRDefault="00664EE5" w:rsidP="00D135AC">
            <w:pPr>
              <w:ind w:left="-105" w:right="-112"/>
              <w:jc w:val="center"/>
              <w:rPr>
                <w:sz w:val="20"/>
                <w:szCs w:val="20"/>
              </w:rPr>
            </w:pPr>
            <w:r w:rsidRPr="00D135AC">
              <w:rPr>
                <w:sz w:val="20"/>
                <w:szCs w:val="20"/>
              </w:rPr>
              <w:t>100,0</w:t>
            </w:r>
          </w:p>
        </w:tc>
        <w:tc>
          <w:tcPr>
            <w:tcW w:w="993" w:type="dxa"/>
            <w:tcBorders>
              <w:top w:val="nil"/>
              <w:left w:val="nil"/>
              <w:bottom w:val="single" w:sz="4" w:space="0" w:color="auto"/>
              <w:right w:val="single" w:sz="4" w:space="0" w:color="auto"/>
            </w:tcBorders>
            <w:shd w:val="clear" w:color="auto" w:fill="auto"/>
            <w:vAlign w:val="center"/>
          </w:tcPr>
          <w:p w:rsidR="00664EE5" w:rsidRPr="00D135AC" w:rsidRDefault="00664EE5" w:rsidP="00191861">
            <w:pPr>
              <w:jc w:val="center"/>
              <w:rPr>
                <w:sz w:val="20"/>
                <w:szCs w:val="20"/>
              </w:rPr>
            </w:pPr>
            <w:r w:rsidRPr="00D135AC">
              <w:rPr>
                <w:sz w:val="20"/>
                <w:szCs w:val="20"/>
              </w:rPr>
              <w:t>0,0</w:t>
            </w:r>
          </w:p>
        </w:tc>
      </w:tr>
      <w:tr w:rsidR="00664EE5" w:rsidRPr="00467F9C" w:rsidTr="00D135AC">
        <w:trPr>
          <w:trHeight w:val="242"/>
        </w:trPr>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64EE5" w:rsidRPr="00467F9C" w:rsidRDefault="00664EE5" w:rsidP="00191861">
            <w:pPr>
              <w:rPr>
                <w:b/>
                <w:bCs/>
                <w:sz w:val="18"/>
                <w:szCs w:val="18"/>
              </w:rPr>
            </w:pPr>
            <w:r w:rsidRPr="00467F9C">
              <w:rPr>
                <w:b/>
                <w:bCs/>
                <w:sz w:val="18"/>
                <w:szCs w:val="18"/>
              </w:rPr>
              <w:t>ЗДРАВООХРАНЕНИЕ</w:t>
            </w:r>
          </w:p>
        </w:tc>
        <w:tc>
          <w:tcPr>
            <w:tcW w:w="123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64EE5" w:rsidRPr="00D135AC" w:rsidRDefault="00664EE5" w:rsidP="00D135AC">
            <w:pPr>
              <w:ind w:left="-106" w:right="-47"/>
              <w:jc w:val="center"/>
              <w:rPr>
                <w:b/>
                <w:bCs/>
                <w:sz w:val="20"/>
                <w:szCs w:val="20"/>
              </w:rPr>
            </w:pPr>
            <w:r w:rsidRPr="00D135AC">
              <w:rPr>
                <w:b/>
                <w:bCs/>
                <w:sz w:val="20"/>
                <w:szCs w:val="20"/>
              </w:rPr>
              <w:t>3 645 832,8</w:t>
            </w:r>
          </w:p>
        </w:tc>
        <w:tc>
          <w:tcPr>
            <w:tcW w:w="89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64EE5" w:rsidRPr="00D135AC" w:rsidRDefault="00664EE5" w:rsidP="00D135AC">
            <w:pPr>
              <w:ind w:left="-58" w:right="-100" w:hanging="141"/>
              <w:jc w:val="center"/>
              <w:rPr>
                <w:b/>
                <w:sz w:val="20"/>
                <w:szCs w:val="20"/>
              </w:rPr>
            </w:pPr>
            <w:r w:rsidRPr="00D135AC">
              <w:rPr>
                <w:b/>
                <w:sz w:val="20"/>
                <w:szCs w:val="20"/>
              </w:rPr>
              <w:t>900 247,1</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64EE5" w:rsidRPr="00D135AC" w:rsidRDefault="00664EE5" w:rsidP="00D135AC">
            <w:pPr>
              <w:ind w:left="-105" w:right="-112"/>
              <w:jc w:val="center"/>
              <w:rPr>
                <w:b/>
                <w:sz w:val="20"/>
                <w:szCs w:val="20"/>
              </w:rPr>
            </w:pPr>
            <w:r w:rsidRPr="00D135AC">
              <w:rPr>
                <w:b/>
                <w:sz w:val="20"/>
                <w:szCs w:val="20"/>
              </w:rPr>
              <w:t>24,7</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64EE5" w:rsidRPr="00D135AC" w:rsidRDefault="00664EE5" w:rsidP="00191861">
            <w:pPr>
              <w:jc w:val="center"/>
              <w:rPr>
                <w:b/>
                <w:bCs/>
                <w:sz w:val="20"/>
                <w:szCs w:val="20"/>
              </w:rPr>
            </w:pPr>
            <w:r w:rsidRPr="00D135AC">
              <w:rPr>
                <w:b/>
                <w:bCs/>
                <w:sz w:val="20"/>
                <w:szCs w:val="20"/>
              </w:rPr>
              <w:t>98,7</w:t>
            </w:r>
          </w:p>
        </w:tc>
      </w:tr>
      <w:tr w:rsidR="00664EE5" w:rsidRPr="00467F9C" w:rsidTr="00D135AC">
        <w:trPr>
          <w:trHeight w:val="242"/>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EE5" w:rsidRPr="00467F9C" w:rsidRDefault="00664EE5" w:rsidP="00191861">
            <w:pPr>
              <w:rPr>
                <w:b/>
                <w:bCs/>
                <w:sz w:val="18"/>
                <w:szCs w:val="18"/>
              </w:rPr>
            </w:pPr>
            <w:r w:rsidRPr="00467F9C">
              <w:rPr>
                <w:sz w:val="18"/>
                <w:szCs w:val="18"/>
              </w:rPr>
              <w:t>Финансовое обеспечение организации обязательного медицинского страхования на территориях субъектов РФ (Социальное обеспечение и иные выплаты населению)</w:t>
            </w:r>
          </w:p>
        </w:tc>
        <w:tc>
          <w:tcPr>
            <w:tcW w:w="1231" w:type="dxa"/>
            <w:tcBorders>
              <w:top w:val="single" w:sz="4" w:space="0" w:color="auto"/>
              <w:left w:val="nil"/>
              <w:bottom w:val="single" w:sz="4" w:space="0" w:color="auto"/>
              <w:right w:val="single" w:sz="4" w:space="0" w:color="auto"/>
            </w:tcBorders>
            <w:shd w:val="clear" w:color="auto" w:fill="auto"/>
            <w:vAlign w:val="center"/>
          </w:tcPr>
          <w:p w:rsidR="00664EE5" w:rsidRPr="00D135AC" w:rsidRDefault="00664EE5" w:rsidP="00D135AC">
            <w:pPr>
              <w:ind w:left="-106" w:right="-47"/>
              <w:jc w:val="center"/>
              <w:rPr>
                <w:b/>
                <w:bCs/>
                <w:sz w:val="20"/>
                <w:szCs w:val="20"/>
              </w:rPr>
            </w:pPr>
            <w:r w:rsidRPr="00D135AC">
              <w:rPr>
                <w:sz w:val="20"/>
                <w:szCs w:val="20"/>
              </w:rPr>
              <w:t>3 586 832,8</w:t>
            </w:r>
          </w:p>
        </w:tc>
        <w:tc>
          <w:tcPr>
            <w:tcW w:w="895" w:type="dxa"/>
            <w:tcBorders>
              <w:top w:val="single" w:sz="4" w:space="0" w:color="auto"/>
              <w:left w:val="nil"/>
              <w:bottom w:val="single" w:sz="4" w:space="0" w:color="auto"/>
              <w:right w:val="single" w:sz="4" w:space="0" w:color="auto"/>
            </w:tcBorders>
            <w:shd w:val="clear" w:color="auto" w:fill="auto"/>
            <w:vAlign w:val="center"/>
          </w:tcPr>
          <w:p w:rsidR="00664EE5" w:rsidRPr="00D135AC" w:rsidRDefault="00664EE5" w:rsidP="00D135AC">
            <w:pPr>
              <w:ind w:left="-58" w:right="-100" w:hanging="141"/>
              <w:jc w:val="center"/>
              <w:rPr>
                <w:b/>
                <w:bCs/>
                <w:sz w:val="20"/>
                <w:szCs w:val="20"/>
              </w:rPr>
            </w:pPr>
            <w:r w:rsidRPr="00D135AC">
              <w:rPr>
                <w:sz w:val="20"/>
                <w:szCs w:val="20"/>
              </w:rPr>
              <w:t>861 887,6</w:t>
            </w:r>
          </w:p>
        </w:tc>
        <w:tc>
          <w:tcPr>
            <w:tcW w:w="992" w:type="dxa"/>
            <w:tcBorders>
              <w:top w:val="single" w:sz="4" w:space="0" w:color="auto"/>
              <w:left w:val="nil"/>
              <w:bottom w:val="single" w:sz="4" w:space="0" w:color="auto"/>
              <w:right w:val="single" w:sz="4" w:space="0" w:color="auto"/>
            </w:tcBorders>
            <w:shd w:val="clear" w:color="auto" w:fill="auto"/>
            <w:vAlign w:val="center"/>
          </w:tcPr>
          <w:p w:rsidR="00664EE5" w:rsidRPr="00D135AC" w:rsidRDefault="00664EE5" w:rsidP="00D135AC">
            <w:pPr>
              <w:ind w:left="-105" w:right="-112"/>
              <w:jc w:val="center"/>
              <w:rPr>
                <w:b/>
                <w:sz w:val="20"/>
                <w:szCs w:val="20"/>
              </w:rPr>
            </w:pPr>
            <w:r w:rsidRPr="00D135AC">
              <w:rPr>
                <w:sz w:val="20"/>
                <w:szCs w:val="20"/>
              </w:rPr>
              <w:t>24,0</w:t>
            </w:r>
          </w:p>
        </w:tc>
        <w:tc>
          <w:tcPr>
            <w:tcW w:w="993" w:type="dxa"/>
            <w:tcBorders>
              <w:top w:val="single" w:sz="4" w:space="0" w:color="auto"/>
              <w:left w:val="nil"/>
              <w:bottom w:val="single" w:sz="4" w:space="0" w:color="auto"/>
              <w:right w:val="single" w:sz="4" w:space="0" w:color="auto"/>
            </w:tcBorders>
            <w:shd w:val="clear" w:color="auto" w:fill="auto"/>
            <w:vAlign w:val="center"/>
          </w:tcPr>
          <w:p w:rsidR="00664EE5" w:rsidRPr="00D135AC" w:rsidRDefault="00664EE5" w:rsidP="00191861">
            <w:pPr>
              <w:jc w:val="center"/>
              <w:rPr>
                <w:b/>
                <w:bCs/>
                <w:sz w:val="20"/>
                <w:szCs w:val="20"/>
              </w:rPr>
            </w:pPr>
            <w:r w:rsidRPr="00D135AC">
              <w:rPr>
                <w:sz w:val="20"/>
                <w:szCs w:val="20"/>
              </w:rPr>
              <w:t>94,5</w:t>
            </w:r>
          </w:p>
        </w:tc>
      </w:tr>
      <w:tr w:rsidR="00664EE5" w:rsidRPr="00467F9C" w:rsidTr="00D135AC">
        <w:trPr>
          <w:trHeight w:val="316"/>
        </w:trPr>
        <w:tc>
          <w:tcPr>
            <w:tcW w:w="5954" w:type="dxa"/>
            <w:tcBorders>
              <w:top w:val="nil"/>
              <w:left w:val="single" w:sz="4" w:space="0" w:color="auto"/>
              <w:bottom w:val="single" w:sz="4" w:space="0" w:color="auto"/>
              <w:right w:val="single" w:sz="4" w:space="0" w:color="auto"/>
            </w:tcBorders>
            <w:shd w:val="clear" w:color="auto" w:fill="auto"/>
            <w:hideMark/>
          </w:tcPr>
          <w:p w:rsidR="00664EE5" w:rsidRPr="00467F9C" w:rsidRDefault="00664EE5" w:rsidP="00191861">
            <w:pPr>
              <w:rPr>
                <w:iCs/>
                <w:sz w:val="18"/>
                <w:szCs w:val="18"/>
              </w:rPr>
            </w:pPr>
            <w:r w:rsidRPr="00467F9C">
              <w:rPr>
                <w:iCs/>
                <w:sz w:val="18"/>
                <w:szCs w:val="18"/>
              </w:rPr>
              <w:t>Непрограммные направления деятельности органов управления территориальных государственных внебюджетных фондов</w:t>
            </w:r>
          </w:p>
        </w:tc>
        <w:tc>
          <w:tcPr>
            <w:tcW w:w="1231" w:type="dxa"/>
            <w:tcBorders>
              <w:top w:val="nil"/>
              <w:left w:val="nil"/>
              <w:bottom w:val="single" w:sz="4" w:space="0" w:color="auto"/>
              <w:right w:val="single" w:sz="4" w:space="0" w:color="auto"/>
            </w:tcBorders>
            <w:shd w:val="clear" w:color="000000" w:fill="FFFFFF"/>
            <w:vAlign w:val="center"/>
          </w:tcPr>
          <w:p w:rsidR="00664EE5" w:rsidRPr="00D135AC" w:rsidRDefault="00664EE5" w:rsidP="00D135AC">
            <w:pPr>
              <w:ind w:left="-106" w:right="-47"/>
              <w:jc w:val="center"/>
              <w:rPr>
                <w:iCs/>
                <w:sz w:val="20"/>
                <w:szCs w:val="20"/>
              </w:rPr>
            </w:pPr>
            <w:r w:rsidRPr="00D135AC">
              <w:rPr>
                <w:iCs/>
                <w:sz w:val="20"/>
                <w:szCs w:val="20"/>
              </w:rPr>
              <w:t>59 000,0</w:t>
            </w:r>
          </w:p>
        </w:tc>
        <w:tc>
          <w:tcPr>
            <w:tcW w:w="895" w:type="dxa"/>
            <w:tcBorders>
              <w:top w:val="nil"/>
              <w:left w:val="nil"/>
              <w:bottom w:val="single" w:sz="4" w:space="0" w:color="auto"/>
              <w:right w:val="single" w:sz="4" w:space="0" w:color="auto"/>
            </w:tcBorders>
            <w:shd w:val="clear" w:color="auto" w:fill="auto"/>
            <w:vAlign w:val="center"/>
          </w:tcPr>
          <w:p w:rsidR="00664EE5" w:rsidRPr="00D135AC" w:rsidRDefault="00664EE5" w:rsidP="00D135AC">
            <w:pPr>
              <w:ind w:left="-58" w:right="-100" w:hanging="141"/>
              <w:jc w:val="center"/>
              <w:rPr>
                <w:iCs/>
                <w:sz w:val="20"/>
                <w:szCs w:val="20"/>
              </w:rPr>
            </w:pPr>
            <w:r w:rsidRPr="00D135AC">
              <w:rPr>
                <w:iCs/>
                <w:sz w:val="20"/>
                <w:szCs w:val="20"/>
              </w:rPr>
              <w:t>38 359,5</w:t>
            </w:r>
          </w:p>
        </w:tc>
        <w:tc>
          <w:tcPr>
            <w:tcW w:w="992" w:type="dxa"/>
            <w:tcBorders>
              <w:top w:val="nil"/>
              <w:left w:val="nil"/>
              <w:bottom w:val="single" w:sz="4" w:space="0" w:color="auto"/>
              <w:right w:val="single" w:sz="4" w:space="0" w:color="auto"/>
            </w:tcBorders>
            <w:shd w:val="clear" w:color="auto" w:fill="auto"/>
            <w:vAlign w:val="center"/>
          </w:tcPr>
          <w:p w:rsidR="00664EE5" w:rsidRPr="00D135AC" w:rsidRDefault="00664EE5" w:rsidP="00D135AC">
            <w:pPr>
              <w:ind w:left="-105" w:right="-112"/>
              <w:jc w:val="center"/>
              <w:rPr>
                <w:iCs/>
                <w:sz w:val="20"/>
                <w:szCs w:val="20"/>
              </w:rPr>
            </w:pPr>
            <w:r w:rsidRPr="00D135AC">
              <w:rPr>
                <w:iCs/>
                <w:sz w:val="20"/>
                <w:szCs w:val="20"/>
              </w:rPr>
              <w:t>65,0</w:t>
            </w:r>
          </w:p>
        </w:tc>
        <w:tc>
          <w:tcPr>
            <w:tcW w:w="993" w:type="dxa"/>
            <w:tcBorders>
              <w:top w:val="nil"/>
              <w:left w:val="nil"/>
              <w:bottom w:val="single" w:sz="4" w:space="0" w:color="auto"/>
              <w:right w:val="single" w:sz="4" w:space="0" w:color="auto"/>
            </w:tcBorders>
            <w:shd w:val="clear" w:color="auto" w:fill="auto"/>
            <w:vAlign w:val="center"/>
          </w:tcPr>
          <w:p w:rsidR="00664EE5" w:rsidRPr="00D135AC" w:rsidRDefault="00664EE5" w:rsidP="00191861">
            <w:pPr>
              <w:jc w:val="center"/>
              <w:rPr>
                <w:sz w:val="20"/>
                <w:szCs w:val="20"/>
              </w:rPr>
            </w:pPr>
            <w:r w:rsidRPr="00D135AC">
              <w:rPr>
                <w:sz w:val="20"/>
                <w:szCs w:val="20"/>
              </w:rPr>
              <w:t>4,2</w:t>
            </w:r>
          </w:p>
        </w:tc>
      </w:tr>
      <w:tr w:rsidR="00664EE5" w:rsidRPr="00467F9C" w:rsidTr="00D135AC">
        <w:trPr>
          <w:trHeight w:val="197"/>
        </w:trPr>
        <w:tc>
          <w:tcPr>
            <w:tcW w:w="5954" w:type="dxa"/>
            <w:tcBorders>
              <w:top w:val="nil"/>
              <w:left w:val="single" w:sz="4" w:space="0" w:color="auto"/>
              <w:bottom w:val="single" w:sz="4" w:space="0" w:color="auto"/>
              <w:right w:val="single" w:sz="4" w:space="0" w:color="auto"/>
            </w:tcBorders>
            <w:shd w:val="clear" w:color="auto" w:fill="auto"/>
          </w:tcPr>
          <w:p w:rsidR="00664EE5" w:rsidRPr="00467F9C" w:rsidRDefault="00664EE5" w:rsidP="00191861">
            <w:pPr>
              <w:rPr>
                <w:i/>
                <w:sz w:val="18"/>
                <w:szCs w:val="18"/>
              </w:rPr>
            </w:pPr>
            <w:r w:rsidRPr="00467F9C">
              <w:rPr>
                <w:i/>
                <w:sz w:val="18"/>
                <w:szCs w:val="18"/>
              </w:rPr>
              <w:t>Организация ОМС на территории Чукотского автономного округа за счет иных источников (Социальное обеспечение и иные выплаты населению)</w:t>
            </w:r>
          </w:p>
        </w:tc>
        <w:tc>
          <w:tcPr>
            <w:tcW w:w="1231" w:type="dxa"/>
            <w:tcBorders>
              <w:top w:val="nil"/>
              <w:left w:val="nil"/>
              <w:bottom w:val="single" w:sz="4" w:space="0" w:color="auto"/>
              <w:right w:val="single" w:sz="4" w:space="0" w:color="auto"/>
            </w:tcBorders>
            <w:shd w:val="clear" w:color="000000" w:fill="FFFFFF"/>
            <w:vAlign w:val="center"/>
          </w:tcPr>
          <w:p w:rsidR="00664EE5" w:rsidRPr="00D135AC" w:rsidRDefault="00664EE5" w:rsidP="00D135AC">
            <w:pPr>
              <w:ind w:left="-106" w:right="-47"/>
              <w:jc w:val="center"/>
              <w:rPr>
                <w:i/>
                <w:sz w:val="20"/>
                <w:szCs w:val="20"/>
              </w:rPr>
            </w:pPr>
            <w:r w:rsidRPr="00D135AC">
              <w:rPr>
                <w:i/>
                <w:sz w:val="20"/>
                <w:szCs w:val="20"/>
              </w:rPr>
              <w:t>45 000,0</w:t>
            </w:r>
          </w:p>
        </w:tc>
        <w:tc>
          <w:tcPr>
            <w:tcW w:w="895" w:type="dxa"/>
            <w:tcBorders>
              <w:top w:val="nil"/>
              <w:left w:val="nil"/>
              <w:bottom w:val="single" w:sz="4" w:space="0" w:color="auto"/>
              <w:right w:val="single" w:sz="4" w:space="0" w:color="auto"/>
            </w:tcBorders>
            <w:shd w:val="clear" w:color="auto" w:fill="auto"/>
            <w:vAlign w:val="center"/>
          </w:tcPr>
          <w:p w:rsidR="00664EE5" w:rsidRPr="00D135AC" w:rsidRDefault="00664EE5" w:rsidP="00D135AC">
            <w:pPr>
              <w:ind w:left="-58" w:right="-100" w:hanging="141"/>
              <w:jc w:val="center"/>
              <w:rPr>
                <w:i/>
                <w:sz w:val="20"/>
                <w:szCs w:val="20"/>
                <w:highlight w:val="yellow"/>
              </w:rPr>
            </w:pPr>
            <w:r w:rsidRPr="00D135AC">
              <w:rPr>
                <w:i/>
                <w:sz w:val="20"/>
                <w:szCs w:val="20"/>
              </w:rPr>
              <w:t>38 359,5</w:t>
            </w:r>
          </w:p>
        </w:tc>
        <w:tc>
          <w:tcPr>
            <w:tcW w:w="992" w:type="dxa"/>
            <w:tcBorders>
              <w:top w:val="nil"/>
              <w:left w:val="nil"/>
              <w:bottom w:val="single" w:sz="4" w:space="0" w:color="auto"/>
              <w:right w:val="single" w:sz="4" w:space="0" w:color="auto"/>
            </w:tcBorders>
            <w:shd w:val="clear" w:color="auto" w:fill="auto"/>
            <w:vAlign w:val="center"/>
          </w:tcPr>
          <w:p w:rsidR="00664EE5" w:rsidRPr="00D135AC" w:rsidRDefault="00664EE5" w:rsidP="00D135AC">
            <w:pPr>
              <w:ind w:left="-105" w:right="-112"/>
              <w:jc w:val="center"/>
              <w:rPr>
                <w:i/>
                <w:sz w:val="20"/>
                <w:szCs w:val="20"/>
                <w:highlight w:val="yellow"/>
              </w:rPr>
            </w:pPr>
            <w:r w:rsidRPr="00D135AC">
              <w:rPr>
                <w:i/>
                <w:sz w:val="20"/>
                <w:szCs w:val="20"/>
              </w:rPr>
              <w:t xml:space="preserve"> 85,2</w:t>
            </w:r>
          </w:p>
        </w:tc>
        <w:tc>
          <w:tcPr>
            <w:tcW w:w="993" w:type="dxa"/>
            <w:tcBorders>
              <w:top w:val="nil"/>
              <w:left w:val="nil"/>
              <w:bottom w:val="single" w:sz="4" w:space="0" w:color="auto"/>
              <w:right w:val="single" w:sz="4" w:space="0" w:color="auto"/>
            </w:tcBorders>
            <w:shd w:val="clear" w:color="auto" w:fill="auto"/>
            <w:vAlign w:val="center"/>
          </w:tcPr>
          <w:p w:rsidR="00664EE5" w:rsidRPr="00D135AC" w:rsidRDefault="00664EE5" w:rsidP="00191861">
            <w:pPr>
              <w:jc w:val="center"/>
              <w:rPr>
                <w:sz w:val="20"/>
                <w:szCs w:val="20"/>
              </w:rPr>
            </w:pPr>
            <w:r w:rsidRPr="00D135AC">
              <w:rPr>
                <w:sz w:val="20"/>
                <w:szCs w:val="20"/>
              </w:rPr>
              <w:t>4,2</w:t>
            </w:r>
          </w:p>
        </w:tc>
      </w:tr>
      <w:tr w:rsidR="00664EE5" w:rsidRPr="00467F9C" w:rsidTr="00D135AC">
        <w:trPr>
          <w:trHeight w:val="124"/>
        </w:trPr>
        <w:tc>
          <w:tcPr>
            <w:tcW w:w="5954" w:type="dxa"/>
            <w:tcBorders>
              <w:top w:val="nil"/>
              <w:left w:val="single" w:sz="4" w:space="0" w:color="auto"/>
              <w:bottom w:val="single" w:sz="4" w:space="0" w:color="auto"/>
              <w:right w:val="single" w:sz="4" w:space="0" w:color="auto"/>
            </w:tcBorders>
            <w:shd w:val="clear" w:color="auto" w:fill="auto"/>
          </w:tcPr>
          <w:p w:rsidR="00664EE5" w:rsidRPr="00467F9C" w:rsidRDefault="00664EE5" w:rsidP="00191861">
            <w:pPr>
              <w:rPr>
                <w:i/>
                <w:sz w:val="18"/>
                <w:szCs w:val="18"/>
              </w:rPr>
            </w:pPr>
            <w:r w:rsidRPr="00467F9C">
              <w:rPr>
                <w:i/>
                <w:sz w:val="18"/>
                <w:szCs w:val="18"/>
              </w:rPr>
              <w:t xml:space="preserve">Финансовое обеспечение мероприятий по программам повышения квалификации и </w:t>
            </w:r>
            <w:proofErr w:type="gramStart"/>
            <w:r w:rsidRPr="00467F9C">
              <w:rPr>
                <w:i/>
                <w:sz w:val="18"/>
                <w:szCs w:val="18"/>
              </w:rPr>
              <w:t>приобретению</w:t>
            </w:r>
            <w:proofErr w:type="gramEnd"/>
            <w:r w:rsidRPr="00467F9C">
              <w:rPr>
                <w:i/>
                <w:sz w:val="18"/>
                <w:szCs w:val="18"/>
              </w:rPr>
              <w:t xml:space="preserve"> и проведению ремонта медицинского оборудования </w:t>
            </w:r>
          </w:p>
        </w:tc>
        <w:tc>
          <w:tcPr>
            <w:tcW w:w="1231" w:type="dxa"/>
            <w:tcBorders>
              <w:top w:val="nil"/>
              <w:left w:val="nil"/>
              <w:bottom w:val="single" w:sz="4" w:space="0" w:color="auto"/>
              <w:right w:val="single" w:sz="4" w:space="0" w:color="auto"/>
            </w:tcBorders>
            <w:shd w:val="clear" w:color="000000" w:fill="FFFFFF"/>
            <w:vAlign w:val="center"/>
          </w:tcPr>
          <w:p w:rsidR="00664EE5" w:rsidRPr="00D135AC" w:rsidRDefault="00664EE5" w:rsidP="00D135AC">
            <w:pPr>
              <w:ind w:left="-106" w:right="-47"/>
              <w:jc w:val="center"/>
              <w:rPr>
                <w:i/>
                <w:sz w:val="20"/>
                <w:szCs w:val="20"/>
              </w:rPr>
            </w:pPr>
            <w:r w:rsidRPr="00D135AC">
              <w:rPr>
                <w:i/>
                <w:sz w:val="20"/>
                <w:szCs w:val="20"/>
              </w:rPr>
              <w:t>14 000,0</w:t>
            </w:r>
          </w:p>
        </w:tc>
        <w:tc>
          <w:tcPr>
            <w:tcW w:w="895" w:type="dxa"/>
            <w:tcBorders>
              <w:top w:val="nil"/>
              <w:left w:val="nil"/>
              <w:bottom w:val="single" w:sz="4" w:space="0" w:color="auto"/>
              <w:right w:val="single" w:sz="4" w:space="0" w:color="auto"/>
            </w:tcBorders>
            <w:shd w:val="clear" w:color="auto" w:fill="auto"/>
            <w:vAlign w:val="center"/>
          </w:tcPr>
          <w:p w:rsidR="00664EE5" w:rsidRPr="00D135AC" w:rsidRDefault="00664EE5" w:rsidP="00D135AC">
            <w:pPr>
              <w:ind w:left="-58" w:right="-100" w:hanging="141"/>
              <w:jc w:val="center"/>
              <w:rPr>
                <w:i/>
                <w:sz w:val="20"/>
                <w:szCs w:val="20"/>
              </w:rPr>
            </w:pPr>
            <w:r w:rsidRPr="00D135AC">
              <w:rPr>
                <w:i/>
                <w:sz w:val="20"/>
                <w:szCs w:val="20"/>
              </w:rPr>
              <w:t>0,0</w:t>
            </w:r>
          </w:p>
        </w:tc>
        <w:tc>
          <w:tcPr>
            <w:tcW w:w="992" w:type="dxa"/>
            <w:tcBorders>
              <w:top w:val="nil"/>
              <w:left w:val="nil"/>
              <w:bottom w:val="single" w:sz="4" w:space="0" w:color="auto"/>
              <w:right w:val="single" w:sz="4" w:space="0" w:color="auto"/>
            </w:tcBorders>
            <w:shd w:val="clear" w:color="auto" w:fill="auto"/>
            <w:vAlign w:val="center"/>
          </w:tcPr>
          <w:p w:rsidR="00664EE5" w:rsidRPr="00D135AC" w:rsidRDefault="00664EE5" w:rsidP="00D135AC">
            <w:pPr>
              <w:ind w:left="-105" w:right="-112"/>
              <w:jc w:val="center"/>
              <w:rPr>
                <w:i/>
                <w:sz w:val="20"/>
                <w:szCs w:val="20"/>
              </w:rPr>
            </w:pPr>
            <w:r w:rsidRPr="00D135AC">
              <w:rPr>
                <w:i/>
                <w:sz w:val="20"/>
                <w:szCs w:val="20"/>
              </w:rPr>
              <w:t>0,0</w:t>
            </w:r>
          </w:p>
        </w:tc>
        <w:tc>
          <w:tcPr>
            <w:tcW w:w="993" w:type="dxa"/>
            <w:tcBorders>
              <w:top w:val="nil"/>
              <w:left w:val="nil"/>
              <w:bottom w:val="single" w:sz="4" w:space="0" w:color="auto"/>
              <w:right w:val="single" w:sz="4" w:space="0" w:color="auto"/>
            </w:tcBorders>
            <w:shd w:val="clear" w:color="auto" w:fill="auto"/>
            <w:vAlign w:val="center"/>
          </w:tcPr>
          <w:p w:rsidR="00664EE5" w:rsidRPr="00D135AC" w:rsidRDefault="00664EE5" w:rsidP="00191861">
            <w:pPr>
              <w:jc w:val="center"/>
              <w:rPr>
                <w:sz w:val="20"/>
                <w:szCs w:val="20"/>
              </w:rPr>
            </w:pPr>
            <w:r w:rsidRPr="00D135AC">
              <w:rPr>
                <w:sz w:val="20"/>
                <w:szCs w:val="20"/>
              </w:rPr>
              <w:t>0,0</w:t>
            </w:r>
          </w:p>
        </w:tc>
      </w:tr>
    </w:tbl>
    <w:p w:rsidR="00664EE5" w:rsidRPr="00D135AC" w:rsidRDefault="00664EE5" w:rsidP="00191861">
      <w:pPr>
        <w:pStyle w:val="af8"/>
        <w:ind w:firstLine="567"/>
        <w:jc w:val="right"/>
        <w:rPr>
          <w:sz w:val="2"/>
          <w:szCs w:val="2"/>
        </w:rPr>
      </w:pPr>
    </w:p>
    <w:p w:rsidR="00664EE5" w:rsidRPr="00467F9C" w:rsidRDefault="00664EE5" w:rsidP="00191861">
      <w:pPr>
        <w:pStyle w:val="af8"/>
        <w:ind w:firstLine="567"/>
        <w:jc w:val="right"/>
        <w:rPr>
          <w:sz w:val="16"/>
          <w:szCs w:val="16"/>
        </w:rPr>
      </w:pPr>
    </w:p>
    <w:p w:rsidR="00664EE5" w:rsidRPr="00467F9C" w:rsidRDefault="00664EE5" w:rsidP="00191861">
      <w:pPr>
        <w:tabs>
          <w:tab w:val="left" w:pos="720"/>
          <w:tab w:val="left" w:pos="2700"/>
          <w:tab w:val="left" w:pos="3060"/>
        </w:tabs>
        <w:ind w:firstLine="709"/>
        <w:jc w:val="both"/>
        <w:rPr>
          <w:b/>
          <w:sz w:val="28"/>
          <w:szCs w:val="28"/>
        </w:rPr>
      </w:pPr>
      <w:r w:rsidRPr="00467F9C">
        <w:rPr>
          <w:sz w:val="28"/>
          <w:szCs w:val="28"/>
        </w:rPr>
        <w:t>Расходы на выполнение управленческих функций Фонда (</w:t>
      </w:r>
      <w:proofErr w:type="gramStart"/>
      <w:r w:rsidRPr="00467F9C">
        <w:rPr>
          <w:sz w:val="28"/>
          <w:szCs w:val="28"/>
        </w:rPr>
        <w:t>раздел  «</w:t>
      </w:r>
      <w:proofErr w:type="gramEnd"/>
      <w:r w:rsidRPr="00467F9C">
        <w:rPr>
          <w:sz w:val="28"/>
          <w:szCs w:val="28"/>
        </w:rPr>
        <w:t>Общегосударственные вопросы»)  в структуре расходов бюджета Фонда составили 1,3% и в январе-марте 2022 года исполнены в сумме 11 678,9 тыс. рублей, или 25,5% от годовых бюджетных назначений. По сравнению с аналогичным периодом прошлого года (10 013,3 тыс. рублей) расходы увеличились на 1 665,6 тыс. рублей (16,6%).</w:t>
      </w:r>
    </w:p>
    <w:p w:rsidR="00664EE5" w:rsidRPr="00467F9C" w:rsidRDefault="00664EE5" w:rsidP="00191861">
      <w:pPr>
        <w:pStyle w:val="a3"/>
        <w:tabs>
          <w:tab w:val="left" w:pos="720"/>
          <w:tab w:val="left" w:pos="2700"/>
          <w:tab w:val="left" w:pos="3060"/>
        </w:tabs>
        <w:ind w:firstLine="709"/>
        <w:jc w:val="both"/>
        <w:rPr>
          <w:b w:val="0"/>
        </w:rPr>
      </w:pPr>
      <w:r w:rsidRPr="00467F9C">
        <w:rPr>
          <w:b w:val="0"/>
        </w:rPr>
        <w:t xml:space="preserve">Основная доля расходов бюджета Фонда – 98,7% или 900 247,1 тыс. рублей направлена на расходы </w:t>
      </w:r>
      <w:r w:rsidRPr="00467F9C">
        <w:t>по разделу «Здравоохранение»</w:t>
      </w:r>
      <w:r w:rsidRPr="00467F9C">
        <w:rPr>
          <w:b w:val="0"/>
        </w:rPr>
        <w:t>,</w:t>
      </w:r>
      <w:r w:rsidRPr="00467F9C">
        <w:rPr>
          <w:i/>
        </w:rPr>
        <w:t xml:space="preserve"> </w:t>
      </w:r>
      <w:r w:rsidRPr="00467F9C">
        <w:rPr>
          <w:b w:val="0"/>
        </w:rPr>
        <w:t xml:space="preserve">которые в сравнении с аналогичным периодом прошлого года (841 359,8 тыс. рублей) увеличились на 58 887,3 тыс. рублей или 7,0%.  Расходы по данному разделу исполнены на 24,7% от годовых бюджетных назначений.   </w:t>
      </w:r>
    </w:p>
    <w:p w:rsidR="00664EE5" w:rsidRPr="00467F9C" w:rsidRDefault="00664EE5" w:rsidP="00191861">
      <w:pPr>
        <w:pStyle w:val="a3"/>
        <w:tabs>
          <w:tab w:val="left" w:pos="720"/>
          <w:tab w:val="left" w:pos="2700"/>
          <w:tab w:val="left" w:pos="3060"/>
        </w:tabs>
        <w:ind w:firstLine="709"/>
        <w:jc w:val="both"/>
        <w:rPr>
          <w:b w:val="0"/>
        </w:rPr>
      </w:pPr>
      <w:r w:rsidRPr="00467F9C">
        <w:rPr>
          <w:b w:val="0"/>
        </w:rPr>
        <w:t xml:space="preserve">На реализацию </w:t>
      </w:r>
      <w:r w:rsidRPr="00467F9C">
        <w:t>финансового обеспечения организации обязательного медицинского страхования на территориях субъектов РФ</w:t>
      </w:r>
      <w:r w:rsidRPr="00467F9C">
        <w:rPr>
          <w:b w:val="0"/>
        </w:rPr>
        <w:t xml:space="preserve"> направлены средства бюджета Фонда в объеме 861 887,6 тыс. рублей или 24,0% </w:t>
      </w:r>
      <w:proofErr w:type="gramStart"/>
      <w:r w:rsidRPr="00467F9C">
        <w:rPr>
          <w:b w:val="0"/>
        </w:rPr>
        <w:t>от  годовых</w:t>
      </w:r>
      <w:proofErr w:type="gramEnd"/>
      <w:r w:rsidRPr="00467F9C">
        <w:rPr>
          <w:b w:val="0"/>
        </w:rPr>
        <w:t xml:space="preserve"> бюджетных назначений, расходы выросли по отношению к аналогичному показателю предыдущего года (839 777,6 тыс. рублей) на 2,6%.</w:t>
      </w:r>
    </w:p>
    <w:p w:rsidR="00664EE5" w:rsidRPr="00467F9C" w:rsidRDefault="00664EE5" w:rsidP="00191861">
      <w:pPr>
        <w:pStyle w:val="af8"/>
        <w:tabs>
          <w:tab w:val="left" w:pos="709"/>
          <w:tab w:val="left" w:pos="851"/>
        </w:tabs>
        <w:ind w:firstLine="709"/>
        <w:jc w:val="both"/>
        <w:rPr>
          <w:sz w:val="28"/>
          <w:szCs w:val="28"/>
        </w:rPr>
      </w:pPr>
      <w:r w:rsidRPr="00467F9C">
        <w:rPr>
          <w:sz w:val="28"/>
          <w:szCs w:val="28"/>
        </w:rPr>
        <w:t xml:space="preserve">Расходы бюджета Фонда на </w:t>
      </w:r>
      <w:r w:rsidRPr="00467F9C">
        <w:rPr>
          <w:b/>
          <w:sz w:val="28"/>
          <w:szCs w:val="28"/>
        </w:rPr>
        <w:t>непрограммные направления деятельности</w:t>
      </w:r>
      <w:r w:rsidRPr="00467F9C">
        <w:rPr>
          <w:sz w:val="28"/>
          <w:szCs w:val="28"/>
        </w:rPr>
        <w:t xml:space="preserve"> в анализируемом периоде составили 38 359,5 тыс. рублей или 65,0%, что в структуре расходов бюджета Фонда составило 4,2%. Средства бюджета Фонда направлены</w:t>
      </w:r>
      <w:r w:rsidRPr="00467F9C">
        <w:rPr>
          <w:b/>
          <w:sz w:val="28"/>
          <w:szCs w:val="28"/>
        </w:rPr>
        <w:t> </w:t>
      </w:r>
      <w:r w:rsidRPr="00467F9C">
        <w:rPr>
          <w:sz w:val="28"/>
          <w:szCs w:val="28"/>
        </w:rPr>
        <w:t xml:space="preserve">на организацию ОМС на территории региона за счет иных источников (оплата счетов </w:t>
      </w:r>
      <w:r w:rsidRPr="00467F9C">
        <w:rPr>
          <w:sz w:val="28"/>
          <w:szCs w:val="28"/>
        </w:rPr>
        <w:lastRenderedPageBreak/>
        <w:t>медицинских организаций за лечение иногородних граждан на территории Чукотского автономного округа).</w:t>
      </w:r>
    </w:p>
    <w:p w:rsidR="00664EE5" w:rsidRPr="00467F9C" w:rsidRDefault="00664EE5" w:rsidP="00191861">
      <w:pPr>
        <w:ind w:firstLine="709"/>
        <w:jc w:val="both"/>
        <w:rPr>
          <w:rFonts w:eastAsia="Calibri"/>
          <w:b/>
          <w:sz w:val="10"/>
          <w:szCs w:val="10"/>
          <w:lang w:eastAsia="en-US"/>
        </w:rPr>
      </w:pPr>
    </w:p>
    <w:p w:rsidR="00664EE5" w:rsidRPr="00467F9C" w:rsidRDefault="00664EE5" w:rsidP="00191861">
      <w:pPr>
        <w:ind w:firstLine="709"/>
        <w:jc w:val="both"/>
        <w:rPr>
          <w:rFonts w:eastAsia="Calibri"/>
          <w:b/>
          <w:sz w:val="10"/>
          <w:szCs w:val="10"/>
          <w:lang w:eastAsia="en-US"/>
        </w:rPr>
      </w:pPr>
    </w:p>
    <w:p w:rsidR="00664EE5" w:rsidRPr="00467F9C" w:rsidRDefault="00664EE5" w:rsidP="00191861">
      <w:pPr>
        <w:ind w:firstLine="709"/>
        <w:jc w:val="both"/>
        <w:rPr>
          <w:rFonts w:eastAsia="Calibri"/>
          <w:b/>
          <w:sz w:val="28"/>
          <w:szCs w:val="28"/>
          <w:lang w:eastAsia="en-US"/>
        </w:rPr>
      </w:pPr>
      <w:r w:rsidRPr="00467F9C">
        <w:rPr>
          <w:rFonts w:eastAsia="Calibri"/>
          <w:b/>
          <w:sz w:val="28"/>
          <w:szCs w:val="28"/>
          <w:lang w:eastAsia="en-US"/>
        </w:rPr>
        <w:t>Предложения:</w:t>
      </w:r>
    </w:p>
    <w:p w:rsidR="00664EE5" w:rsidRPr="00467F9C" w:rsidRDefault="00664EE5" w:rsidP="00191861">
      <w:pPr>
        <w:ind w:firstLine="709"/>
        <w:jc w:val="both"/>
        <w:rPr>
          <w:rFonts w:eastAsia="Calibri"/>
          <w:b/>
          <w:sz w:val="10"/>
          <w:szCs w:val="10"/>
          <w:lang w:eastAsia="en-US"/>
        </w:rPr>
      </w:pPr>
    </w:p>
    <w:p w:rsidR="00664EE5" w:rsidRPr="00467F9C" w:rsidRDefault="00664EE5" w:rsidP="00191861">
      <w:pPr>
        <w:ind w:firstLine="709"/>
        <w:jc w:val="both"/>
        <w:rPr>
          <w:rFonts w:eastAsia="Calibri"/>
          <w:sz w:val="28"/>
          <w:szCs w:val="28"/>
          <w:lang w:eastAsia="en-US"/>
        </w:rPr>
      </w:pPr>
      <w:r w:rsidRPr="00467F9C">
        <w:rPr>
          <w:rFonts w:eastAsia="Calibri"/>
          <w:sz w:val="28"/>
          <w:szCs w:val="28"/>
          <w:lang w:eastAsia="en-US"/>
        </w:rPr>
        <w:t>Заключение направить в Думу и Губернатору Чукотского автономного округа.</w:t>
      </w:r>
    </w:p>
    <w:p w:rsidR="00D135AC" w:rsidRDefault="00D135AC" w:rsidP="00191861">
      <w:pPr>
        <w:tabs>
          <w:tab w:val="left" w:pos="7938"/>
        </w:tabs>
        <w:rPr>
          <w:sz w:val="28"/>
          <w:szCs w:val="28"/>
        </w:rPr>
      </w:pPr>
    </w:p>
    <w:p w:rsidR="00D41A4F" w:rsidRPr="00467F9C" w:rsidRDefault="00664EE5" w:rsidP="0069779E">
      <w:pPr>
        <w:tabs>
          <w:tab w:val="left" w:pos="7938"/>
        </w:tabs>
        <w:rPr>
          <w:sz w:val="10"/>
          <w:szCs w:val="10"/>
        </w:rPr>
      </w:pPr>
      <w:r w:rsidRPr="00467F9C">
        <w:rPr>
          <w:sz w:val="28"/>
          <w:szCs w:val="28"/>
        </w:rPr>
        <w:t xml:space="preserve">Заместитель Председателя                                                                </w:t>
      </w:r>
      <w:proofErr w:type="spellStart"/>
      <w:r w:rsidRPr="00467F9C">
        <w:rPr>
          <w:sz w:val="28"/>
          <w:szCs w:val="28"/>
        </w:rPr>
        <w:t>Н.В.Головачёва</w:t>
      </w:r>
      <w:proofErr w:type="spellEnd"/>
      <w:r w:rsidR="00D41A4F" w:rsidRPr="00467F9C">
        <w:rPr>
          <w:sz w:val="10"/>
          <w:szCs w:val="10"/>
        </w:rPr>
        <w:br w:type="page"/>
      </w:r>
    </w:p>
    <w:p w:rsidR="00A25B1F" w:rsidRPr="00467F9C" w:rsidRDefault="00A25B1F" w:rsidP="00191861">
      <w:pPr>
        <w:jc w:val="center"/>
      </w:pPr>
      <w:bookmarkStart w:id="21" w:name="_Hlk50624309"/>
      <w:r w:rsidRPr="00467F9C">
        <w:rPr>
          <w:b/>
          <w:bCs/>
          <w:sz w:val="28"/>
          <w:szCs w:val="28"/>
        </w:rPr>
        <w:lastRenderedPageBreak/>
        <w:t>ОТЧЕТ</w:t>
      </w:r>
    </w:p>
    <w:p w:rsidR="00A25B1F" w:rsidRPr="00467F9C" w:rsidRDefault="00A25B1F" w:rsidP="00191861">
      <w:pPr>
        <w:jc w:val="center"/>
        <w:rPr>
          <w:sz w:val="28"/>
          <w:szCs w:val="28"/>
        </w:rPr>
      </w:pPr>
      <w:r w:rsidRPr="00467F9C">
        <w:rPr>
          <w:b/>
          <w:bCs/>
          <w:sz w:val="28"/>
          <w:szCs w:val="28"/>
        </w:rPr>
        <w:t>о результатах контрольного мероприятия</w:t>
      </w:r>
    </w:p>
    <w:p w:rsidR="00A25B1F" w:rsidRPr="00A91FB9" w:rsidRDefault="00A25B1F" w:rsidP="00191861">
      <w:pPr>
        <w:jc w:val="center"/>
        <w:rPr>
          <w:b/>
          <w:bCs/>
          <w:sz w:val="28"/>
          <w:szCs w:val="28"/>
        </w:rPr>
      </w:pPr>
      <w:r w:rsidRPr="00A91FB9">
        <w:rPr>
          <w:b/>
          <w:bCs/>
          <w:sz w:val="28"/>
          <w:szCs w:val="28"/>
        </w:rPr>
        <w:t>«</w:t>
      </w:r>
      <w:bookmarkStart w:id="22" w:name="_Hlk103673160"/>
      <w:r w:rsidRPr="00A91FB9">
        <w:rPr>
          <w:b/>
          <w:sz w:val="28"/>
          <w:szCs w:val="28"/>
        </w:rPr>
        <w:t xml:space="preserve">Внешняя проверка бюджетной отчетности </w:t>
      </w:r>
      <w:r w:rsidRPr="00A91FB9">
        <w:rPr>
          <w:b/>
          <w:sz w:val="28"/>
          <w:szCs w:val="28"/>
        </w:rPr>
        <w:br/>
        <w:t>главных администраторов средств окружного бюджета за 2021 год</w:t>
      </w:r>
      <w:bookmarkEnd w:id="22"/>
      <w:r w:rsidRPr="00A91FB9">
        <w:rPr>
          <w:b/>
          <w:bCs/>
          <w:sz w:val="28"/>
          <w:szCs w:val="28"/>
        </w:rPr>
        <w:t>»</w:t>
      </w:r>
    </w:p>
    <w:p w:rsidR="00A25B1F" w:rsidRPr="00467F9C" w:rsidRDefault="00A25B1F" w:rsidP="00191861">
      <w:pPr>
        <w:spacing w:before="120"/>
        <w:jc w:val="center"/>
      </w:pPr>
      <w:r w:rsidRPr="00467F9C">
        <w:t>утвержден Коллегией Счетной палаты Чукотского автономного округа</w:t>
      </w:r>
    </w:p>
    <w:p w:rsidR="00A25B1F" w:rsidRPr="00467F9C" w:rsidRDefault="00A25B1F" w:rsidP="00191861">
      <w:pPr>
        <w:jc w:val="center"/>
      </w:pPr>
      <w:r w:rsidRPr="00467F9C">
        <w:t>протокол от 16 мая 2022 года №9</w:t>
      </w:r>
    </w:p>
    <w:p w:rsidR="00A25B1F" w:rsidRPr="00467F9C" w:rsidRDefault="00A25B1F" w:rsidP="00191861">
      <w:pPr>
        <w:ind w:right="-2" w:firstLine="709"/>
        <w:jc w:val="both"/>
        <w:rPr>
          <w:b/>
          <w:bCs/>
          <w:sz w:val="28"/>
          <w:szCs w:val="28"/>
        </w:rPr>
      </w:pPr>
    </w:p>
    <w:p w:rsidR="00A25B1F" w:rsidRPr="00467F9C" w:rsidRDefault="00A25B1F" w:rsidP="00191861">
      <w:pPr>
        <w:ind w:right="-2" w:firstLine="709"/>
        <w:jc w:val="both"/>
        <w:rPr>
          <w:b/>
          <w:bCs/>
          <w:sz w:val="28"/>
          <w:szCs w:val="28"/>
        </w:rPr>
      </w:pPr>
      <w:r w:rsidRPr="00467F9C">
        <w:rPr>
          <w:b/>
          <w:bCs/>
          <w:sz w:val="28"/>
          <w:szCs w:val="28"/>
        </w:rPr>
        <w:t>Основание для проведения контрольного мероприятия</w:t>
      </w:r>
    </w:p>
    <w:p w:rsidR="00A25B1F" w:rsidRPr="00467F9C" w:rsidRDefault="00A25B1F" w:rsidP="00191861">
      <w:pPr>
        <w:ind w:right="-2" w:firstLine="709"/>
        <w:jc w:val="both"/>
        <w:rPr>
          <w:sz w:val="28"/>
          <w:szCs w:val="28"/>
        </w:rPr>
      </w:pPr>
      <w:r w:rsidRPr="00467F9C">
        <w:rPr>
          <w:sz w:val="28"/>
          <w:szCs w:val="28"/>
        </w:rPr>
        <w:t>Пункт 1.4. Плана работы Счетной палаты Чукотского автономного округа на 2022 год, утвержденного решением Коллегии Счетной палаты Чукотского автономного округа (протокол от 28 декабря 2021 года №32).</w:t>
      </w:r>
    </w:p>
    <w:p w:rsidR="00A25B1F" w:rsidRPr="00467F9C" w:rsidRDefault="00A25B1F" w:rsidP="00191861">
      <w:pPr>
        <w:ind w:right="-2" w:firstLine="709"/>
        <w:jc w:val="both"/>
        <w:rPr>
          <w:sz w:val="28"/>
          <w:szCs w:val="28"/>
        </w:rPr>
      </w:pPr>
      <w:r w:rsidRPr="00467F9C">
        <w:rPr>
          <w:b/>
          <w:bCs/>
          <w:sz w:val="28"/>
          <w:szCs w:val="28"/>
        </w:rPr>
        <w:t xml:space="preserve">Предмет контрольного мероприятия </w:t>
      </w:r>
    </w:p>
    <w:p w:rsidR="00A25B1F" w:rsidRPr="00467F9C" w:rsidRDefault="00A25B1F" w:rsidP="00191861">
      <w:pPr>
        <w:pStyle w:val="Style5"/>
        <w:widowControl/>
        <w:spacing w:line="240" w:lineRule="auto"/>
        <w:ind w:firstLine="709"/>
        <w:rPr>
          <w:sz w:val="28"/>
          <w:szCs w:val="28"/>
        </w:rPr>
      </w:pPr>
      <w:r w:rsidRPr="00467F9C">
        <w:rPr>
          <w:sz w:val="28"/>
          <w:szCs w:val="28"/>
        </w:rPr>
        <w:t>Деятельность главных администраторов бюджетных средств</w:t>
      </w:r>
      <w:r w:rsidRPr="00467F9C">
        <w:rPr>
          <w:rStyle w:val="ab"/>
        </w:rPr>
        <w:footnoteReference w:id="32"/>
      </w:r>
      <w:r w:rsidRPr="00467F9C">
        <w:rPr>
          <w:sz w:val="28"/>
          <w:szCs w:val="28"/>
        </w:rPr>
        <w:t xml:space="preserve"> в процессе использования средств окружного бюджета, а также формирования, управления и распоряжения окружной собственностью.</w:t>
      </w:r>
    </w:p>
    <w:p w:rsidR="00A25B1F" w:rsidRPr="00467F9C" w:rsidRDefault="00A25B1F" w:rsidP="00191861">
      <w:pPr>
        <w:ind w:firstLine="709"/>
        <w:jc w:val="both"/>
        <w:rPr>
          <w:sz w:val="28"/>
          <w:szCs w:val="28"/>
        </w:rPr>
      </w:pPr>
      <w:r w:rsidRPr="00467F9C">
        <w:rPr>
          <w:b/>
          <w:bCs/>
          <w:sz w:val="28"/>
          <w:szCs w:val="28"/>
        </w:rPr>
        <w:t>Цель контрольного мероприятия</w:t>
      </w:r>
    </w:p>
    <w:p w:rsidR="00A25B1F" w:rsidRPr="00467F9C" w:rsidRDefault="00A25B1F" w:rsidP="00191861">
      <w:pPr>
        <w:pStyle w:val="Style5"/>
        <w:widowControl/>
        <w:spacing w:line="240" w:lineRule="auto"/>
        <w:ind w:firstLine="709"/>
        <w:rPr>
          <w:sz w:val="28"/>
          <w:szCs w:val="28"/>
        </w:rPr>
      </w:pPr>
      <w:r w:rsidRPr="00467F9C">
        <w:rPr>
          <w:sz w:val="28"/>
          <w:szCs w:val="28"/>
        </w:rPr>
        <w:t>Оценить полноту бюджетной отчетности главных администраторов бюджетных средств, ее соответствие требованиям нормативных правовых актов, показателям, отраженным в отчете об исполнении окружного бюджета.</w:t>
      </w:r>
    </w:p>
    <w:p w:rsidR="00A25B1F" w:rsidRPr="00467F9C" w:rsidRDefault="00A25B1F" w:rsidP="00191861">
      <w:pPr>
        <w:ind w:firstLine="720"/>
        <w:jc w:val="both"/>
        <w:rPr>
          <w:b/>
          <w:bCs/>
          <w:sz w:val="28"/>
          <w:szCs w:val="28"/>
        </w:rPr>
      </w:pPr>
      <w:r w:rsidRPr="00467F9C">
        <w:rPr>
          <w:b/>
          <w:bCs/>
          <w:sz w:val="28"/>
          <w:szCs w:val="28"/>
        </w:rPr>
        <w:t>Вопросы контрольного мероприятия</w:t>
      </w:r>
    </w:p>
    <w:p w:rsidR="00A25B1F" w:rsidRPr="00467F9C" w:rsidRDefault="00A25B1F" w:rsidP="00191861">
      <w:pPr>
        <w:ind w:right="-2" w:firstLine="709"/>
        <w:jc w:val="both"/>
        <w:rPr>
          <w:sz w:val="28"/>
          <w:szCs w:val="28"/>
        </w:rPr>
      </w:pPr>
      <w:bookmarkStart w:id="23" w:name="_Hlk100583710"/>
      <w:r w:rsidRPr="00467F9C">
        <w:rPr>
          <w:sz w:val="28"/>
          <w:szCs w:val="28"/>
        </w:rPr>
        <w:t>1. Организация ведения бюджетного учета, составления и представления бюджетной отчётности.</w:t>
      </w:r>
    </w:p>
    <w:p w:rsidR="00A25B1F" w:rsidRPr="00467F9C" w:rsidRDefault="00A25B1F" w:rsidP="00191861">
      <w:pPr>
        <w:ind w:right="-2" w:firstLine="709"/>
        <w:jc w:val="both"/>
        <w:rPr>
          <w:sz w:val="28"/>
          <w:szCs w:val="28"/>
        </w:rPr>
      </w:pPr>
      <w:r w:rsidRPr="00467F9C">
        <w:rPr>
          <w:sz w:val="28"/>
          <w:szCs w:val="28"/>
        </w:rPr>
        <w:t>2. Анализ показателей исполнения бюджетных назначений.</w:t>
      </w:r>
    </w:p>
    <w:p w:rsidR="00A25B1F" w:rsidRPr="00467F9C" w:rsidRDefault="00A25B1F" w:rsidP="00191861">
      <w:pPr>
        <w:ind w:right="-2" w:firstLine="709"/>
        <w:jc w:val="both"/>
        <w:rPr>
          <w:sz w:val="28"/>
          <w:szCs w:val="28"/>
        </w:rPr>
      </w:pPr>
      <w:r w:rsidRPr="00467F9C">
        <w:rPr>
          <w:sz w:val="28"/>
          <w:szCs w:val="28"/>
        </w:rPr>
        <w:t>3. Анализ показателей годовой бухгалтерской отчетности.</w:t>
      </w:r>
      <w:bookmarkEnd w:id="23"/>
    </w:p>
    <w:p w:rsidR="00A25B1F" w:rsidRPr="00467F9C" w:rsidRDefault="00A25B1F" w:rsidP="00191861">
      <w:pPr>
        <w:ind w:firstLine="709"/>
        <w:jc w:val="both"/>
        <w:rPr>
          <w:b/>
          <w:sz w:val="28"/>
          <w:szCs w:val="28"/>
        </w:rPr>
      </w:pPr>
      <w:r w:rsidRPr="00467F9C">
        <w:rPr>
          <w:b/>
          <w:sz w:val="28"/>
          <w:szCs w:val="28"/>
        </w:rPr>
        <w:t xml:space="preserve">Объекты контрольного мероприятия </w:t>
      </w:r>
    </w:p>
    <w:p w:rsidR="00A25B1F" w:rsidRPr="00092FF3" w:rsidRDefault="00A25B1F" w:rsidP="00191861">
      <w:pPr>
        <w:ind w:firstLine="709"/>
        <w:jc w:val="both"/>
        <w:rPr>
          <w:sz w:val="28"/>
          <w:szCs w:val="28"/>
        </w:rPr>
      </w:pPr>
      <w:r w:rsidRPr="00467F9C">
        <w:rPr>
          <w:sz w:val="28"/>
          <w:szCs w:val="28"/>
        </w:rPr>
        <w:t xml:space="preserve">1. Департамент </w:t>
      </w:r>
      <w:r w:rsidRPr="00092FF3">
        <w:rPr>
          <w:sz w:val="28"/>
          <w:szCs w:val="28"/>
        </w:rPr>
        <w:t>промышленной политики Чукотского автономного округа (далее – Департамент промышленной политики)</w:t>
      </w:r>
    </w:p>
    <w:p w:rsidR="00A25B1F" w:rsidRPr="00092FF3" w:rsidRDefault="00A25B1F" w:rsidP="00191861">
      <w:pPr>
        <w:ind w:firstLine="709"/>
        <w:jc w:val="both"/>
        <w:rPr>
          <w:sz w:val="28"/>
          <w:szCs w:val="28"/>
        </w:rPr>
      </w:pPr>
      <w:r w:rsidRPr="00092FF3">
        <w:rPr>
          <w:sz w:val="28"/>
          <w:szCs w:val="28"/>
        </w:rPr>
        <w:t xml:space="preserve">2. Департамент социальной политики Чукотского автономного округа </w:t>
      </w:r>
      <w:r w:rsidR="00092FF3">
        <w:rPr>
          <w:sz w:val="28"/>
          <w:szCs w:val="28"/>
        </w:rPr>
        <w:t xml:space="preserve">                  </w:t>
      </w:r>
      <w:proofErr w:type="gramStart"/>
      <w:r w:rsidR="00092FF3">
        <w:rPr>
          <w:sz w:val="28"/>
          <w:szCs w:val="28"/>
        </w:rPr>
        <w:t xml:space="preserve">   </w:t>
      </w:r>
      <w:r w:rsidRPr="00092FF3">
        <w:rPr>
          <w:sz w:val="28"/>
          <w:szCs w:val="28"/>
        </w:rPr>
        <w:t>(</w:t>
      </w:r>
      <w:proofErr w:type="gramEnd"/>
      <w:r w:rsidRPr="00092FF3">
        <w:rPr>
          <w:sz w:val="28"/>
          <w:szCs w:val="28"/>
        </w:rPr>
        <w:t>далее – Департамент социальной политики)</w:t>
      </w:r>
    </w:p>
    <w:p w:rsidR="00A25B1F" w:rsidRPr="00092FF3" w:rsidRDefault="00A25B1F" w:rsidP="00191861">
      <w:pPr>
        <w:ind w:firstLine="709"/>
        <w:jc w:val="both"/>
        <w:rPr>
          <w:sz w:val="28"/>
          <w:szCs w:val="28"/>
        </w:rPr>
      </w:pPr>
      <w:r w:rsidRPr="00092FF3">
        <w:rPr>
          <w:sz w:val="28"/>
          <w:szCs w:val="28"/>
        </w:rPr>
        <w:t>3. Департамент финансов, экономики и имущественных отношений Чукотского автономного округа (далее – Департамент финансов)</w:t>
      </w:r>
    </w:p>
    <w:p w:rsidR="00A25B1F" w:rsidRPr="00092FF3" w:rsidRDefault="00A25B1F" w:rsidP="00191861">
      <w:pPr>
        <w:ind w:firstLine="709"/>
        <w:jc w:val="both"/>
        <w:rPr>
          <w:sz w:val="28"/>
          <w:szCs w:val="28"/>
        </w:rPr>
      </w:pPr>
      <w:r w:rsidRPr="00092FF3">
        <w:rPr>
          <w:sz w:val="28"/>
          <w:szCs w:val="28"/>
        </w:rPr>
        <w:t>4. Департамент сельского хозяйства и продовольствия Чукотского автономного округа (далее – Департамент сельского хозяйства)</w:t>
      </w:r>
    </w:p>
    <w:p w:rsidR="00A25B1F" w:rsidRPr="00092FF3" w:rsidRDefault="00A25B1F" w:rsidP="00191861">
      <w:pPr>
        <w:pStyle w:val="ConsPlusNormal"/>
        <w:ind w:firstLine="709"/>
        <w:jc w:val="both"/>
        <w:rPr>
          <w:rFonts w:ascii="Times New Roman" w:hAnsi="Times New Roman" w:cs="Times New Roman"/>
          <w:sz w:val="28"/>
          <w:szCs w:val="28"/>
        </w:rPr>
      </w:pPr>
      <w:r w:rsidRPr="00092FF3">
        <w:rPr>
          <w:rFonts w:ascii="Times New Roman" w:hAnsi="Times New Roman" w:cs="Times New Roman"/>
          <w:sz w:val="28"/>
          <w:szCs w:val="28"/>
        </w:rPr>
        <w:t>5. Государственное казенное учреждение «Управление гражданской защиты и противопожарной службы Чукотского автономного округа» (далее – Управление гражданской защиты)</w:t>
      </w:r>
    </w:p>
    <w:p w:rsidR="00A25B1F" w:rsidRPr="00092FF3" w:rsidRDefault="00A25B1F" w:rsidP="00191861">
      <w:pPr>
        <w:pStyle w:val="ConsPlusNormal"/>
        <w:ind w:firstLine="709"/>
        <w:jc w:val="both"/>
        <w:rPr>
          <w:rFonts w:ascii="Times New Roman" w:hAnsi="Times New Roman" w:cs="Times New Roman"/>
          <w:sz w:val="28"/>
          <w:szCs w:val="28"/>
        </w:rPr>
      </w:pPr>
      <w:r w:rsidRPr="00092FF3">
        <w:rPr>
          <w:rFonts w:ascii="Times New Roman" w:hAnsi="Times New Roman" w:cs="Times New Roman"/>
          <w:sz w:val="28"/>
          <w:szCs w:val="28"/>
        </w:rPr>
        <w:t>6. Департамент здравоохранения Чукотского автономного округа (далее – Департамент здравоохранения)</w:t>
      </w:r>
    </w:p>
    <w:p w:rsidR="00A25B1F" w:rsidRPr="00092FF3" w:rsidRDefault="00A25B1F" w:rsidP="00191861">
      <w:pPr>
        <w:pStyle w:val="ConsPlusNormal"/>
        <w:ind w:firstLine="709"/>
        <w:jc w:val="both"/>
        <w:rPr>
          <w:rFonts w:ascii="Times New Roman" w:hAnsi="Times New Roman" w:cs="Times New Roman"/>
          <w:sz w:val="28"/>
          <w:szCs w:val="28"/>
        </w:rPr>
      </w:pPr>
      <w:r w:rsidRPr="00092FF3">
        <w:rPr>
          <w:rFonts w:ascii="Times New Roman" w:hAnsi="Times New Roman" w:cs="Times New Roman"/>
          <w:sz w:val="28"/>
          <w:szCs w:val="28"/>
        </w:rPr>
        <w:t>7. Аппарат Губернатора и Правительства Чукотского автономного округа (далее – Аппарат Губернатора)</w:t>
      </w:r>
    </w:p>
    <w:p w:rsidR="00A25B1F" w:rsidRPr="00092FF3" w:rsidRDefault="00A25B1F" w:rsidP="00191861">
      <w:pPr>
        <w:pStyle w:val="ConsPlusNormal"/>
        <w:ind w:firstLine="709"/>
        <w:jc w:val="both"/>
        <w:rPr>
          <w:rFonts w:ascii="Times New Roman" w:hAnsi="Times New Roman" w:cs="Times New Roman"/>
          <w:sz w:val="28"/>
          <w:szCs w:val="28"/>
        </w:rPr>
      </w:pPr>
      <w:r w:rsidRPr="00092FF3">
        <w:rPr>
          <w:rFonts w:ascii="Times New Roman" w:hAnsi="Times New Roman" w:cs="Times New Roman"/>
          <w:sz w:val="28"/>
          <w:szCs w:val="28"/>
        </w:rPr>
        <w:t>8. Счетная палата Чукотского автономного округа (далее – Счетная палата)</w:t>
      </w:r>
    </w:p>
    <w:p w:rsidR="00A25B1F" w:rsidRPr="00092FF3" w:rsidRDefault="00A25B1F" w:rsidP="00191861">
      <w:pPr>
        <w:pStyle w:val="ConsPlusNormal"/>
        <w:ind w:firstLine="709"/>
        <w:jc w:val="both"/>
        <w:rPr>
          <w:rFonts w:ascii="Times New Roman" w:hAnsi="Times New Roman" w:cs="Times New Roman"/>
          <w:sz w:val="28"/>
          <w:szCs w:val="28"/>
        </w:rPr>
      </w:pPr>
      <w:r w:rsidRPr="00092FF3">
        <w:rPr>
          <w:rFonts w:ascii="Times New Roman" w:hAnsi="Times New Roman" w:cs="Times New Roman"/>
          <w:sz w:val="28"/>
          <w:szCs w:val="28"/>
        </w:rPr>
        <w:t>9. Комитет государственного регулирования цен и тарифов Чукотского автономного округа (далее – Комитет государственного регулирования цен)</w:t>
      </w:r>
    </w:p>
    <w:p w:rsidR="00A25B1F" w:rsidRPr="00092FF3" w:rsidRDefault="00A25B1F" w:rsidP="00191861">
      <w:pPr>
        <w:pStyle w:val="ConsPlusNormal"/>
        <w:ind w:firstLine="709"/>
        <w:jc w:val="both"/>
        <w:rPr>
          <w:rFonts w:ascii="Times New Roman" w:hAnsi="Times New Roman" w:cs="Times New Roman"/>
          <w:sz w:val="28"/>
          <w:szCs w:val="28"/>
        </w:rPr>
      </w:pPr>
      <w:r w:rsidRPr="00092FF3">
        <w:rPr>
          <w:rFonts w:ascii="Times New Roman" w:hAnsi="Times New Roman" w:cs="Times New Roman"/>
          <w:sz w:val="28"/>
          <w:szCs w:val="28"/>
        </w:rPr>
        <w:t xml:space="preserve">10. Избирательная комиссия Чукотского автономного округа (далее – </w:t>
      </w:r>
      <w:r w:rsidRPr="00092FF3">
        <w:rPr>
          <w:rFonts w:ascii="Times New Roman" w:hAnsi="Times New Roman" w:cs="Times New Roman"/>
          <w:sz w:val="28"/>
          <w:szCs w:val="28"/>
        </w:rPr>
        <w:lastRenderedPageBreak/>
        <w:t>Избирательная комиссия)</w:t>
      </w:r>
    </w:p>
    <w:p w:rsidR="00A25B1F" w:rsidRPr="00092FF3" w:rsidRDefault="00A25B1F" w:rsidP="00191861">
      <w:pPr>
        <w:pStyle w:val="ConsPlusNormal"/>
        <w:ind w:firstLine="709"/>
        <w:jc w:val="both"/>
        <w:rPr>
          <w:rFonts w:ascii="Times New Roman" w:hAnsi="Times New Roman" w:cs="Times New Roman"/>
          <w:sz w:val="28"/>
          <w:szCs w:val="28"/>
        </w:rPr>
      </w:pPr>
      <w:r w:rsidRPr="00092FF3">
        <w:rPr>
          <w:rFonts w:ascii="Times New Roman" w:hAnsi="Times New Roman" w:cs="Times New Roman"/>
          <w:sz w:val="28"/>
          <w:szCs w:val="28"/>
        </w:rPr>
        <w:t>11. Дума Чукотского автономного округа (далее – Дума)</w:t>
      </w:r>
    </w:p>
    <w:p w:rsidR="00A25B1F" w:rsidRPr="00092FF3" w:rsidRDefault="00A25B1F" w:rsidP="00191861">
      <w:pPr>
        <w:pStyle w:val="ConsPlusNormal"/>
        <w:ind w:firstLine="709"/>
        <w:jc w:val="both"/>
        <w:rPr>
          <w:rFonts w:ascii="Times New Roman" w:hAnsi="Times New Roman" w:cs="Times New Roman"/>
          <w:sz w:val="28"/>
          <w:szCs w:val="28"/>
        </w:rPr>
      </w:pPr>
      <w:r w:rsidRPr="00092FF3">
        <w:rPr>
          <w:rFonts w:ascii="Times New Roman" w:hAnsi="Times New Roman" w:cs="Times New Roman"/>
          <w:sz w:val="28"/>
          <w:szCs w:val="28"/>
        </w:rPr>
        <w:t>12. Департамент природных ресурсов и экологии Чукотского автономного округа (далее – Департамент природных ресурсов)</w:t>
      </w:r>
    </w:p>
    <w:p w:rsidR="00A25B1F" w:rsidRPr="00092FF3" w:rsidRDefault="00A25B1F" w:rsidP="00191861">
      <w:pPr>
        <w:pStyle w:val="ConsPlusNormal"/>
        <w:ind w:firstLine="709"/>
        <w:jc w:val="both"/>
        <w:rPr>
          <w:rFonts w:ascii="Times New Roman" w:hAnsi="Times New Roman" w:cs="Times New Roman"/>
          <w:sz w:val="28"/>
          <w:szCs w:val="28"/>
        </w:rPr>
      </w:pPr>
      <w:r w:rsidRPr="00092FF3">
        <w:rPr>
          <w:rFonts w:ascii="Times New Roman" w:hAnsi="Times New Roman" w:cs="Times New Roman"/>
          <w:sz w:val="28"/>
          <w:szCs w:val="28"/>
        </w:rPr>
        <w:t>13. Департамент культуры, спорта и туризма Чукотского автономного округа (далее – Департамент культуры)</w:t>
      </w:r>
    </w:p>
    <w:p w:rsidR="00A25B1F" w:rsidRPr="00092FF3" w:rsidRDefault="00A25B1F" w:rsidP="00191861">
      <w:pPr>
        <w:pStyle w:val="ConsPlusNormal"/>
        <w:ind w:firstLine="709"/>
        <w:jc w:val="both"/>
        <w:rPr>
          <w:rFonts w:ascii="Times New Roman" w:hAnsi="Times New Roman" w:cs="Times New Roman"/>
          <w:sz w:val="28"/>
          <w:szCs w:val="28"/>
        </w:rPr>
      </w:pPr>
      <w:r w:rsidRPr="00092FF3">
        <w:rPr>
          <w:rFonts w:ascii="Times New Roman" w:hAnsi="Times New Roman" w:cs="Times New Roman"/>
          <w:sz w:val="28"/>
          <w:szCs w:val="28"/>
        </w:rPr>
        <w:t xml:space="preserve">14. Департамент образования и науки Чукотского автономного округа </w:t>
      </w:r>
      <w:r w:rsidR="001327FA">
        <w:rPr>
          <w:rFonts w:ascii="Times New Roman" w:hAnsi="Times New Roman" w:cs="Times New Roman"/>
          <w:sz w:val="28"/>
          <w:szCs w:val="28"/>
        </w:rPr>
        <w:t xml:space="preserve">           </w:t>
      </w:r>
      <w:proofErr w:type="gramStart"/>
      <w:r w:rsidR="001327FA">
        <w:rPr>
          <w:rFonts w:ascii="Times New Roman" w:hAnsi="Times New Roman" w:cs="Times New Roman"/>
          <w:sz w:val="28"/>
          <w:szCs w:val="28"/>
        </w:rPr>
        <w:t xml:space="preserve">   </w:t>
      </w:r>
      <w:r w:rsidRPr="00092FF3">
        <w:rPr>
          <w:rFonts w:ascii="Times New Roman" w:hAnsi="Times New Roman" w:cs="Times New Roman"/>
          <w:sz w:val="28"/>
          <w:szCs w:val="28"/>
        </w:rPr>
        <w:t>(</w:t>
      </w:r>
      <w:proofErr w:type="gramEnd"/>
      <w:r w:rsidRPr="00092FF3">
        <w:rPr>
          <w:rFonts w:ascii="Times New Roman" w:hAnsi="Times New Roman" w:cs="Times New Roman"/>
          <w:sz w:val="28"/>
          <w:szCs w:val="28"/>
        </w:rPr>
        <w:t>далее – Департамент образования)</w:t>
      </w:r>
    </w:p>
    <w:p w:rsidR="00A25B1F" w:rsidRPr="00092FF3" w:rsidRDefault="00A25B1F" w:rsidP="00191861">
      <w:pPr>
        <w:pStyle w:val="ConsPlusNormal"/>
        <w:ind w:firstLine="709"/>
        <w:jc w:val="both"/>
        <w:rPr>
          <w:rFonts w:ascii="Times New Roman" w:hAnsi="Times New Roman" w:cs="Times New Roman"/>
          <w:sz w:val="28"/>
          <w:szCs w:val="28"/>
        </w:rPr>
      </w:pPr>
      <w:r w:rsidRPr="00092FF3">
        <w:rPr>
          <w:rFonts w:ascii="Times New Roman" w:hAnsi="Times New Roman" w:cs="Times New Roman"/>
          <w:sz w:val="28"/>
          <w:szCs w:val="28"/>
        </w:rPr>
        <w:t xml:space="preserve">15. Управление по обеспечению деятельности мировых судей и юридических консультаций Чукотского автономного округа (далее – Управление по обеспечению деятельности мировых судей) </w:t>
      </w:r>
    </w:p>
    <w:p w:rsidR="00A25B1F" w:rsidRPr="00092FF3" w:rsidRDefault="00A25B1F" w:rsidP="00191861">
      <w:pPr>
        <w:pStyle w:val="ConsPlusNormal"/>
        <w:ind w:firstLine="709"/>
        <w:jc w:val="both"/>
        <w:rPr>
          <w:rFonts w:ascii="Times New Roman" w:hAnsi="Times New Roman" w:cs="Times New Roman"/>
          <w:sz w:val="28"/>
          <w:szCs w:val="28"/>
        </w:rPr>
      </w:pPr>
      <w:r w:rsidRPr="00092FF3">
        <w:rPr>
          <w:rFonts w:ascii="Times New Roman" w:hAnsi="Times New Roman" w:cs="Times New Roman"/>
          <w:sz w:val="28"/>
          <w:szCs w:val="28"/>
        </w:rPr>
        <w:t>16. Комитет по охране объектов культурного наследия Чукотского автономного округа (далее – Комитет по охране объектов культурного наследия)</w:t>
      </w:r>
    </w:p>
    <w:p w:rsidR="00A25B1F" w:rsidRPr="00092FF3" w:rsidRDefault="00A25B1F" w:rsidP="00191861">
      <w:pPr>
        <w:ind w:right="-2" w:firstLine="709"/>
        <w:jc w:val="both"/>
        <w:rPr>
          <w:sz w:val="28"/>
          <w:szCs w:val="28"/>
        </w:rPr>
      </w:pPr>
      <w:r w:rsidRPr="00092FF3">
        <w:rPr>
          <w:b/>
          <w:bCs/>
          <w:sz w:val="28"/>
          <w:szCs w:val="28"/>
        </w:rPr>
        <w:t>Проверяемый период деятельности</w:t>
      </w:r>
      <w:r w:rsidRPr="00092FF3">
        <w:rPr>
          <w:bCs/>
          <w:sz w:val="28"/>
          <w:szCs w:val="28"/>
        </w:rPr>
        <w:t>: 2021 год</w:t>
      </w:r>
    </w:p>
    <w:p w:rsidR="00A25B1F" w:rsidRPr="00092FF3" w:rsidRDefault="00A25B1F" w:rsidP="001327FA">
      <w:pPr>
        <w:ind w:firstLine="709"/>
        <w:jc w:val="both"/>
        <w:rPr>
          <w:sz w:val="28"/>
          <w:szCs w:val="28"/>
        </w:rPr>
      </w:pPr>
      <w:r w:rsidRPr="00092FF3">
        <w:rPr>
          <w:b/>
          <w:bCs/>
          <w:sz w:val="28"/>
          <w:szCs w:val="28"/>
        </w:rPr>
        <w:t>Сроки проведения контрольного мероприятия</w:t>
      </w:r>
      <w:r w:rsidR="001327FA">
        <w:rPr>
          <w:b/>
          <w:bCs/>
          <w:sz w:val="28"/>
          <w:szCs w:val="28"/>
        </w:rPr>
        <w:t xml:space="preserve">: </w:t>
      </w:r>
      <w:r w:rsidRPr="00092FF3">
        <w:rPr>
          <w:sz w:val="28"/>
          <w:szCs w:val="28"/>
        </w:rPr>
        <w:t>с 15 марта 2022 года по 30 апреля 2022 года</w:t>
      </w:r>
    </w:p>
    <w:bookmarkEnd w:id="21"/>
    <w:p w:rsidR="00A25B1F" w:rsidRPr="00467F9C" w:rsidRDefault="00A25B1F" w:rsidP="00191861">
      <w:pPr>
        <w:spacing w:before="240" w:after="120"/>
        <w:jc w:val="center"/>
        <w:rPr>
          <w:b/>
          <w:sz w:val="28"/>
          <w:szCs w:val="28"/>
        </w:rPr>
      </w:pPr>
      <w:r w:rsidRPr="00467F9C">
        <w:rPr>
          <w:b/>
          <w:sz w:val="28"/>
          <w:szCs w:val="28"/>
        </w:rPr>
        <w:t>Краткая характеристика проверяемой сферы</w:t>
      </w:r>
      <w:r w:rsidRPr="00467F9C">
        <w:rPr>
          <w:b/>
          <w:sz w:val="28"/>
          <w:szCs w:val="28"/>
        </w:rPr>
        <w:br/>
        <w:t>и деятельности объектов проверки</w:t>
      </w:r>
    </w:p>
    <w:p w:rsidR="00A25B1F" w:rsidRPr="00467F9C" w:rsidRDefault="00A25B1F" w:rsidP="00191861">
      <w:pPr>
        <w:ind w:firstLine="709"/>
        <w:jc w:val="both"/>
        <w:rPr>
          <w:sz w:val="28"/>
          <w:szCs w:val="28"/>
        </w:rPr>
      </w:pPr>
      <w:r w:rsidRPr="00467F9C">
        <w:rPr>
          <w:sz w:val="28"/>
          <w:szCs w:val="28"/>
        </w:rPr>
        <w:t>Внешняя проверка годовой бюджетной отчетности главных распорядителей бюджетных средств за 2021 год проведена в соответствии со статьей 264.4 Бюджетного кодекса Российской Федерации (далее – Бюджетный кодекс) и статьей 41 Закона о бюджетном процессе</w:t>
      </w:r>
      <w:r w:rsidRPr="00467F9C">
        <w:rPr>
          <w:rStyle w:val="ab"/>
          <w:sz w:val="28"/>
          <w:szCs w:val="28"/>
        </w:rPr>
        <w:footnoteReference w:id="33"/>
      </w:r>
      <w:r w:rsidRPr="00467F9C">
        <w:rPr>
          <w:sz w:val="28"/>
          <w:szCs w:val="28"/>
        </w:rPr>
        <w:t>.</w:t>
      </w:r>
    </w:p>
    <w:p w:rsidR="00A25B1F" w:rsidRPr="00467F9C" w:rsidRDefault="00A25B1F" w:rsidP="00191861">
      <w:pPr>
        <w:autoSpaceDE w:val="0"/>
        <w:autoSpaceDN w:val="0"/>
        <w:adjustRightInd w:val="0"/>
        <w:ind w:firstLine="709"/>
        <w:jc w:val="both"/>
        <w:rPr>
          <w:sz w:val="28"/>
          <w:szCs w:val="28"/>
        </w:rPr>
      </w:pPr>
      <w:r w:rsidRPr="00467F9C">
        <w:rPr>
          <w:sz w:val="28"/>
          <w:szCs w:val="28"/>
        </w:rPr>
        <w:t>Систему органов исполнительной власти Чукотского автономного округа</w:t>
      </w:r>
      <w:r w:rsidRPr="00467F9C">
        <w:rPr>
          <w:rStyle w:val="ab"/>
          <w:sz w:val="28"/>
          <w:szCs w:val="28"/>
        </w:rPr>
        <w:footnoteReference w:id="34"/>
      </w:r>
      <w:r w:rsidRPr="00467F9C">
        <w:rPr>
          <w:sz w:val="28"/>
          <w:szCs w:val="28"/>
        </w:rPr>
        <w:t xml:space="preserve"> составляют Губернатор и Правительство Чукотского автономного округа, центральные исполнительные органы государственной власти Чукотского автономного округа, Аппарат Губернатора и Правительства Чукотского автономного округа и иные исполнительные органы государственной власти Чукотского автономного округа. Структура исполнительных органов государственной власти Чукотского автономного округа</w:t>
      </w:r>
      <w:r w:rsidRPr="00467F9C">
        <w:rPr>
          <w:rStyle w:val="ab"/>
          <w:sz w:val="28"/>
          <w:szCs w:val="28"/>
        </w:rPr>
        <w:footnoteReference w:id="35"/>
      </w:r>
      <w:r w:rsidRPr="00467F9C">
        <w:rPr>
          <w:sz w:val="28"/>
          <w:szCs w:val="28"/>
        </w:rPr>
        <w:t xml:space="preserve"> состоит из 13 органов, реализующих на территории Чукотского автономного округа государственные функции.</w:t>
      </w:r>
    </w:p>
    <w:p w:rsidR="00A25B1F" w:rsidRPr="00467F9C" w:rsidRDefault="00A25B1F" w:rsidP="00191861">
      <w:pPr>
        <w:pStyle w:val="a9"/>
        <w:ind w:firstLine="709"/>
        <w:jc w:val="both"/>
        <w:rPr>
          <w:sz w:val="28"/>
          <w:szCs w:val="28"/>
        </w:rPr>
      </w:pPr>
      <w:r w:rsidRPr="00467F9C">
        <w:rPr>
          <w:sz w:val="28"/>
          <w:szCs w:val="28"/>
        </w:rPr>
        <w:t>Дума Чукотского автономного округа является постоянно действующим высшим и единственным органом законодательной власти Чукотского автономного округа</w:t>
      </w:r>
      <w:r w:rsidRPr="00467F9C">
        <w:rPr>
          <w:rStyle w:val="ab"/>
          <w:sz w:val="28"/>
          <w:szCs w:val="28"/>
        </w:rPr>
        <w:footnoteReference w:id="36"/>
      </w:r>
      <w:r w:rsidRPr="00467F9C">
        <w:rPr>
          <w:sz w:val="28"/>
          <w:szCs w:val="28"/>
        </w:rPr>
        <w:t>.</w:t>
      </w:r>
    </w:p>
    <w:p w:rsidR="00A25B1F" w:rsidRPr="00467F9C" w:rsidRDefault="00A25B1F" w:rsidP="00191861">
      <w:pPr>
        <w:pStyle w:val="ConsPlusNormal"/>
        <w:ind w:firstLine="709"/>
        <w:jc w:val="both"/>
        <w:rPr>
          <w:rFonts w:ascii="Times New Roman" w:hAnsi="Times New Roman" w:cs="Times New Roman"/>
        </w:rPr>
      </w:pPr>
      <w:r w:rsidRPr="00467F9C">
        <w:rPr>
          <w:rFonts w:ascii="Times New Roman" w:hAnsi="Times New Roman" w:cs="Times New Roman"/>
        </w:rPr>
        <w:t xml:space="preserve">Счетная палата Чукотского автономного округа – постоянно действующий орган внешнего государственного финансового контроля, образована Думой Чукотского автономного округа </w:t>
      </w:r>
      <w:r w:rsidRPr="00467F9C">
        <w:rPr>
          <w:rStyle w:val="ab"/>
          <w:rFonts w:ascii="Times New Roman" w:hAnsi="Times New Roman" w:cs="Times New Roman"/>
        </w:rPr>
        <w:footnoteReference w:id="37"/>
      </w:r>
      <w:r w:rsidRPr="00467F9C">
        <w:rPr>
          <w:rFonts w:ascii="Times New Roman" w:hAnsi="Times New Roman" w:cs="Times New Roman"/>
        </w:rPr>
        <w:t xml:space="preserve">. </w:t>
      </w:r>
    </w:p>
    <w:p w:rsidR="00A25B1F" w:rsidRPr="00467F9C" w:rsidRDefault="00A25B1F" w:rsidP="00191861">
      <w:pPr>
        <w:ind w:firstLine="709"/>
        <w:jc w:val="both"/>
        <w:rPr>
          <w:sz w:val="28"/>
          <w:szCs w:val="28"/>
        </w:rPr>
      </w:pPr>
      <w:r w:rsidRPr="00467F9C">
        <w:rPr>
          <w:sz w:val="28"/>
          <w:szCs w:val="28"/>
        </w:rPr>
        <w:t xml:space="preserve">Избирательная комиссия – государственный орган, обеспечивающий на территории Чукотского автономного округа подготовку и проведение выборов </w:t>
      </w:r>
      <w:r w:rsidRPr="00467F9C">
        <w:rPr>
          <w:sz w:val="28"/>
          <w:szCs w:val="28"/>
        </w:rPr>
        <w:lastRenderedPageBreak/>
        <w:t>и референдумов в территориальных, муниципальных и участковых избирательных комиссиях</w:t>
      </w:r>
      <w:r w:rsidRPr="00467F9C">
        <w:rPr>
          <w:rStyle w:val="ab"/>
          <w:sz w:val="28"/>
          <w:szCs w:val="28"/>
        </w:rPr>
        <w:footnoteReference w:id="38"/>
      </w:r>
      <w:r w:rsidRPr="00467F9C">
        <w:rPr>
          <w:sz w:val="28"/>
          <w:szCs w:val="28"/>
        </w:rPr>
        <w:t xml:space="preserve">. </w:t>
      </w:r>
    </w:p>
    <w:p w:rsidR="00A25B1F" w:rsidRPr="00467F9C" w:rsidRDefault="00A25B1F" w:rsidP="00191861">
      <w:pPr>
        <w:ind w:firstLine="709"/>
        <w:jc w:val="both"/>
        <w:rPr>
          <w:sz w:val="28"/>
          <w:szCs w:val="28"/>
        </w:rPr>
      </w:pPr>
      <w:r w:rsidRPr="00467F9C">
        <w:rPr>
          <w:sz w:val="28"/>
          <w:szCs w:val="28"/>
        </w:rPr>
        <w:t xml:space="preserve">Ведомственной структурой расходов окружного бюджета на 2021 год, утвержденной Законом Чукотского автономного округа от 16 декабря 2020 года </w:t>
      </w:r>
      <w:r w:rsidRPr="00467F9C">
        <w:rPr>
          <w:sz w:val="28"/>
          <w:szCs w:val="28"/>
        </w:rPr>
        <w:br/>
        <w:t>№74-ОЗ «Об окружном бюджете на 2021 год и на плановый период 2022 и 2023 годов» (далее – Закон об окружном бюджете на 2021 год), бюджетные ассигнования предусмотрены 16 главным распорядителям бюджетных средств.</w:t>
      </w:r>
    </w:p>
    <w:p w:rsidR="00A25B1F" w:rsidRPr="00467F9C" w:rsidRDefault="00A25B1F" w:rsidP="00191861">
      <w:pPr>
        <w:ind w:firstLine="709"/>
        <w:jc w:val="both"/>
        <w:rPr>
          <w:sz w:val="28"/>
          <w:szCs w:val="28"/>
        </w:rPr>
      </w:pPr>
      <w:r w:rsidRPr="00467F9C">
        <w:rPr>
          <w:sz w:val="28"/>
          <w:szCs w:val="28"/>
        </w:rPr>
        <w:t>В соответствии со статьей 38.1 Бюджетного кодекса, в целях соблюдения принципа подведомственности расходов окружного бюджета, утвержден перечень</w:t>
      </w:r>
      <w:r w:rsidRPr="00467F9C">
        <w:rPr>
          <w:rStyle w:val="ab"/>
          <w:sz w:val="28"/>
          <w:szCs w:val="28"/>
        </w:rPr>
        <w:footnoteReference w:id="39"/>
      </w:r>
      <w:r w:rsidRPr="00467F9C">
        <w:rPr>
          <w:sz w:val="28"/>
          <w:szCs w:val="28"/>
        </w:rPr>
        <w:t xml:space="preserve"> государственных учреждений и государственных предприятий округа, находящихся в ведомственном подчинении исполнительных органов государственной власти Чукотского автономного округа. По состоянию на 1 января 2022 года в перечне числятся 16 организаций, в ведомственном подчинении которых находятся 36 учреждений (14 казенных, 9 бюджетных и 13 автономных) и 3 государственных предприятия. </w:t>
      </w:r>
    </w:p>
    <w:p w:rsidR="00A25B1F" w:rsidRPr="00467F9C" w:rsidRDefault="00A25B1F" w:rsidP="00191861">
      <w:pPr>
        <w:ind w:firstLine="709"/>
        <w:jc w:val="both"/>
        <w:rPr>
          <w:sz w:val="28"/>
          <w:szCs w:val="28"/>
        </w:rPr>
      </w:pPr>
      <w:r w:rsidRPr="00467F9C">
        <w:rPr>
          <w:sz w:val="28"/>
          <w:szCs w:val="28"/>
        </w:rPr>
        <w:t>В ходе внешней проверки бюджетной отчетности проверены своевременность, достоверность, полнота и соответствие нормативным требованиям составления и представления бюджетной отчетности, внутренняя согласованность форм отчетности, соответствие плановых показателей бюджетной отчетности показателям, утвержденным Законом об окружном бюджете на 2021 год, соблюдение положений бюджетного законодательства и иных законодательных и нормативных правовых актов Российской Федерации, Чукотского автономного округа при исполнении Закона об окружном бюджете на 2021 год.</w:t>
      </w:r>
    </w:p>
    <w:p w:rsidR="00A25B1F" w:rsidRPr="00467F9C" w:rsidRDefault="00A25B1F" w:rsidP="00191861">
      <w:pPr>
        <w:spacing w:before="240" w:after="120"/>
        <w:ind w:right="-2"/>
        <w:jc w:val="center"/>
        <w:rPr>
          <w:b/>
          <w:sz w:val="28"/>
          <w:szCs w:val="28"/>
        </w:rPr>
      </w:pPr>
      <w:r w:rsidRPr="00467F9C">
        <w:rPr>
          <w:b/>
          <w:sz w:val="28"/>
          <w:szCs w:val="28"/>
        </w:rPr>
        <w:t xml:space="preserve">1. Организация ведения бюджетного учета, </w:t>
      </w:r>
      <w:r w:rsidRPr="00467F9C">
        <w:rPr>
          <w:b/>
          <w:sz w:val="28"/>
          <w:szCs w:val="28"/>
        </w:rPr>
        <w:br/>
        <w:t>составления и представления бюджетной отчётности</w:t>
      </w:r>
    </w:p>
    <w:p w:rsidR="00A25B1F" w:rsidRPr="00467F9C" w:rsidRDefault="00A25B1F" w:rsidP="00191861">
      <w:pPr>
        <w:ind w:firstLine="709"/>
        <w:jc w:val="both"/>
        <w:rPr>
          <w:sz w:val="28"/>
          <w:szCs w:val="28"/>
        </w:rPr>
      </w:pPr>
      <w:r w:rsidRPr="00467F9C">
        <w:rPr>
          <w:sz w:val="28"/>
          <w:szCs w:val="28"/>
        </w:rPr>
        <w:t>В отчетном периоде бухгалтерский учет осуществлялся главными распорядителями бюджетных средств в соответствии с Федеральным законом о бухгалтерском учете</w:t>
      </w:r>
      <w:r w:rsidRPr="00467F9C">
        <w:rPr>
          <w:rStyle w:val="ab"/>
          <w:sz w:val="28"/>
          <w:szCs w:val="28"/>
        </w:rPr>
        <w:footnoteReference w:id="40"/>
      </w:r>
      <w:r w:rsidRPr="00467F9C">
        <w:rPr>
          <w:sz w:val="28"/>
          <w:szCs w:val="28"/>
        </w:rPr>
        <w:t xml:space="preserve"> и приказами Министерства финансов Российской Федерации №157н и №162н</w:t>
      </w:r>
      <w:r w:rsidRPr="00467F9C">
        <w:rPr>
          <w:rStyle w:val="ab"/>
          <w:sz w:val="28"/>
          <w:szCs w:val="28"/>
        </w:rPr>
        <w:footnoteReference w:id="41"/>
      </w:r>
      <w:r w:rsidRPr="00467F9C">
        <w:rPr>
          <w:sz w:val="28"/>
          <w:szCs w:val="28"/>
        </w:rPr>
        <w:t xml:space="preserve">. При ведении бюджетного учета и составлении бюджетной отчетности использовались программные продукты </w:t>
      </w:r>
      <w:r w:rsidRPr="00467F9C">
        <w:rPr>
          <w:bCs/>
          <w:sz w:val="28"/>
          <w:szCs w:val="28"/>
        </w:rPr>
        <w:t>«1</w:t>
      </w:r>
      <w:proofErr w:type="gramStart"/>
      <w:r w:rsidRPr="00467F9C">
        <w:rPr>
          <w:bCs/>
          <w:sz w:val="28"/>
          <w:szCs w:val="28"/>
        </w:rPr>
        <w:t>С:Бухгалтерия</w:t>
      </w:r>
      <w:proofErr w:type="gramEnd"/>
      <w:r w:rsidRPr="00467F9C">
        <w:rPr>
          <w:bCs/>
          <w:sz w:val="28"/>
          <w:szCs w:val="28"/>
        </w:rPr>
        <w:t>», «Парус», «Смарт-Бюджет» и «Свод-Смарт»</w:t>
      </w:r>
      <w:r w:rsidRPr="00467F9C">
        <w:rPr>
          <w:sz w:val="28"/>
          <w:szCs w:val="28"/>
        </w:rPr>
        <w:t>.</w:t>
      </w:r>
    </w:p>
    <w:p w:rsidR="00A25B1F" w:rsidRPr="00467F9C" w:rsidRDefault="00A25B1F" w:rsidP="00191861">
      <w:pPr>
        <w:ind w:firstLine="709"/>
        <w:jc w:val="both"/>
        <w:rPr>
          <w:sz w:val="28"/>
          <w:szCs w:val="28"/>
        </w:rPr>
      </w:pPr>
      <w:r w:rsidRPr="00467F9C">
        <w:rPr>
          <w:sz w:val="28"/>
          <w:szCs w:val="28"/>
        </w:rPr>
        <w:lastRenderedPageBreak/>
        <w:t>Представленная бюджетная отчетность за 2021 год по составу соответствует требованиям Инструкции №191н</w:t>
      </w:r>
      <w:r w:rsidRPr="00467F9C">
        <w:rPr>
          <w:rStyle w:val="ab"/>
          <w:sz w:val="28"/>
          <w:szCs w:val="28"/>
        </w:rPr>
        <w:footnoteReference w:id="42"/>
      </w:r>
      <w:r w:rsidRPr="00467F9C">
        <w:rPr>
          <w:sz w:val="28"/>
          <w:szCs w:val="28"/>
        </w:rPr>
        <w:t xml:space="preserve">. Показатели форм взаимоувязаны, расхождения не установлены. </w:t>
      </w:r>
    </w:p>
    <w:p w:rsidR="00A25B1F" w:rsidRPr="00467F9C" w:rsidRDefault="00A25B1F" w:rsidP="00191861">
      <w:pPr>
        <w:spacing w:before="240" w:after="120"/>
        <w:ind w:right="-2"/>
        <w:jc w:val="center"/>
        <w:rPr>
          <w:b/>
          <w:sz w:val="28"/>
          <w:szCs w:val="28"/>
        </w:rPr>
      </w:pPr>
      <w:r w:rsidRPr="00467F9C">
        <w:rPr>
          <w:b/>
          <w:sz w:val="28"/>
          <w:szCs w:val="28"/>
        </w:rPr>
        <w:t>2. Анализ показателей исполнения бюджетных назначений</w:t>
      </w:r>
    </w:p>
    <w:p w:rsidR="00A25B1F" w:rsidRPr="00467F9C" w:rsidRDefault="00A25B1F" w:rsidP="00191861">
      <w:pPr>
        <w:spacing w:before="120"/>
        <w:ind w:firstLine="709"/>
        <w:jc w:val="both"/>
        <w:rPr>
          <w:sz w:val="28"/>
          <w:szCs w:val="28"/>
        </w:rPr>
      </w:pPr>
      <w:r w:rsidRPr="00467F9C">
        <w:rPr>
          <w:sz w:val="28"/>
          <w:szCs w:val="28"/>
        </w:rPr>
        <w:t>Законом об окружном бюджете на 2021 год главным распорядителям бюджетных средств на выполнение установленных функций в отчетном периоде первоначально предусмотрены бюджетные ассигнования в объеме 49 458 049,8 тыс. рублей. В результате внесенных изменений, первоначально утвержденные бюджетные ассигнования увеличены на 6 590 901,9 тыс. рублей, и на дату последнего уточнения (9 декабря 2021 года) утверждены в объеме 56 048 951,7 тыс. рублей.</w:t>
      </w:r>
    </w:p>
    <w:p w:rsidR="00A25B1F" w:rsidRPr="00467F9C" w:rsidRDefault="00A25B1F" w:rsidP="00191861">
      <w:pPr>
        <w:ind w:firstLine="709"/>
        <w:jc w:val="both"/>
        <w:rPr>
          <w:sz w:val="28"/>
          <w:szCs w:val="28"/>
        </w:rPr>
      </w:pPr>
      <w:r w:rsidRPr="00467F9C">
        <w:rPr>
          <w:sz w:val="28"/>
          <w:szCs w:val="28"/>
        </w:rPr>
        <w:t>В 2021 году исполнение расходной части окружного бюджета осуществлялось на основании сводной бюджетной росписи. Ведение сводной бюджетной росписи (доведение уведомлений о бюджетных ассигнованиях и лимитов бюджетных обязательств) регламентируется статьей 217 Бюджетного кодекса, статьей 15 Закона об окружном бюджете на 2021 год и Порядком ведения сводной бюджетной росписи</w:t>
      </w:r>
      <w:r w:rsidRPr="00467F9C">
        <w:rPr>
          <w:rStyle w:val="ab"/>
          <w:sz w:val="28"/>
          <w:szCs w:val="28"/>
        </w:rPr>
        <w:footnoteReference w:id="43"/>
      </w:r>
      <w:r w:rsidRPr="00467F9C">
        <w:rPr>
          <w:sz w:val="28"/>
          <w:szCs w:val="28"/>
        </w:rPr>
        <w:t>.</w:t>
      </w:r>
    </w:p>
    <w:p w:rsidR="00A25B1F" w:rsidRPr="00467F9C" w:rsidRDefault="00A25B1F" w:rsidP="00191861">
      <w:pPr>
        <w:ind w:firstLine="709"/>
        <w:jc w:val="both"/>
        <w:rPr>
          <w:sz w:val="28"/>
          <w:szCs w:val="28"/>
        </w:rPr>
      </w:pPr>
      <w:r w:rsidRPr="00467F9C">
        <w:rPr>
          <w:sz w:val="28"/>
          <w:szCs w:val="28"/>
        </w:rPr>
        <w:t xml:space="preserve">Бюджетные ассигнования в представленной к проверке отчетности соответствуют показателям, отраженным в сводной бюджетной росписи от 28 декабря 2021 года, и составляют 56 151 343,9 тыс. рублей, при этом на 102 392,2 тыс. рублей превышают объем расходов, утвержденный Законом об окружном бюджете на 2021 год. Расхождение плановых назначений связано с распределением зарезервированных Законом об окружном бюджете на 2021 год (статья 15) бюджетных ассигнований, межбюджетных трансфертов из федерального бюджета и средств резервного фонда Правительства Чукотского автономного округа, что не противоречит бюджетному законодательству. </w:t>
      </w:r>
    </w:p>
    <w:p w:rsidR="00A25B1F" w:rsidRPr="00467F9C" w:rsidRDefault="00A25B1F" w:rsidP="00191861">
      <w:pPr>
        <w:ind w:firstLine="709"/>
        <w:jc w:val="both"/>
        <w:rPr>
          <w:sz w:val="28"/>
          <w:szCs w:val="28"/>
        </w:rPr>
      </w:pPr>
      <w:r w:rsidRPr="00467F9C">
        <w:rPr>
          <w:sz w:val="28"/>
          <w:szCs w:val="28"/>
        </w:rPr>
        <w:t xml:space="preserve">Информация об исполнении окружного бюджета по расходам в 2021 году в разрезе главных </w:t>
      </w:r>
      <w:r w:rsidRPr="00467F9C">
        <w:rPr>
          <w:bCs/>
          <w:sz w:val="28"/>
          <w:szCs w:val="28"/>
        </w:rPr>
        <w:t>распорядителей бюджетных средств представлена в таблице №1.</w:t>
      </w:r>
    </w:p>
    <w:p w:rsidR="00A25B1F" w:rsidRPr="00467F9C" w:rsidRDefault="00A25B1F" w:rsidP="00191861">
      <w:pPr>
        <w:ind w:firstLine="709"/>
        <w:jc w:val="right"/>
        <w:rPr>
          <w:sz w:val="28"/>
          <w:szCs w:val="28"/>
        </w:rPr>
      </w:pPr>
      <w:r w:rsidRPr="00467F9C">
        <w:rPr>
          <w:sz w:val="28"/>
          <w:szCs w:val="28"/>
        </w:rPr>
        <w:t>Таблица №1</w:t>
      </w:r>
    </w:p>
    <w:p w:rsidR="00A25B1F" w:rsidRPr="00467F9C" w:rsidRDefault="00A25B1F" w:rsidP="00191861">
      <w:pPr>
        <w:ind w:firstLine="709"/>
        <w:jc w:val="right"/>
        <w:rPr>
          <w:sz w:val="28"/>
          <w:szCs w:val="28"/>
        </w:rPr>
      </w:pPr>
      <w:r w:rsidRPr="00467F9C">
        <w:rPr>
          <w:sz w:val="28"/>
          <w:szCs w:val="28"/>
        </w:rPr>
        <w:t>(тыс. рублей)</w:t>
      </w:r>
    </w:p>
    <w:tbl>
      <w:tblPr>
        <w:tblW w:w="10132" w:type="dxa"/>
        <w:tblInd w:w="-147" w:type="dxa"/>
        <w:tblLayout w:type="fixed"/>
        <w:tblLook w:val="04A0" w:firstRow="1" w:lastRow="0" w:firstColumn="1" w:lastColumn="0" w:noHBand="0" w:noVBand="1"/>
      </w:tblPr>
      <w:tblGrid>
        <w:gridCol w:w="4105"/>
        <w:gridCol w:w="1282"/>
        <w:gridCol w:w="1274"/>
        <w:gridCol w:w="1136"/>
        <w:gridCol w:w="1377"/>
        <w:gridCol w:w="958"/>
      </w:tblGrid>
      <w:tr w:rsidR="00A25B1F" w:rsidRPr="00467F9C" w:rsidTr="001327FA">
        <w:trPr>
          <w:trHeight w:val="572"/>
          <w:tblHeader/>
        </w:trPr>
        <w:tc>
          <w:tcPr>
            <w:tcW w:w="4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 xml:space="preserve">Наименование </w:t>
            </w:r>
            <w:r w:rsidRPr="00467F9C">
              <w:rPr>
                <w:sz w:val="20"/>
                <w:szCs w:val="20"/>
              </w:rPr>
              <w:br/>
              <w:t>главного распорядителя бюджетных средств</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A25B1F" w:rsidRPr="00467F9C" w:rsidRDefault="00A25B1F" w:rsidP="001327FA">
            <w:pPr>
              <w:ind w:left="-107"/>
              <w:jc w:val="center"/>
              <w:rPr>
                <w:sz w:val="20"/>
                <w:szCs w:val="20"/>
              </w:rPr>
            </w:pPr>
            <w:r w:rsidRPr="00467F9C">
              <w:rPr>
                <w:sz w:val="20"/>
                <w:szCs w:val="20"/>
              </w:rPr>
              <w:t>Утверждено (СБР)</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rsidR="00A25B1F" w:rsidRPr="00467F9C" w:rsidRDefault="00A25B1F" w:rsidP="001327FA">
            <w:pPr>
              <w:ind w:left="-103"/>
              <w:jc w:val="center"/>
              <w:rPr>
                <w:sz w:val="20"/>
                <w:szCs w:val="20"/>
              </w:rPr>
            </w:pPr>
            <w:r w:rsidRPr="00467F9C">
              <w:rPr>
                <w:sz w:val="20"/>
                <w:szCs w:val="20"/>
              </w:rPr>
              <w:t>Исполнено</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rsidR="00A25B1F" w:rsidRPr="00467F9C" w:rsidRDefault="00A25B1F" w:rsidP="001327FA">
            <w:pPr>
              <w:ind w:left="-104" w:right="-109"/>
              <w:jc w:val="center"/>
              <w:rPr>
                <w:sz w:val="20"/>
                <w:szCs w:val="20"/>
              </w:rPr>
            </w:pPr>
            <w:r w:rsidRPr="00467F9C">
              <w:rPr>
                <w:sz w:val="20"/>
                <w:szCs w:val="20"/>
              </w:rPr>
              <w:t>Отклонение (гр.3-гр.2)</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rsidR="00A25B1F" w:rsidRPr="00467F9C" w:rsidRDefault="00A25B1F" w:rsidP="00191861">
            <w:pPr>
              <w:ind w:left="-121" w:right="-99"/>
              <w:jc w:val="center"/>
              <w:rPr>
                <w:sz w:val="20"/>
                <w:szCs w:val="20"/>
              </w:rPr>
            </w:pPr>
            <w:r w:rsidRPr="00467F9C">
              <w:rPr>
                <w:sz w:val="20"/>
                <w:szCs w:val="20"/>
              </w:rPr>
              <w:t>Уровень исполнения, %</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A25B1F" w:rsidRPr="00467F9C" w:rsidRDefault="00A25B1F" w:rsidP="00191861">
            <w:pPr>
              <w:ind w:left="-124" w:right="-111"/>
              <w:jc w:val="center"/>
              <w:rPr>
                <w:sz w:val="20"/>
                <w:szCs w:val="20"/>
              </w:rPr>
            </w:pPr>
            <w:r w:rsidRPr="00467F9C">
              <w:rPr>
                <w:sz w:val="20"/>
                <w:szCs w:val="20"/>
              </w:rPr>
              <w:t>Удельный вес, %</w:t>
            </w:r>
          </w:p>
        </w:tc>
      </w:tr>
      <w:tr w:rsidR="00A25B1F" w:rsidRPr="00467F9C" w:rsidTr="001327FA">
        <w:trPr>
          <w:trHeight w:val="42"/>
          <w:tblHeader/>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1</w:t>
            </w:r>
          </w:p>
        </w:tc>
        <w:tc>
          <w:tcPr>
            <w:tcW w:w="1282"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7"/>
              <w:jc w:val="center"/>
              <w:rPr>
                <w:sz w:val="20"/>
                <w:szCs w:val="20"/>
              </w:rPr>
            </w:pPr>
            <w:r w:rsidRPr="00467F9C">
              <w:rPr>
                <w:sz w:val="20"/>
                <w:szCs w:val="20"/>
              </w:rPr>
              <w:t>2</w:t>
            </w:r>
          </w:p>
        </w:tc>
        <w:tc>
          <w:tcPr>
            <w:tcW w:w="1274"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3"/>
              <w:jc w:val="center"/>
              <w:rPr>
                <w:sz w:val="20"/>
                <w:szCs w:val="20"/>
              </w:rPr>
            </w:pPr>
            <w:r w:rsidRPr="00467F9C">
              <w:rPr>
                <w:sz w:val="20"/>
                <w:szCs w:val="20"/>
              </w:rPr>
              <w:t>3</w:t>
            </w:r>
          </w:p>
        </w:tc>
        <w:tc>
          <w:tcPr>
            <w:tcW w:w="1136"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4"/>
              <w:jc w:val="center"/>
              <w:rPr>
                <w:sz w:val="20"/>
                <w:szCs w:val="20"/>
              </w:rPr>
            </w:pPr>
            <w:r w:rsidRPr="00467F9C">
              <w:rPr>
                <w:sz w:val="20"/>
                <w:szCs w:val="20"/>
              </w:rPr>
              <w:t>4</w:t>
            </w:r>
          </w:p>
        </w:tc>
        <w:tc>
          <w:tcPr>
            <w:tcW w:w="1377"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5</w:t>
            </w:r>
          </w:p>
        </w:tc>
        <w:tc>
          <w:tcPr>
            <w:tcW w:w="958"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6</w:t>
            </w:r>
          </w:p>
        </w:tc>
      </w:tr>
      <w:tr w:rsidR="00A25B1F" w:rsidRPr="00467F9C" w:rsidTr="001327FA">
        <w:trPr>
          <w:trHeight w:val="4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A25B1F" w:rsidRPr="00467F9C" w:rsidRDefault="00A25B1F" w:rsidP="00191861">
            <w:pPr>
              <w:rPr>
                <w:b/>
                <w:sz w:val="20"/>
                <w:szCs w:val="20"/>
              </w:rPr>
            </w:pPr>
            <w:r w:rsidRPr="00467F9C">
              <w:rPr>
                <w:b/>
                <w:sz w:val="20"/>
                <w:szCs w:val="20"/>
              </w:rPr>
              <w:t xml:space="preserve">Расходы бюджета – всего </w:t>
            </w:r>
          </w:p>
        </w:tc>
        <w:tc>
          <w:tcPr>
            <w:tcW w:w="1282"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7"/>
              <w:jc w:val="right"/>
              <w:rPr>
                <w:b/>
                <w:sz w:val="20"/>
                <w:szCs w:val="20"/>
              </w:rPr>
            </w:pPr>
            <w:r w:rsidRPr="00467F9C">
              <w:rPr>
                <w:b/>
                <w:sz w:val="20"/>
                <w:szCs w:val="20"/>
              </w:rPr>
              <w:t>56 151 343,9</w:t>
            </w:r>
          </w:p>
        </w:tc>
        <w:tc>
          <w:tcPr>
            <w:tcW w:w="1274"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3"/>
              <w:jc w:val="right"/>
              <w:rPr>
                <w:b/>
                <w:sz w:val="20"/>
                <w:szCs w:val="20"/>
              </w:rPr>
            </w:pPr>
            <w:r w:rsidRPr="00467F9C">
              <w:rPr>
                <w:b/>
                <w:sz w:val="20"/>
                <w:szCs w:val="20"/>
              </w:rPr>
              <w:t>54 604 715,7</w:t>
            </w:r>
          </w:p>
        </w:tc>
        <w:tc>
          <w:tcPr>
            <w:tcW w:w="1136"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4"/>
              <w:jc w:val="right"/>
              <w:rPr>
                <w:b/>
                <w:sz w:val="20"/>
                <w:szCs w:val="20"/>
              </w:rPr>
            </w:pPr>
            <w:r w:rsidRPr="00467F9C">
              <w:rPr>
                <w:b/>
                <w:sz w:val="20"/>
                <w:szCs w:val="20"/>
              </w:rPr>
              <w:t>-1 546 628,2</w:t>
            </w:r>
          </w:p>
        </w:tc>
        <w:tc>
          <w:tcPr>
            <w:tcW w:w="1377"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b/>
                <w:sz w:val="20"/>
                <w:szCs w:val="20"/>
              </w:rPr>
            </w:pPr>
            <w:r w:rsidRPr="00467F9C">
              <w:rPr>
                <w:b/>
                <w:sz w:val="20"/>
                <w:szCs w:val="20"/>
              </w:rPr>
              <w:t>97,2</w:t>
            </w:r>
          </w:p>
        </w:tc>
        <w:tc>
          <w:tcPr>
            <w:tcW w:w="958"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b/>
                <w:sz w:val="20"/>
                <w:szCs w:val="20"/>
              </w:rPr>
            </w:pPr>
            <w:r w:rsidRPr="00467F9C">
              <w:rPr>
                <w:b/>
                <w:sz w:val="20"/>
                <w:szCs w:val="20"/>
              </w:rPr>
              <w:t>100,0</w:t>
            </w:r>
          </w:p>
        </w:tc>
      </w:tr>
      <w:tr w:rsidR="00A25B1F" w:rsidRPr="00467F9C" w:rsidTr="001327FA">
        <w:trPr>
          <w:trHeight w:val="4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A25B1F" w:rsidRPr="00467F9C" w:rsidRDefault="00A25B1F" w:rsidP="00191861">
            <w:pPr>
              <w:rPr>
                <w:sz w:val="20"/>
                <w:szCs w:val="20"/>
              </w:rPr>
            </w:pPr>
            <w:r w:rsidRPr="00467F9C">
              <w:rPr>
                <w:sz w:val="20"/>
                <w:szCs w:val="20"/>
              </w:rPr>
              <w:t xml:space="preserve">902 Департамент промышленной политики </w:t>
            </w:r>
          </w:p>
        </w:tc>
        <w:tc>
          <w:tcPr>
            <w:tcW w:w="1282"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7"/>
              <w:jc w:val="right"/>
              <w:rPr>
                <w:sz w:val="20"/>
                <w:szCs w:val="20"/>
              </w:rPr>
            </w:pPr>
            <w:r w:rsidRPr="00467F9C">
              <w:rPr>
                <w:sz w:val="20"/>
                <w:szCs w:val="20"/>
              </w:rPr>
              <w:t>29 158 466,5</w:t>
            </w:r>
          </w:p>
        </w:tc>
        <w:tc>
          <w:tcPr>
            <w:tcW w:w="1274"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3"/>
              <w:jc w:val="right"/>
              <w:rPr>
                <w:sz w:val="20"/>
                <w:szCs w:val="20"/>
              </w:rPr>
            </w:pPr>
            <w:r w:rsidRPr="00467F9C">
              <w:rPr>
                <w:sz w:val="20"/>
                <w:szCs w:val="20"/>
              </w:rPr>
              <w:t>28 169 960,7</w:t>
            </w:r>
          </w:p>
        </w:tc>
        <w:tc>
          <w:tcPr>
            <w:tcW w:w="1136"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4"/>
              <w:jc w:val="right"/>
              <w:rPr>
                <w:sz w:val="20"/>
                <w:szCs w:val="20"/>
              </w:rPr>
            </w:pPr>
            <w:r w:rsidRPr="00467F9C">
              <w:rPr>
                <w:sz w:val="20"/>
                <w:szCs w:val="20"/>
              </w:rPr>
              <w:t>-988 505,8</w:t>
            </w:r>
          </w:p>
        </w:tc>
        <w:tc>
          <w:tcPr>
            <w:tcW w:w="1377"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96,6</w:t>
            </w:r>
          </w:p>
        </w:tc>
        <w:tc>
          <w:tcPr>
            <w:tcW w:w="958"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51,6</w:t>
            </w:r>
          </w:p>
        </w:tc>
      </w:tr>
      <w:tr w:rsidR="00A25B1F" w:rsidRPr="00467F9C" w:rsidTr="001327FA">
        <w:trPr>
          <w:trHeight w:val="4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A25B1F" w:rsidRPr="00467F9C" w:rsidRDefault="00A25B1F" w:rsidP="00191861">
            <w:pPr>
              <w:rPr>
                <w:sz w:val="20"/>
                <w:szCs w:val="20"/>
              </w:rPr>
            </w:pPr>
            <w:r w:rsidRPr="00467F9C">
              <w:rPr>
                <w:sz w:val="20"/>
                <w:szCs w:val="20"/>
              </w:rPr>
              <w:t xml:space="preserve">903 Департамент социальной политики </w:t>
            </w:r>
          </w:p>
        </w:tc>
        <w:tc>
          <w:tcPr>
            <w:tcW w:w="1282"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7"/>
              <w:jc w:val="right"/>
              <w:rPr>
                <w:sz w:val="20"/>
                <w:szCs w:val="20"/>
              </w:rPr>
            </w:pPr>
            <w:r w:rsidRPr="00467F9C">
              <w:rPr>
                <w:sz w:val="20"/>
                <w:szCs w:val="20"/>
              </w:rPr>
              <w:t>2 818 880,8</w:t>
            </w:r>
          </w:p>
        </w:tc>
        <w:tc>
          <w:tcPr>
            <w:tcW w:w="1274"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3"/>
              <w:jc w:val="right"/>
              <w:rPr>
                <w:sz w:val="20"/>
                <w:szCs w:val="20"/>
              </w:rPr>
            </w:pPr>
            <w:r w:rsidRPr="00467F9C">
              <w:rPr>
                <w:sz w:val="20"/>
                <w:szCs w:val="20"/>
              </w:rPr>
              <w:t>2 764 619,0</w:t>
            </w:r>
          </w:p>
        </w:tc>
        <w:tc>
          <w:tcPr>
            <w:tcW w:w="1136"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4"/>
              <w:jc w:val="right"/>
              <w:rPr>
                <w:sz w:val="20"/>
                <w:szCs w:val="20"/>
              </w:rPr>
            </w:pPr>
            <w:r w:rsidRPr="00467F9C">
              <w:rPr>
                <w:sz w:val="20"/>
                <w:szCs w:val="20"/>
              </w:rPr>
              <w:t>-54 261,8</w:t>
            </w:r>
          </w:p>
        </w:tc>
        <w:tc>
          <w:tcPr>
            <w:tcW w:w="1377"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98,1</w:t>
            </w:r>
          </w:p>
        </w:tc>
        <w:tc>
          <w:tcPr>
            <w:tcW w:w="958"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5,1</w:t>
            </w:r>
          </w:p>
        </w:tc>
      </w:tr>
      <w:tr w:rsidR="00A25B1F" w:rsidRPr="00467F9C" w:rsidTr="001327FA">
        <w:trPr>
          <w:trHeight w:val="4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A25B1F" w:rsidRPr="00467F9C" w:rsidRDefault="00A25B1F" w:rsidP="00191861">
            <w:pPr>
              <w:rPr>
                <w:sz w:val="20"/>
                <w:szCs w:val="20"/>
              </w:rPr>
            </w:pPr>
            <w:r w:rsidRPr="00467F9C">
              <w:rPr>
                <w:sz w:val="20"/>
                <w:szCs w:val="20"/>
              </w:rPr>
              <w:t xml:space="preserve">905 Департамент финансов, экономики и имущественных отношений </w:t>
            </w:r>
          </w:p>
        </w:tc>
        <w:tc>
          <w:tcPr>
            <w:tcW w:w="1282"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7"/>
              <w:jc w:val="right"/>
              <w:rPr>
                <w:sz w:val="20"/>
                <w:szCs w:val="20"/>
              </w:rPr>
            </w:pPr>
            <w:r w:rsidRPr="00467F9C">
              <w:rPr>
                <w:sz w:val="20"/>
                <w:szCs w:val="20"/>
              </w:rPr>
              <w:t>6 796 699,4</w:t>
            </w:r>
          </w:p>
        </w:tc>
        <w:tc>
          <w:tcPr>
            <w:tcW w:w="1274"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3"/>
              <w:jc w:val="right"/>
              <w:rPr>
                <w:sz w:val="20"/>
                <w:szCs w:val="20"/>
              </w:rPr>
            </w:pPr>
            <w:r w:rsidRPr="00467F9C">
              <w:rPr>
                <w:sz w:val="20"/>
                <w:szCs w:val="20"/>
              </w:rPr>
              <w:t>6 763 400,6</w:t>
            </w:r>
          </w:p>
        </w:tc>
        <w:tc>
          <w:tcPr>
            <w:tcW w:w="1136"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4"/>
              <w:jc w:val="right"/>
              <w:rPr>
                <w:sz w:val="20"/>
                <w:szCs w:val="20"/>
              </w:rPr>
            </w:pPr>
            <w:r w:rsidRPr="00467F9C">
              <w:rPr>
                <w:sz w:val="20"/>
                <w:szCs w:val="20"/>
              </w:rPr>
              <w:t>-33 298,8</w:t>
            </w:r>
          </w:p>
        </w:tc>
        <w:tc>
          <w:tcPr>
            <w:tcW w:w="1377"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99,5</w:t>
            </w:r>
          </w:p>
        </w:tc>
        <w:tc>
          <w:tcPr>
            <w:tcW w:w="958"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12,2</w:t>
            </w:r>
          </w:p>
        </w:tc>
      </w:tr>
      <w:tr w:rsidR="00A25B1F" w:rsidRPr="00467F9C" w:rsidTr="001327FA">
        <w:trPr>
          <w:trHeight w:val="4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A25B1F" w:rsidRPr="00467F9C" w:rsidRDefault="00A25B1F" w:rsidP="00191861">
            <w:pPr>
              <w:rPr>
                <w:sz w:val="20"/>
                <w:szCs w:val="20"/>
              </w:rPr>
            </w:pPr>
            <w:r w:rsidRPr="00467F9C">
              <w:rPr>
                <w:sz w:val="20"/>
                <w:szCs w:val="20"/>
              </w:rPr>
              <w:t xml:space="preserve">906 Департамент сельского хозяйства </w:t>
            </w:r>
          </w:p>
        </w:tc>
        <w:tc>
          <w:tcPr>
            <w:tcW w:w="1282"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7"/>
              <w:jc w:val="right"/>
              <w:rPr>
                <w:sz w:val="20"/>
                <w:szCs w:val="20"/>
              </w:rPr>
            </w:pPr>
            <w:r w:rsidRPr="00467F9C">
              <w:rPr>
                <w:sz w:val="20"/>
                <w:szCs w:val="20"/>
              </w:rPr>
              <w:t>3 154 004,1</w:t>
            </w:r>
          </w:p>
        </w:tc>
        <w:tc>
          <w:tcPr>
            <w:tcW w:w="1274"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3"/>
              <w:jc w:val="right"/>
              <w:rPr>
                <w:sz w:val="20"/>
                <w:szCs w:val="20"/>
              </w:rPr>
            </w:pPr>
            <w:r w:rsidRPr="00467F9C">
              <w:rPr>
                <w:sz w:val="20"/>
                <w:szCs w:val="20"/>
              </w:rPr>
              <w:t>3 142 891,5</w:t>
            </w:r>
          </w:p>
        </w:tc>
        <w:tc>
          <w:tcPr>
            <w:tcW w:w="1136"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4"/>
              <w:jc w:val="right"/>
              <w:rPr>
                <w:sz w:val="20"/>
                <w:szCs w:val="20"/>
              </w:rPr>
            </w:pPr>
            <w:r w:rsidRPr="00467F9C">
              <w:rPr>
                <w:sz w:val="20"/>
                <w:szCs w:val="20"/>
              </w:rPr>
              <w:t>-11 112,6</w:t>
            </w:r>
          </w:p>
        </w:tc>
        <w:tc>
          <w:tcPr>
            <w:tcW w:w="1377"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99,6</w:t>
            </w:r>
          </w:p>
        </w:tc>
        <w:tc>
          <w:tcPr>
            <w:tcW w:w="958"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5,8</w:t>
            </w:r>
          </w:p>
        </w:tc>
      </w:tr>
      <w:tr w:rsidR="00A25B1F" w:rsidRPr="00467F9C" w:rsidTr="001327FA">
        <w:trPr>
          <w:trHeight w:val="25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A25B1F" w:rsidRPr="00467F9C" w:rsidRDefault="00A25B1F" w:rsidP="00191861">
            <w:pPr>
              <w:rPr>
                <w:sz w:val="20"/>
                <w:szCs w:val="20"/>
              </w:rPr>
            </w:pPr>
            <w:r w:rsidRPr="00467F9C">
              <w:rPr>
                <w:sz w:val="20"/>
                <w:szCs w:val="20"/>
              </w:rPr>
              <w:t xml:space="preserve">908 Управление гражданской защиты </w:t>
            </w:r>
          </w:p>
        </w:tc>
        <w:tc>
          <w:tcPr>
            <w:tcW w:w="1282"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7"/>
              <w:jc w:val="right"/>
              <w:rPr>
                <w:sz w:val="20"/>
                <w:szCs w:val="20"/>
              </w:rPr>
            </w:pPr>
            <w:r w:rsidRPr="00467F9C">
              <w:rPr>
                <w:sz w:val="20"/>
                <w:szCs w:val="20"/>
              </w:rPr>
              <w:t>486 669,3</w:t>
            </w:r>
          </w:p>
        </w:tc>
        <w:tc>
          <w:tcPr>
            <w:tcW w:w="1274"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3"/>
              <w:jc w:val="right"/>
              <w:rPr>
                <w:sz w:val="20"/>
                <w:szCs w:val="20"/>
              </w:rPr>
            </w:pPr>
            <w:r w:rsidRPr="00467F9C">
              <w:rPr>
                <w:sz w:val="20"/>
                <w:szCs w:val="20"/>
              </w:rPr>
              <w:t>472 873,8</w:t>
            </w:r>
          </w:p>
        </w:tc>
        <w:tc>
          <w:tcPr>
            <w:tcW w:w="1136"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4"/>
              <w:jc w:val="right"/>
              <w:rPr>
                <w:sz w:val="20"/>
                <w:szCs w:val="20"/>
              </w:rPr>
            </w:pPr>
            <w:r w:rsidRPr="00467F9C">
              <w:rPr>
                <w:sz w:val="20"/>
                <w:szCs w:val="20"/>
              </w:rPr>
              <w:t>-13 795,5</w:t>
            </w:r>
          </w:p>
        </w:tc>
        <w:tc>
          <w:tcPr>
            <w:tcW w:w="1377"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97,2</w:t>
            </w:r>
          </w:p>
        </w:tc>
        <w:tc>
          <w:tcPr>
            <w:tcW w:w="958"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0,9</w:t>
            </w:r>
          </w:p>
        </w:tc>
      </w:tr>
      <w:tr w:rsidR="00A25B1F" w:rsidRPr="00467F9C" w:rsidTr="001327FA">
        <w:trPr>
          <w:trHeight w:val="96"/>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A25B1F" w:rsidRPr="00467F9C" w:rsidRDefault="00A25B1F" w:rsidP="00191861">
            <w:pPr>
              <w:rPr>
                <w:sz w:val="20"/>
                <w:szCs w:val="20"/>
              </w:rPr>
            </w:pPr>
            <w:r w:rsidRPr="00467F9C">
              <w:rPr>
                <w:sz w:val="20"/>
                <w:szCs w:val="20"/>
              </w:rPr>
              <w:t xml:space="preserve">909 Департамент здравоохранения </w:t>
            </w:r>
          </w:p>
        </w:tc>
        <w:tc>
          <w:tcPr>
            <w:tcW w:w="1282"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7"/>
              <w:jc w:val="right"/>
              <w:rPr>
                <w:sz w:val="20"/>
                <w:szCs w:val="20"/>
              </w:rPr>
            </w:pPr>
            <w:r w:rsidRPr="00467F9C">
              <w:rPr>
                <w:sz w:val="20"/>
                <w:szCs w:val="20"/>
              </w:rPr>
              <w:t>4 222 308,3</w:t>
            </w:r>
          </w:p>
        </w:tc>
        <w:tc>
          <w:tcPr>
            <w:tcW w:w="1274"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3"/>
              <w:jc w:val="right"/>
              <w:rPr>
                <w:sz w:val="20"/>
                <w:szCs w:val="20"/>
              </w:rPr>
            </w:pPr>
            <w:r w:rsidRPr="00467F9C">
              <w:rPr>
                <w:sz w:val="20"/>
                <w:szCs w:val="20"/>
              </w:rPr>
              <w:t>4 180 764,3</w:t>
            </w:r>
          </w:p>
        </w:tc>
        <w:tc>
          <w:tcPr>
            <w:tcW w:w="1136"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4"/>
              <w:jc w:val="right"/>
              <w:rPr>
                <w:sz w:val="20"/>
                <w:szCs w:val="20"/>
              </w:rPr>
            </w:pPr>
            <w:r w:rsidRPr="00467F9C">
              <w:rPr>
                <w:sz w:val="20"/>
                <w:szCs w:val="20"/>
              </w:rPr>
              <w:t>-41 544,0</w:t>
            </w:r>
          </w:p>
        </w:tc>
        <w:tc>
          <w:tcPr>
            <w:tcW w:w="1377"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99,0</w:t>
            </w:r>
          </w:p>
        </w:tc>
        <w:tc>
          <w:tcPr>
            <w:tcW w:w="958"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7,7</w:t>
            </w:r>
          </w:p>
        </w:tc>
      </w:tr>
      <w:tr w:rsidR="00A25B1F" w:rsidRPr="00467F9C" w:rsidTr="001327FA">
        <w:trPr>
          <w:trHeight w:val="46"/>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A25B1F" w:rsidRPr="00467F9C" w:rsidRDefault="00A25B1F" w:rsidP="00191861">
            <w:pPr>
              <w:rPr>
                <w:sz w:val="20"/>
                <w:szCs w:val="20"/>
              </w:rPr>
            </w:pPr>
            <w:r w:rsidRPr="00467F9C">
              <w:rPr>
                <w:sz w:val="20"/>
                <w:szCs w:val="20"/>
              </w:rPr>
              <w:t xml:space="preserve">910 Аппарат Губернатора и Правительства </w:t>
            </w:r>
          </w:p>
        </w:tc>
        <w:tc>
          <w:tcPr>
            <w:tcW w:w="1282"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7"/>
              <w:jc w:val="right"/>
              <w:rPr>
                <w:sz w:val="20"/>
                <w:szCs w:val="20"/>
              </w:rPr>
            </w:pPr>
            <w:r w:rsidRPr="00467F9C">
              <w:rPr>
                <w:sz w:val="20"/>
                <w:szCs w:val="20"/>
              </w:rPr>
              <w:t>792 419,0</w:t>
            </w:r>
          </w:p>
        </w:tc>
        <w:tc>
          <w:tcPr>
            <w:tcW w:w="1274"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3"/>
              <w:jc w:val="right"/>
              <w:rPr>
                <w:sz w:val="20"/>
                <w:szCs w:val="20"/>
              </w:rPr>
            </w:pPr>
            <w:r w:rsidRPr="00467F9C">
              <w:rPr>
                <w:sz w:val="20"/>
                <w:szCs w:val="20"/>
              </w:rPr>
              <w:t>779 593,5</w:t>
            </w:r>
          </w:p>
        </w:tc>
        <w:tc>
          <w:tcPr>
            <w:tcW w:w="1136"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4"/>
              <w:jc w:val="right"/>
              <w:rPr>
                <w:sz w:val="20"/>
                <w:szCs w:val="20"/>
              </w:rPr>
            </w:pPr>
            <w:r w:rsidRPr="00467F9C">
              <w:rPr>
                <w:sz w:val="20"/>
                <w:szCs w:val="20"/>
              </w:rPr>
              <w:t>-12 825,5</w:t>
            </w:r>
          </w:p>
        </w:tc>
        <w:tc>
          <w:tcPr>
            <w:tcW w:w="1377"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98,4</w:t>
            </w:r>
          </w:p>
        </w:tc>
        <w:tc>
          <w:tcPr>
            <w:tcW w:w="958"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1,4</w:t>
            </w:r>
          </w:p>
        </w:tc>
      </w:tr>
      <w:tr w:rsidR="00A25B1F" w:rsidRPr="00467F9C" w:rsidTr="001327FA">
        <w:trPr>
          <w:trHeight w:val="18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A25B1F" w:rsidRPr="00467F9C" w:rsidRDefault="00A25B1F" w:rsidP="00191861">
            <w:pPr>
              <w:rPr>
                <w:sz w:val="20"/>
                <w:szCs w:val="20"/>
              </w:rPr>
            </w:pPr>
            <w:r w:rsidRPr="00467F9C">
              <w:rPr>
                <w:sz w:val="20"/>
                <w:szCs w:val="20"/>
              </w:rPr>
              <w:lastRenderedPageBreak/>
              <w:t xml:space="preserve">911 Счетная палата </w:t>
            </w:r>
          </w:p>
        </w:tc>
        <w:tc>
          <w:tcPr>
            <w:tcW w:w="1282"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right"/>
              <w:rPr>
                <w:sz w:val="20"/>
                <w:szCs w:val="20"/>
              </w:rPr>
            </w:pPr>
            <w:r w:rsidRPr="00467F9C">
              <w:rPr>
                <w:sz w:val="20"/>
                <w:szCs w:val="20"/>
              </w:rPr>
              <w:t>84 946,9</w:t>
            </w:r>
          </w:p>
        </w:tc>
        <w:tc>
          <w:tcPr>
            <w:tcW w:w="1274"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3"/>
              <w:jc w:val="right"/>
              <w:rPr>
                <w:sz w:val="20"/>
                <w:szCs w:val="20"/>
              </w:rPr>
            </w:pPr>
            <w:r w:rsidRPr="00467F9C">
              <w:rPr>
                <w:sz w:val="20"/>
                <w:szCs w:val="20"/>
              </w:rPr>
              <w:t>83 391,9</w:t>
            </w:r>
          </w:p>
        </w:tc>
        <w:tc>
          <w:tcPr>
            <w:tcW w:w="1136"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4"/>
              <w:jc w:val="right"/>
              <w:rPr>
                <w:sz w:val="20"/>
                <w:szCs w:val="20"/>
              </w:rPr>
            </w:pPr>
            <w:r w:rsidRPr="00467F9C">
              <w:rPr>
                <w:bCs/>
                <w:sz w:val="20"/>
                <w:szCs w:val="20"/>
              </w:rPr>
              <w:t>-1 555,0</w:t>
            </w:r>
          </w:p>
        </w:tc>
        <w:tc>
          <w:tcPr>
            <w:tcW w:w="1377"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98,2</w:t>
            </w:r>
          </w:p>
        </w:tc>
        <w:tc>
          <w:tcPr>
            <w:tcW w:w="958"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0,2</w:t>
            </w:r>
          </w:p>
        </w:tc>
      </w:tr>
      <w:tr w:rsidR="00A25B1F" w:rsidRPr="00467F9C" w:rsidTr="001327FA">
        <w:trPr>
          <w:trHeight w:val="4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A25B1F" w:rsidRPr="00467F9C" w:rsidRDefault="00A25B1F" w:rsidP="00191861">
            <w:pPr>
              <w:rPr>
                <w:sz w:val="20"/>
                <w:szCs w:val="20"/>
              </w:rPr>
            </w:pPr>
            <w:r w:rsidRPr="00467F9C">
              <w:rPr>
                <w:sz w:val="20"/>
                <w:szCs w:val="20"/>
              </w:rPr>
              <w:t xml:space="preserve">912 Комитет государственного регулирования цен </w:t>
            </w:r>
          </w:p>
        </w:tc>
        <w:tc>
          <w:tcPr>
            <w:tcW w:w="1282"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right"/>
              <w:rPr>
                <w:sz w:val="20"/>
                <w:szCs w:val="20"/>
              </w:rPr>
            </w:pPr>
            <w:r w:rsidRPr="00467F9C">
              <w:rPr>
                <w:sz w:val="20"/>
                <w:szCs w:val="20"/>
              </w:rPr>
              <w:t>35 626,1</w:t>
            </w:r>
          </w:p>
        </w:tc>
        <w:tc>
          <w:tcPr>
            <w:tcW w:w="1274"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3"/>
              <w:jc w:val="right"/>
              <w:rPr>
                <w:sz w:val="20"/>
                <w:szCs w:val="20"/>
              </w:rPr>
            </w:pPr>
            <w:r w:rsidRPr="00467F9C">
              <w:rPr>
                <w:sz w:val="20"/>
                <w:szCs w:val="20"/>
              </w:rPr>
              <w:t>35 179,8</w:t>
            </w:r>
          </w:p>
        </w:tc>
        <w:tc>
          <w:tcPr>
            <w:tcW w:w="1136"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4"/>
              <w:jc w:val="right"/>
              <w:rPr>
                <w:sz w:val="20"/>
                <w:szCs w:val="20"/>
              </w:rPr>
            </w:pPr>
            <w:r w:rsidRPr="00467F9C">
              <w:rPr>
                <w:bCs/>
                <w:sz w:val="20"/>
                <w:szCs w:val="20"/>
              </w:rPr>
              <w:t>-446,3</w:t>
            </w:r>
          </w:p>
        </w:tc>
        <w:tc>
          <w:tcPr>
            <w:tcW w:w="1377"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98,7</w:t>
            </w:r>
          </w:p>
        </w:tc>
        <w:tc>
          <w:tcPr>
            <w:tcW w:w="958"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0,1</w:t>
            </w:r>
          </w:p>
        </w:tc>
      </w:tr>
      <w:tr w:rsidR="00A25B1F" w:rsidRPr="00467F9C" w:rsidTr="001327FA">
        <w:trPr>
          <w:trHeight w:val="4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A25B1F" w:rsidRPr="00467F9C" w:rsidRDefault="00A25B1F" w:rsidP="00191861">
            <w:pPr>
              <w:rPr>
                <w:sz w:val="20"/>
                <w:szCs w:val="20"/>
              </w:rPr>
            </w:pPr>
            <w:r w:rsidRPr="00467F9C">
              <w:rPr>
                <w:sz w:val="20"/>
                <w:szCs w:val="20"/>
              </w:rPr>
              <w:t xml:space="preserve">913 Избирательная комиссия </w:t>
            </w:r>
          </w:p>
        </w:tc>
        <w:tc>
          <w:tcPr>
            <w:tcW w:w="1282"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right"/>
              <w:rPr>
                <w:sz w:val="20"/>
                <w:szCs w:val="20"/>
              </w:rPr>
            </w:pPr>
            <w:r w:rsidRPr="00467F9C">
              <w:rPr>
                <w:sz w:val="20"/>
                <w:szCs w:val="20"/>
              </w:rPr>
              <w:t>86 986,1</w:t>
            </w:r>
          </w:p>
        </w:tc>
        <w:tc>
          <w:tcPr>
            <w:tcW w:w="1274"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3"/>
              <w:jc w:val="right"/>
              <w:rPr>
                <w:sz w:val="20"/>
                <w:szCs w:val="20"/>
              </w:rPr>
            </w:pPr>
            <w:r w:rsidRPr="00467F9C">
              <w:rPr>
                <w:sz w:val="20"/>
                <w:szCs w:val="20"/>
              </w:rPr>
              <w:t>86 044,1</w:t>
            </w:r>
          </w:p>
        </w:tc>
        <w:tc>
          <w:tcPr>
            <w:tcW w:w="1136"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4"/>
              <w:jc w:val="right"/>
              <w:rPr>
                <w:sz w:val="20"/>
                <w:szCs w:val="20"/>
              </w:rPr>
            </w:pPr>
            <w:r w:rsidRPr="00467F9C">
              <w:rPr>
                <w:bCs/>
                <w:sz w:val="20"/>
                <w:szCs w:val="20"/>
              </w:rPr>
              <w:t>-942,0</w:t>
            </w:r>
          </w:p>
        </w:tc>
        <w:tc>
          <w:tcPr>
            <w:tcW w:w="1377"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98,9</w:t>
            </w:r>
          </w:p>
        </w:tc>
        <w:tc>
          <w:tcPr>
            <w:tcW w:w="958"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0,2</w:t>
            </w:r>
          </w:p>
        </w:tc>
      </w:tr>
      <w:tr w:rsidR="00A25B1F" w:rsidRPr="00467F9C" w:rsidTr="001327FA">
        <w:trPr>
          <w:trHeight w:val="4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A25B1F" w:rsidRPr="00467F9C" w:rsidRDefault="00A25B1F" w:rsidP="00191861">
            <w:pPr>
              <w:rPr>
                <w:sz w:val="20"/>
                <w:szCs w:val="20"/>
              </w:rPr>
            </w:pPr>
            <w:r w:rsidRPr="00467F9C">
              <w:rPr>
                <w:sz w:val="20"/>
                <w:szCs w:val="20"/>
              </w:rPr>
              <w:t xml:space="preserve">915 Дума </w:t>
            </w:r>
          </w:p>
        </w:tc>
        <w:tc>
          <w:tcPr>
            <w:tcW w:w="1282"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right"/>
              <w:rPr>
                <w:sz w:val="20"/>
                <w:szCs w:val="20"/>
              </w:rPr>
            </w:pPr>
            <w:r w:rsidRPr="00467F9C">
              <w:rPr>
                <w:sz w:val="20"/>
                <w:szCs w:val="20"/>
              </w:rPr>
              <w:t>168 850,0</w:t>
            </w:r>
          </w:p>
        </w:tc>
        <w:tc>
          <w:tcPr>
            <w:tcW w:w="1274"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3"/>
              <w:jc w:val="right"/>
              <w:rPr>
                <w:sz w:val="20"/>
                <w:szCs w:val="20"/>
              </w:rPr>
            </w:pPr>
            <w:r w:rsidRPr="00467F9C">
              <w:rPr>
                <w:sz w:val="20"/>
                <w:szCs w:val="20"/>
              </w:rPr>
              <w:t>165 929,9</w:t>
            </w:r>
          </w:p>
        </w:tc>
        <w:tc>
          <w:tcPr>
            <w:tcW w:w="1136"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4"/>
              <w:jc w:val="right"/>
              <w:rPr>
                <w:sz w:val="20"/>
                <w:szCs w:val="20"/>
              </w:rPr>
            </w:pPr>
            <w:r w:rsidRPr="00467F9C">
              <w:rPr>
                <w:bCs/>
                <w:sz w:val="20"/>
                <w:szCs w:val="20"/>
              </w:rPr>
              <w:t>-2 920,1</w:t>
            </w:r>
          </w:p>
        </w:tc>
        <w:tc>
          <w:tcPr>
            <w:tcW w:w="1377"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98,3</w:t>
            </w:r>
          </w:p>
        </w:tc>
        <w:tc>
          <w:tcPr>
            <w:tcW w:w="958"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0,3</w:t>
            </w:r>
          </w:p>
        </w:tc>
      </w:tr>
      <w:tr w:rsidR="00A25B1F" w:rsidRPr="00467F9C" w:rsidTr="001327FA">
        <w:trPr>
          <w:trHeight w:val="4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A25B1F" w:rsidRPr="00467F9C" w:rsidRDefault="00A25B1F" w:rsidP="00191861">
            <w:pPr>
              <w:rPr>
                <w:sz w:val="20"/>
                <w:szCs w:val="20"/>
              </w:rPr>
            </w:pPr>
            <w:r w:rsidRPr="00467F9C">
              <w:rPr>
                <w:sz w:val="20"/>
                <w:szCs w:val="20"/>
              </w:rPr>
              <w:t xml:space="preserve">916 Департамент природных ресурсов и экологии </w:t>
            </w:r>
          </w:p>
        </w:tc>
        <w:tc>
          <w:tcPr>
            <w:tcW w:w="1282"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right"/>
              <w:rPr>
                <w:sz w:val="20"/>
                <w:szCs w:val="20"/>
              </w:rPr>
            </w:pPr>
            <w:r w:rsidRPr="00467F9C">
              <w:rPr>
                <w:sz w:val="20"/>
                <w:szCs w:val="20"/>
              </w:rPr>
              <w:t>591 177,2</w:t>
            </w:r>
          </w:p>
        </w:tc>
        <w:tc>
          <w:tcPr>
            <w:tcW w:w="1274"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3"/>
              <w:jc w:val="right"/>
              <w:rPr>
                <w:sz w:val="20"/>
                <w:szCs w:val="20"/>
              </w:rPr>
            </w:pPr>
            <w:r w:rsidRPr="00467F9C">
              <w:rPr>
                <w:sz w:val="20"/>
                <w:szCs w:val="20"/>
              </w:rPr>
              <w:t>571 487,3</w:t>
            </w:r>
          </w:p>
        </w:tc>
        <w:tc>
          <w:tcPr>
            <w:tcW w:w="1136"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4"/>
              <w:jc w:val="right"/>
              <w:rPr>
                <w:sz w:val="20"/>
                <w:szCs w:val="20"/>
              </w:rPr>
            </w:pPr>
            <w:r w:rsidRPr="00467F9C">
              <w:rPr>
                <w:bCs/>
                <w:sz w:val="20"/>
                <w:szCs w:val="20"/>
              </w:rPr>
              <w:t>-19 689,9</w:t>
            </w:r>
          </w:p>
        </w:tc>
        <w:tc>
          <w:tcPr>
            <w:tcW w:w="1377"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96,7</w:t>
            </w:r>
          </w:p>
        </w:tc>
        <w:tc>
          <w:tcPr>
            <w:tcW w:w="958"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1,0</w:t>
            </w:r>
          </w:p>
        </w:tc>
      </w:tr>
      <w:tr w:rsidR="00A25B1F" w:rsidRPr="00467F9C" w:rsidTr="001327FA">
        <w:trPr>
          <w:trHeight w:val="4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A25B1F" w:rsidRPr="00467F9C" w:rsidRDefault="00A25B1F" w:rsidP="00191861">
            <w:pPr>
              <w:rPr>
                <w:sz w:val="20"/>
                <w:szCs w:val="20"/>
              </w:rPr>
            </w:pPr>
            <w:r w:rsidRPr="00467F9C">
              <w:rPr>
                <w:sz w:val="20"/>
                <w:szCs w:val="20"/>
              </w:rPr>
              <w:t xml:space="preserve">917 Департамент культуры, спорта и туризма </w:t>
            </w:r>
          </w:p>
        </w:tc>
        <w:tc>
          <w:tcPr>
            <w:tcW w:w="1282"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right"/>
              <w:rPr>
                <w:sz w:val="20"/>
                <w:szCs w:val="20"/>
              </w:rPr>
            </w:pPr>
            <w:r w:rsidRPr="00467F9C">
              <w:rPr>
                <w:sz w:val="20"/>
                <w:szCs w:val="20"/>
              </w:rPr>
              <w:t xml:space="preserve">  849 261,6</w:t>
            </w:r>
          </w:p>
        </w:tc>
        <w:tc>
          <w:tcPr>
            <w:tcW w:w="1274"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3"/>
              <w:jc w:val="right"/>
              <w:rPr>
                <w:sz w:val="20"/>
                <w:szCs w:val="20"/>
              </w:rPr>
            </w:pPr>
            <w:r w:rsidRPr="00467F9C">
              <w:rPr>
                <w:sz w:val="20"/>
                <w:szCs w:val="20"/>
              </w:rPr>
              <w:t>831 148,6</w:t>
            </w:r>
          </w:p>
        </w:tc>
        <w:tc>
          <w:tcPr>
            <w:tcW w:w="1136"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4"/>
              <w:jc w:val="right"/>
              <w:rPr>
                <w:sz w:val="20"/>
                <w:szCs w:val="20"/>
              </w:rPr>
            </w:pPr>
            <w:r w:rsidRPr="00467F9C">
              <w:rPr>
                <w:bCs/>
                <w:sz w:val="20"/>
                <w:szCs w:val="20"/>
              </w:rPr>
              <w:t>-18 113,0</w:t>
            </w:r>
          </w:p>
        </w:tc>
        <w:tc>
          <w:tcPr>
            <w:tcW w:w="1377"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97,9</w:t>
            </w:r>
          </w:p>
        </w:tc>
        <w:tc>
          <w:tcPr>
            <w:tcW w:w="958"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1,5</w:t>
            </w:r>
          </w:p>
        </w:tc>
      </w:tr>
      <w:tr w:rsidR="00A25B1F" w:rsidRPr="00467F9C" w:rsidTr="001327FA">
        <w:trPr>
          <w:trHeight w:val="4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A25B1F" w:rsidRPr="00467F9C" w:rsidRDefault="00A25B1F" w:rsidP="00191861">
            <w:pPr>
              <w:rPr>
                <w:sz w:val="20"/>
                <w:szCs w:val="20"/>
              </w:rPr>
            </w:pPr>
            <w:r w:rsidRPr="00467F9C">
              <w:rPr>
                <w:sz w:val="20"/>
                <w:szCs w:val="20"/>
              </w:rPr>
              <w:t xml:space="preserve">918 Департамент образования и науки </w:t>
            </w:r>
          </w:p>
        </w:tc>
        <w:tc>
          <w:tcPr>
            <w:tcW w:w="1282"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right"/>
              <w:rPr>
                <w:sz w:val="20"/>
                <w:szCs w:val="20"/>
              </w:rPr>
            </w:pPr>
            <w:r w:rsidRPr="00467F9C">
              <w:rPr>
                <w:sz w:val="20"/>
                <w:szCs w:val="20"/>
              </w:rPr>
              <w:t>6 789 495,6</w:t>
            </w:r>
          </w:p>
        </w:tc>
        <w:tc>
          <w:tcPr>
            <w:tcW w:w="1274"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3"/>
              <w:jc w:val="right"/>
              <w:rPr>
                <w:sz w:val="20"/>
                <w:szCs w:val="20"/>
              </w:rPr>
            </w:pPr>
            <w:r w:rsidRPr="00467F9C">
              <w:rPr>
                <w:sz w:val="20"/>
                <w:szCs w:val="20"/>
              </w:rPr>
              <w:t>6 452 133,9</w:t>
            </w:r>
          </w:p>
        </w:tc>
        <w:tc>
          <w:tcPr>
            <w:tcW w:w="1136"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4"/>
              <w:jc w:val="right"/>
              <w:rPr>
                <w:sz w:val="20"/>
                <w:szCs w:val="20"/>
              </w:rPr>
            </w:pPr>
            <w:r w:rsidRPr="00467F9C">
              <w:rPr>
                <w:bCs/>
                <w:sz w:val="20"/>
                <w:szCs w:val="20"/>
              </w:rPr>
              <w:t>-337 361,7</w:t>
            </w:r>
          </w:p>
        </w:tc>
        <w:tc>
          <w:tcPr>
            <w:tcW w:w="1377"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95,0</w:t>
            </w:r>
          </w:p>
        </w:tc>
        <w:tc>
          <w:tcPr>
            <w:tcW w:w="958"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11,7</w:t>
            </w:r>
          </w:p>
        </w:tc>
      </w:tr>
      <w:tr w:rsidR="00A25B1F" w:rsidRPr="00467F9C" w:rsidTr="001327FA">
        <w:trPr>
          <w:trHeight w:val="4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A25B1F" w:rsidRPr="00467F9C" w:rsidRDefault="00A25B1F" w:rsidP="00191861">
            <w:pPr>
              <w:autoSpaceDE w:val="0"/>
              <w:autoSpaceDN w:val="0"/>
              <w:adjustRightInd w:val="0"/>
              <w:jc w:val="both"/>
              <w:rPr>
                <w:sz w:val="20"/>
                <w:szCs w:val="20"/>
              </w:rPr>
            </w:pPr>
            <w:r w:rsidRPr="00467F9C">
              <w:rPr>
                <w:sz w:val="20"/>
                <w:szCs w:val="20"/>
              </w:rPr>
              <w:t xml:space="preserve">919 Управление по обеспечению деятельности мировых судей и юридических консультаций </w:t>
            </w:r>
          </w:p>
        </w:tc>
        <w:tc>
          <w:tcPr>
            <w:tcW w:w="1282"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right"/>
              <w:rPr>
                <w:sz w:val="20"/>
                <w:szCs w:val="20"/>
              </w:rPr>
            </w:pPr>
            <w:r w:rsidRPr="00467F9C">
              <w:rPr>
                <w:sz w:val="20"/>
                <w:szCs w:val="20"/>
              </w:rPr>
              <w:t>96 201,1</w:t>
            </w:r>
          </w:p>
        </w:tc>
        <w:tc>
          <w:tcPr>
            <w:tcW w:w="1274"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3"/>
              <w:jc w:val="right"/>
              <w:rPr>
                <w:sz w:val="20"/>
                <w:szCs w:val="20"/>
              </w:rPr>
            </w:pPr>
            <w:r w:rsidRPr="00467F9C">
              <w:rPr>
                <w:sz w:val="20"/>
                <w:szCs w:val="20"/>
              </w:rPr>
              <w:t>86 104,1</w:t>
            </w:r>
          </w:p>
        </w:tc>
        <w:tc>
          <w:tcPr>
            <w:tcW w:w="1136"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4"/>
              <w:jc w:val="right"/>
              <w:rPr>
                <w:sz w:val="20"/>
                <w:szCs w:val="20"/>
              </w:rPr>
            </w:pPr>
            <w:r w:rsidRPr="00467F9C">
              <w:rPr>
                <w:bCs/>
                <w:sz w:val="20"/>
                <w:szCs w:val="20"/>
              </w:rPr>
              <w:t>-10 097,0</w:t>
            </w:r>
          </w:p>
        </w:tc>
        <w:tc>
          <w:tcPr>
            <w:tcW w:w="1377"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89,5</w:t>
            </w:r>
          </w:p>
        </w:tc>
        <w:tc>
          <w:tcPr>
            <w:tcW w:w="958"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0,2</w:t>
            </w:r>
          </w:p>
        </w:tc>
      </w:tr>
      <w:tr w:rsidR="00A25B1F" w:rsidRPr="00467F9C" w:rsidTr="001327FA">
        <w:trPr>
          <w:trHeight w:val="4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A25B1F" w:rsidRDefault="00A25B1F" w:rsidP="00191861">
            <w:pPr>
              <w:rPr>
                <w:sz w:val="20"/>
                <w:szCs w:val="20"/>
              </w:rPr>
            </w:pPr>
            <w:r w:rsidRPr="00467F9C">
              <w:rPr>
                <w:sz w:val="20"/>
                <w:szCs w:val="20"/>
              </w:rPr>
              <w:t>920 Комитет по охране объектов культурного наследия</w:t>
            </w:r>
          </w:p>
          <w:p w:rsidR="001327FA" w:rsidRPr="001327FA" w:rsidRDefault="001327FA" w:rsidP="00191861">
            <w:pPr>
              <w:rPr>
                <w:sz w:val="4"/>
                <w:szCs w:val="4"/>
              </w:rPr>
            </w:pPr>
          </w:p>
        </w:tc>
        <w:tc>
          <w:tcPr>
            <w:tcW w:w="1282"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right"/>
              <w:rPr>
                <w:sz w:val="20"/>
                <w:szCs w:val="20"/>
              </w:rPr>
            </w:pPr>
            <w:r w:rsidRPr="00467F9C">
              <w:rPr>
                <w:sz w:val="20"/>
                <w:szCs w:val="20"/>
              </w:rPr>
              <w:t>19 351,9</w:t>
            </w:r>
          </w:p>
        </w:tc>
        <w:tc>
          <w:tcPr>
            <w:tcW w:w="1274"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3"/>
              <w:jc w:val="right"/>
              <w:rPr>
                <w:sz w:val="20"/>
                <w:szCs w:val="20"/>
              </w:rPr>
            </w:pPr>
            <w:r w:rsidRPr="00467F9C">
              <w:rPr>
                <w:sz w:val="20"/>
                <w:szCs w:val="20"/>
              </w:rPr>
              <w:t>19 192,7</w:t>
            </w:r>
          </w:p>
        </w:tc>
        <w:tc>
          <w:tcPr>
            <w:tcW w:w="1136"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327FA">
            <w:pPr>
              <w:ind w:left="-104"/>
              <w:jc w:val="right"/>
              <w:rPr>
                <w:sz w:val="20"/>
                <w:szCs w:val="20"/>
              </w:rPr>
            </w:pPr>
            <w:r w:rsidRPr="00467F9C">
              <w:rPr>
                <w:bCs/>
                <w:sz w:val="20"/>
                <w:szCs w:val="20"/>
              </w:rPr>
              <w:t>-159,2</w:t>
            </w:r>
          </w:p>
        </w:tc>
        <w:tc>
          <w:tcPr>
            <w:tcW w:w="1377"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99,2</w:t>
            </w:r>
          </w:p>
        </w:tc>
        <w:tc>
          <w:tcPr>
            <w:tcW w:w="958" w:type="dxa"/>
            <w:tcBorders>
              <w:top w:val="nil"/>
              <w:left w:val="nil"/>
              <w:bottom w:val="single" w:sz="4" w:space="0" w:color="auto"/>
              <w:right w:val="single" w:sz="4" w:space="0" w:color="auto"/>
            </w:tcBorders>
            <w:shd w:val="clear" w:color="auto" w:fill="auto"/>
            <w:vAlign w:val="center"/>
            <w:hideMark/>
          </w:tcPr>
          <w:p w:rsidR="00A25B1F" w:rsidRPr="00467F9C" w:rsidRDefault="00A25B1F" w:rsidP="00191861">
            <w:pPr>
              <w:jc w:val="center"/>
              <w:rPr>
                <w:sz w:val="20"/>
                <w:szCs w:val="20"/>
              </w:rPr>
            </w:pPr>
            <w:r w:rsidRPr="00467F9C">
              <w:rPr>
                <w:sz w:val="20"/>
                <w:szCs w:val="20"/>
              </w:rPr>
              <w:t>0,1</w:t>
            </w:r>
          </w:p>
        </w:tc>
      </w:tr>
    </w:tbl>
    <w:p w:rsidR="00A25B1F" w:rsidRPr="00467F9C" w:rsidRDefault="00A25B1F" w:rsidP="00191861">
      <w:pPr>
        <w:autoSpaceDE w:val="0"/>
        <w:autoSpaceDN w:val="0"/>
        <w:adjustRightInd w:val="0"/>
        <w:spacing w:before="120"/>
        <w:ind w:firstLine="709"/>
        <w:jc w:val="both"/>
        <w:rPr>
          <w:sz w:val="28"/>
          <w:szCs w:val="28"/>
        </w:rPr>
      </w:pPr>
      <w:r w:rsidRPr="00467F9C">
        <w:rPr>
          <w:sz w:val="28"/>
          <w:szCs w:val="28"/>
        </w:rPr>
        <w:t>Расходы главных распорядителей в отчетном периоде составили 54 604 715,7 тыс. рублей или 97,2% плановых назначений, утвержденных сводной бюджетной росписью.</w:t>
      </w:r>
    </w:p>
    <w:p w:rsidR="00A25B1F" w:rsidRPr="00467F9C" w:rsidRDefault="00A25B1F" w:rsidP="00191861">
      <w:pPr>
        <w:autoSpaceDE w:val="0"/>
        <w:autoSpaceDN w:val="0"/>
        <w:adjustRightInd w:val="0"/>
        <w:ind w:firstLine="709"/>
        <w:jc w:val="both"/>
        <w:rPr>
          <w:sz w:val="28"/>
          <w:szCs w:val="28"/>
        </w:rPr>
      </w:pPr>
      <w:r w:rsidRPr="00467F9C">
        <w:rPr>
          <w:sz w:val="28"/>
          <w:szCs w:val="28"/>
        </w:rPr>
        <w:t xml:space="preserve">Основную долю окружного бюджета занимают расходы четырех главных распорядителей: Департамента промышленной политики (51,6%), Департамента финансов (12,2%), Департамента образования (11,7%) и Департамента здравоохранения (7,7%). </w:t>
      </w:r>
    </w:p>
    <w:p w:rsidR="00A25B1F" w:rsidRPr="00467F9C" w:rsidRDefault="00A25B1F" w:rsidP="00191861">
      <w:pPr>
        <w:autoSpaceDE w:val="0"/>
        <w:autoSpaceDN w:val="0"/>
        <w:adjustRightInd w:val="0"/>
        <w:ind w:firstLine="709"/>
        <w:jc w:val="both"/>
        <w:rPr>
          <w:sz w:val="28"/>
          <w:szCs w:val="28"/>
        </w:rPr>
      </w:pPr>
      <w:r w:rsidRPr="00467F9C">
        <w:rPr>
          <w:sz w:val="28"/>
          <w:szCs w:val="28"/>
        </w:rPr>
        <w:t>Удельный вес в общем объеме расходов окружного бюджета остальных главных распорядителей составляет менее 17%.</w:t>
      </w:r>
    </w:p>
    <w:p w:rsidR="00A25B1F" w:rsidRPr="00467F9C" w:rsidRDefault="00A25B1F" w:rsidP="00191861">
      <w:pPr>
        <w:autoSpaceDE w:val="0"/>
        <w:autoSpaceDN w:val="0"/>
        <w:adjustRightInd w:val="0"/>
        <w:ind w:firstLine="709"/>
        <w:jc w:val="both"/>
        <w:rPr>
          <w:sz w:val="28"/>
          <w:szCs w:val="28"/>
        </w:rPr>
      </w:pPr>
      <w:bookmarkStart w:id="24" w:name="_Hlk39170428"/>
      <w:r w:rsidRPr="00467F9C">
        <w:rPr>
          <w:sz w:val="28"/>
          <w:szCs w:val="28"/>
        </w:rPr>
        <w:t xml:space="preserve">По результатам проверки бюджетной отчетности главных администраторов средств окружного бюджета за 2021 год </w:t>
      </w:r>
      <w:r w:rsidRPr="00467F9C">
        <w:rPr>
          <w:bCs/>
          <w:sz w:val="28"/>
          <w:szCs w:val="28"/>
        </w:rPr>
        <w:t>в части исполнения окружного бюджета установлено 115</w:t>
      </w:r>
      <w:r w:rsidRPr="00467F9C">
        <w:rPr>
          <w:sz w:val="28"/>
          <w:szCs w:val="28"/>
        </w:rPr>
        <w:t xml:space="preserve"> процедурных нарушений, не имеющих финансовой оценки, и 37 нарушений, финансовая оценка которых составила 15 269,3 тыс. рублей:</w:t>
      </w:r>
    </w:p>
    <w:p w:rsidR="00A25B1F" w:rsidRPr="00467F9C" w:rsidRDefault="00A25B1F" w:rsidP="00191861">
      <w:pPr>
        <w:autoSpaceDE w:val="0"/>
        <w:autoSpaceDN w:val="0"/>
        <w:adjustRightInd w:val="0"/>
        <w:ind w:firstLine="709"/>
        <w:jc w:val="both"/>
        <w:rPr>
          <w:bCs/>
          <w:sz w:val="28"/>
          <w:szCs w:val="28"/>
        </w:rPr>
      </w:pPr>
      <w:r w:rsidRPr="00467F9C">
        <w:rPr>
          <w:sz w:val="28"/>
          <w:szCs w:val="28"/>
        </w:rPr>
        <w:t>- н</w:t>
      </w:r>
      <w:r w:rsidRPr="00467F9C">
        <w:rPr>
          <w:bCs/>
          <w:sz w:val="28"/>
          <w:szCs w:val="28"/>
        </w:rPr>
        <w:t xml:space="preserve">арушение порядка формирования и (или) финансового обеспечения выполнения государственного задания на оказание государственных услуг (выполнение работ) государственными учреждениями (8) – </w:t>
      </w:r>
      <w:r w:rsidRPr="00467F9C">
        <w:rPr>
          <w:sz w:val="28"/>
          <w:szCs w:val="28"/>
        </w:rPr>
        <w:t>Департамент промышленной политики (2), Департамент социальной политики (4), Департамент здравоохранения (2)</w:t>
      </w:r>
      <w:r w:rsidRPr="00467F9C">
        <w:rPr>
          <w:bCs/>
          <w:sz w:val="28"/>
          <w:szCs w:val="28"/>
        </w:rPr>
        <w:t>;</w:t>
      </w:r>
    </w:p>
    <w:p w:rsidR="00A25B1F" w:rsidRPr="00467F9C" w:rsidRDefault="00A25B1F" w:rsidP="00191861">
      <w:pPr>
        <w:autoSpaceDE w:val="0"/>
        <w:autoSpaceDN w:val="0"/>
        <w:adjustRightInd w:val="0"/>
        <w:ind w:firstLine="709"/>
        <w:jc w:val="both"/>
        <w:rPr>
          <w:sz w:val="28"/>
          <w:szCs w:val="28"/>
        </w:rPr>
      </w:pPr>
      <w:r w:rsidRPr="00467F9C">
        <w:rPr>
          <w:bCs/>
          <w:sz w:val="28"/>
          <w:szCs w:val="28"/>
        </w:rPr>
        <w:t xml:space="preserve">- нарушение порядка и условий предоставления субсидий государственным бюджетным и автономным учреждениям на иные цели (101) – </w:t>
      </w:r>
      <w:r w:rsidRPr="00467F9C">
        <w:rPr>
          <w:sz w:val="28"/>
          <w:szCs w:val="28"/>
        </w:rPr>
        <w:t>Департамент здравоохранения (36), Департамент образования (65);</w:t>
      </w:r>
    </w:p>
    <w:p w:rsidR="00A25B1F" w:rsidRPr="00467F9C" w:rsidRDefault="00A25B1F" w:rsidP="00191861">
      <w:pPr>
        <w:autoSpaceDE w:val="0"/>
        <w:autoSpaceDN w:val="0"/>
        <w:adjustRightInd w:val="0"/>
        <w:ind w:firstLine="709"/>
        <w:jc w:val="both"/>
        <w:rPr>
          <w:sz w:val="28"/>
          <w:szCs w:val="28"/>
        </w:rPr>
      </w:pPr>
      <w:r w:rsidRPr="00467F9C">
        <w:rPr>
          <w:bCs/>
          <w:sz w:val="28"/>
          <w:szCs w:val="28"/>
        </w:rPr>
        <w:t xml:space="preserve">- нарушение порядка и условий предоставления субсидий иным некоммерческим организациям, не являющимся государственными (муниципальными) учреждениями (13) – </w:t>
      </w:r>
      <w:r w:rsidRPr="00467F9C">
        <w:rPr>
          <w:sz w:val="28"/>
          <w:szCs w:val="28"/>
        </w:rPr>
        <w:t>Департамент социальной политики (8), Департамент природных ресурсов (2), Управление по обеспечению деятельности мировых судей (3);</w:t>
      </w:r>
    </w:p>
    <w:p w:rsidR="00A25B1F" w:rsidRPr="00467F9C" w:rsidRDefault="00A25B1F" w:rsidP="00191861">
      <w:pPr>
        <w:autoSpaceDE w:val="0"/>
        <w:autoSpaceDN w:val="0"/>
        <w:adjustRightInd w:val="0"/>
        <w:ind w:firstLine="709"/>
        <w:jc w:val="both"/>
        <w:rPr>
          <w:sz w:val="28"/>
          <w:szCs w:val="28"/>
        </w:rPr>
      </w:pPr>
      <w:r w:rsidRPr="00467F9C">
        <w:rPr>
          <w:bCs/>
          <w:sz w:val="28"/>
          <w:szCs w:val="28"/>
        </w:rPr>
        <w:t xml:space="preserve">- представление с нарушением сроков главными администраторами бюджетных средств годовой бюджетной отчетности в Счетную палату (1) – </w:t>
      </w:r>
      <w:r w:rsidRPr="00467F9C">
        <w:rPr>
          <w:sz w:val="28"/>
          <w:szCs w:val="28"/>
        </w:rPr>
        <w:t>Департамент здравоохранения;</w:t>
      </w:r>
    </w:p>
    <w:p w:rsidR="00A25B1F" w:rsidRPr="00467F9C" w:rsidRDefault="00A25B1F" w:rsidP="00191861">
      <w:pPr>
        <w:autoSpaceDE w:val="0"/>
        <w:autoSpaceDN w:val="0"/>
        <w:adjustRightInd w:val="0"/>
        <w:ind w:firstLine="709"/>
        <w:jc w:val="both"/>
        <w:rPr>
          <w:sz w:val="28"/>
          <w:szCs w:val="28"/>
        </w:rPr>
      </w:pPr>
      <w:r w:rsidRPr="00467F9C">
        <w:rPr>
          <w:bCs/>
          <w:sz w:val="28"/>
          <w:szCs w:val="28"/>
        </w:rPr>
        <w:t xml:space="preserve">- ненадлежащее осуществление бюджетных полномочий главного распорядителя бюджетных средств (2) – </w:t>
      </w:r>
      <w:r w:rsidRPr="00467F9C">
        <w:rPr>
          <w:sz w:val="28"/>
          <w:szCs w:val="28"/>
        </w:rPr>
        <w:t>Департамент промышленной политики</w:t>
      </w:r>
      <w:r w:rsidRPr="00467F9C">
        <w:rPr>
          <w:bCs/>
          <w:sz w:val="28"/>
          <w:szCs w:val="28"/>
        </w:rPr>
        <w:t xml:space="preserve"> (1), </w:t>
      </w:r>
      <w:r w:rsidRPr="00467F9C">
        <w:rPr>
          <w:sz w:val="28"/>
          <w:szCs w:val="28"/>
        </w:rPr>
        <w:t>Департамент здравоохранения (1);</w:t>
      </w:r>
    </w:p>
    <w:p w:rsidR="00A25B1F" w:rsidRPr="00467F9C" w:rsidRDefault="00A25B1F" w:rsidP="00191861">
      <w:pPr>
        <w:autoSpaceDE w:val="0"/>
        <w:autoSpaceDN w:val="0"/>
        <w:adjustRightInd w:val="0"/>
        <w:ind w:firstLine="709"/>
        <w:jc w:val="both"/>
        <w:rPr>
          <w:sz w:val="28"/>
          <w:szCs w:val="28"/>
        </w:rPr>
      </w:pPr>
      <w:r w:rsidRPr="00467F9C">
        <w:rPr>
          <w:bCs/>
          <w:sz w:val="28"/>
          <w:szCs w:val="28"/>
        </w:rPr>
        <w:lastRenderedPageBreak/>
        <w:t xml:space="preserve">- ненадлежащее осуществление бюджетных полномочий главного администратора доходов окружного бюджета (27), из них: </w:t>
      </w:r>
      <w:r w:rsidRPr="00467F9C">
        <w:rPr>
          <w:sz w:val="28"/>
          <w:szCs w:val="28"/>
        </w:rPr>
        <w:t>Департамент здравоохранения (8), Избирательная комиссия (6), Департамент образования (3).</w:t>
      </w:r>
    </w:p>
    <w:p w:rsidR="00A25B1F" w:rsidRPr="00467F9C" w:rsidRDefault="00A25B1F" w:rsidP="00191861">
      <w:pPr>
        <w:widowControl w:val="0"/>
        <w:tabs>
          <w:tab w:val="left" w:pos="567"/>
        </w:tabs>
        <w:suppressAutoHyphens/>
        <w:ind w:firstLine="709"/>
        <w:jc w:val="both"/>
        <w:rPr>
          <w:bCs/>
          <w:sz w:val="28"/>
          <w:szCs w:val="28"/>
        </w:rPr>
      </w:pPr>
      <w:r w:rsidRPr="00467F9C">
        <w:rPr>
          <w:bCs/>
          <w:sz w:val="28"/>
          <w:szCs w:val="28"/>
        </w:rPr>
        <w:t>Поверкой выявлено нерезультативное использование бюджетных средств в сумме 13 571,3 тыс. рублей, в том числе:</w:t>
      </w:r>
    </w:p>
    <w:p w:rsidR="00A25B1F" w:rsidRPr="00467F9C" w:rsidRDefault="00A25B1F" w:rsidP="00191861">
      <w:pPr>
        <w:autoSpaceDE w:val="0"/>
        <w:autoSpaceDN w:val="0"/>
        <w:adjustRightInd w:val="0"/>
        <w:ind w:firstLine="709"/>
        <w:jc w:val="both"/>
        <w:rPr>
          <w:bCs/>
          <w:sz w:val="28"/>
          <w:szCs w:val="28"/>
        </w:rPr>
      </w:pPr>
      <w:r w:rsidRPr="00467F9C">
        <w:rPr>
          <w:bCs/>
          <w:sz w:val="28"/>
          <w:szCs w:val="28"/>
        </w:rPr>
        <w:t xml:space="preserve">- 7 151,8 тыс. рублей – оплачены пени и штрафы (нарушение налогового законодательства, административные правонарушения, </w:t>
      </w:r>
      <w:r w:rsidRPr="00467F9C">
        <w:rPr>
          <w:sz w:val="28"/>
          <w:szCs w:val="28"/>
        </w:rPr>
        <w:t>нарушение санитарно-эпидемиологических требований, нарушение сроков исполнения обязательств заказчиком</w:t>
      </w:r>
      <w:r w:rsidRPr="00467F9C">
        <w:rPr>
          <w:bCs/>
          <w:sz w:val="28"/>
          <w:szCs w:val="28"/>
        </w:rPr>
        <w:t xml:space="preserve"> и иные), а также судебные издержки </w:t>
      </w:r>
      <w:r w:rsidRPr="00467F9C">
        <w:rPr>
          <w:sz w:val="28"/>
          <w:szCs w:val="28"/>
        </w:rPr>
        <w:t>(Департамент промышленной политики, Департамент социальной политики, Департамент финансов, Департамент сельского хозяйства, Управление гражданской защиты, Департамент здравоохранения, Департамент природных ресурсов)</w:t>
      </w:r>
      <w:r w:rsidRPr="00467F9C">
        <w:rPr>
          <w:bCs/>
          <w:sz w:val="28"/>
          <w:szCs w:val="28"/>
        </w:rPr>
        <w:t>;</w:t>
      </w:r>
    </w:p>
    <w:p w:rsidR="00A25B1F" w:rsidRPr="00467F9C" w:rsidRDefault="00A25B1F" w:rsidP="00191861">
      <w:pPr>
        <w:widowControl w:val="0"/>
        <w:tabs>
          <w:tab w:val="left" w:pos="567"/>
        </w:tabs>
        <w:suppressAutoHyphens/>
        <w:ind w:firstLine="709"/>
        <w:jc w:val="both"/>
        <w:rPr>
          <w:sz w:val="28"/>
          <w:szCs w:val="28"/>
        </w:rPr>
      </w:pPr>
      <w:r w:rsidRPr="00467F9C">
        <w:rPr>
          <w:bCs/>
          <w:sz w:val="28"/>
          <w:szCs w:val="28"/>
        </w:rPr>
        <w:t xml:space="preserve">- 46,7 тыс. рублей – </w:t>
      </w:r>
      <w:r w:rsidRPr="00467F9C">
        <w:rPr>
          <w:sz w:val="28"/>
          <w:szCs w:val="28"/>
        </w:rPr>
        <w:t>отвлечены в дебиторскую задолженность (переплата по налогу на прибыль) (Департамент природных ресурсов);</w:t>
      </w:r>
    </w:p>
    <w:p w:rsidR="00A25B1F" w:rsidRPr="00467F9C" w:rsidRDefault="00A25B1F" w:rsidP="00191861">
      <w:pPr>
        <w:autoSpaceDE w:val="0"/>
        <w:autoSpaceDN w:val="0"/>
        <w:adjustRightInd w:val="0"/>
        <w:ind w:firstLine="709"/>
        <w:jc w:val="both"/>
        <w:rPr>
          <w:strike/>
          <w:sz w:val="28"/>
          <w:szCs w:val="28"/>
        </w:rPr>
      </w:pPr>
      <w:r w:rsidRPr="00467F9C">
        <w:rPr>
          <w:sz w:val="28"/>
          <w:szCs w:val="28"/>
        </w:rPr>
        <w:t xml:space="preserve">- 6 372,8 тыс. рублей </w:t>
      </w:r>
      <w:r w:rsidRPr="00467F9C">
        <w:rPr>
          <w:spacing w:val="-4"/>
          <w:sz w:val="28"/>
          <w:szCs w:val="28"/>
        </w:rPr>
        <w:t xml:space="preserve">– </w:t>
      </w:r>
      <w:r w:rsidRPr="00467F9C">
        <w:rPr>
          <w:sz w:val="28"/>
          <w:szCs w:val="28"/>
        </w:rPr>
        <w:t>проектно-сметная документация объекта, строительство которого не началось, своевременно не использована и морально устарела, в связи с чем непригодна для строительства объекта (Департамент промышленной политики)</w:t>
      </w:r>
      <w:r w:rsidRPr="00467F9C">
        <w:rPr>
          <w:spacing w:val="-4"/>
          <w:sz w:val="28"/>
          <w:szCs w:val="28"/>
        </w:rPr>
        <w:t xml:space="preserve">. </w:t>
      </w:r>
    </w:p>
    <w:p w:rsidR="00A25B1F" w:rsidRPr="00467F9C" w:rsidRDefault="00A25B1F" w:rsidP="00191861">
      <w:pPr>
        <w:autoSpaceDE w:val="0"/>
        <w:autoSpaceDN w:val="0"/>
        <w:adjustRightInd w:val="0"/>
        <w:ind w:firstLine="709"/>
        <w:jc w:val="both"/>
        <w:outlineLvl w:val="0"/>
        <w:rPr>
          <w:sz w:val="28"/>
          <w:szCs w:val="28"/>
        </w:rPr>
      </w:pPr>
      <w:r w:rsidRPr="00467F9C">
        <w:rPr>
          <w:sz w:val="28"/>
          <w:szCs w:val="28"/>
        </w:rPr>
        <w:t xml:space="preserve">По результатам проверки бюджетной отчетности главных администраторов средств окружного бюджета за 2021 год составлено три протокола </w:t>
      </w:r>
      <w:r w:rsidRPr="00467F9C">
        <w:rPr>
          <w:bCs/>
          <w:sz w:val="28"/>
          <w:szCs w:val="28"/>
        </w:rPr>
        <w:t xml:space="preserve">об административных правонарушениях </w:t>
      </w:r>
      <w:r w:rsidRPr="00467F9C">
        <w:rPr>
          <w:sz w:val="28"/>
          <w:szCs w:val="28"/>
        </w:rPr>
        <w:t xml:space="preserve">по статье </w:t>
      </w:r>
      <w:r w:rsidRPr="00467F9C">
        <w:rPr>
          <w:bCs/>
          <w:sz w:val="28"/>
          <w:szCs w:val="28"/>
        </w:rPr>
        <w:t xml:space="preserve">15.15.5 </w:t>
      </w:r>
      <w:r w:rsidRPr="00467F9C">
        <w:rPr>
          <w:sz w:val="28"/>
          <w:szCs w:val="28"/>
          <w:lang w:eastAsia="ar-SA"/>
        </w:rPr>
        <w:t>Кодекса Российской Федерации об административных правонарушениях</w:t>
      </w:r>
      <w:r w:rsidRPr="00467F9C">
        <w:rPr>
          <w:bCs/>
          <w:sz w:val="28"/>
          <w:szCs w:val="28"/>
        </w:rPr>
        <w:t xml:space="preserve"> «Нарушение условий предоставления субсидий». Указанные протоколы направлены д</w:t>
      </w:r>
      <w:r w:rsidRPr="00467F9C">
        <w:rPr>
          <w:sz w:val="28"/>
          <w:szCs w:val="28"/>
        </w:rPr>
        <w:t xml:space="preserve">ля рассмотрения дел об административных правонарушениях в суд общей юрисдикции. </w:t>
      </w:r>
    </w:p>
    <w:p w:rsidR="00A25B1F" w:rsidRPr="00467F9C" w:rsidRDefault="00A25B1F" w:rsidP="00191861">
      <w:pPr>
        <w:spacing w:before="240" w:after="120"/>
        <w:ind w:right="-2"/>
        <w:jc w:val="center"/>
        <w:rPr>
          <w:b/>
          <w:sz w:val="28"/>
          <w:szCs w:val="28"/>
        </w:rPr>
      </w:pPr>
      <w:r w:rsidRPr="00467F9C">
        <w:rPr>
          <w:b/>
          <w:sz w:val="28"/>
          <w:szCs w:val="28"/>
        </w:rPr>
        <w:t>3. Анализ показателей годовой бухгалтерской отчетности.</w:t>
      </w:r>
    </w:p>
    <w:bookmarkEnd w:id="24"/>
    <w:p w:rsidR="00A25B1F" w:rsidRPr="00467F9C" w:rsidRDefault="00A25B1F" w:rsidP="00191861">
      <w:pPr>
        <w:autoSpaceDE w:val="0"/>
        <w:autoSpaceDN w:val="0"/>
        <w:adjustRightInd w:val="0"/>
        <w:ind w:firstLine="709"/>
        <w:jc w:val="both"/>
        <w:rPr>
          <w:sz w:val="28"/>
          <w:szCs w:val="28"/>
        </w:rPr>
      </w:pPr>
      <w:r w:rsidRPr="00467F9C">
        <w:rPr>
          <w:sz w:val="28"/>
          <w:szCs w:val="28"/>
        </w:rPr>
        <w:t>В ходе проверки показателей годовой бухгалтерской отчетности выявлено, что главными распорядителями средств окружного бюджета допускались нарушения единых требований к бюджетному (бухгалтерскому) учету, в том числе бюджетной, бухгалтерской (финансовой) отчетности (84 процедурных нарушений, не имеющих финансовой оценки, и 28 нарушений, финансовая оценка которых составила 3 348,0 тыс. рублей):</w:t>
      </w:r>
    </w:p>
    <w:p w:rsidR="00A25B1F" w:rsidRPr="00467F9C" w:rsidRDefault="00A25B1F" w:rsidP="00191861">
      <w:pPr>
        <w:autoSpaceDE w:val="0"/>
        <w:autoSpaceDN w:val="0"/>
        <w:adjustRightInd w:val="0"/>
        <w:ind w:firstLine="709"/>
        <w:jc w:val="both"/>
        <w:rPr>
          <w:sz w:val="28"/>
          <w:szCs w:val="28"/>
        </w:rPr>
      </w:pPr>
      <w:r w:rsidRPr="00467F9C">
        <w:rPr>
          <w:sz w:val="28"/>
          <w:szCs w:val="28"/>
        </w:rPr>
        <w:t>- нарушение требований организации ведения бухгалтерского учета, хранения документов бухгалтерского учета и требований по формированию учетной политики (16) – Департамент промышленной политики</w:t>
      </w:r>
      <w:r w:rsidRPr="00467F9C">
        <w:rPr>
          <w:bCs/>
          <w:sz w:val="28"/>
          <w:szCs w:val="28"/>
        </w:rPr>
        <w:t xml:space="preserve"> (1), </w:t>
      </w:r>
      <w:r w:rsidRPr="00467F9C">
        <w:rPr>
          <w:sz w:val="28"/>
          <w:szCs w:val="28"/>
        </w:rPr>
        <w:t>Департамент социальной политики (2), Управление гражданской защиты (1), Департамент здравоохранения (1), Избирательная комиссия (2), Департамент природных ресурсов (2), Департаментом культуры (1), Департамент образования (2), Управление по обеспечению деятельности мировых судей (4);</w:t>
      </w:r>
    </w:p>
    <w:p w:rsidR="00A25B1F" w:rsidRPr="00467F9C" w:rsidRDefault="00A25B1F" w:rsidP="00191861">
      <w:pPr>
        <w:autoSpaceDE w:val="0"/>
        <w:autoSpaceDN w:val="0"/>
        <w:adjustRightInd w:val="0"/>
        <w:ind w:firstLine="709"/>
        <w:jc w:val="both"/>
        <w:rPr>
          <w:sz w:val="28"/>
          <w:szCs w:val="28"/>
        </w:rPr>
      </w:pPr>
      <w:r w:rsidRPr="00467F9C">
        <w:rPr>
          <w:sz w:val="28"/>
          <w:szCs w:val="28"/>
        </w:rPr>
        <w:t>- нарушение требований, предъявляемых к организации и осуществлению внутреннего контроля фактов хозяйственной жизни экономического субъекта (32) – Департамент промышленной политики</w:t>
      </w:r>
      <w:r w:rsidRPr="00467F9C">
        <w:rPr>
          <w:bCs/>
          <w:sz w:val="28"/>
          <w:szCs w:val="28"/>
        </w:rPr>
        <w:t xml:space="preserve"> (13), </w:t>
      </w:r>
      <w:r w:rsidRPr="00467F9C">
        <w:rPr>
          <w:sz w:val="28"/>
          <w:szCs w:val="28"/>
        </w:rPr>
        <w:t>Департамент социальной политики (1), Департамент финансов (3), Департамент сельского хозяйства (1), Управление гражданской защиты (1), Департамент здравоохранения (5), Департамент природных ресурсов (3), Департамент образования (5);</w:t>
      </w:r>
    </w:p>
    <w:p w:rsidR="00A25B1F" w:rsidRPr="00467F9C" w:rsidRDefault="00A25B1F" w:rsidP="00191861">
      <w:pPr>
        <w:autoSpaceDE w:val="0"/>
        <w:autoSpaceDN w:val="0"/>
        <w:adjustRightInd w:val="0"/>
        <w:ind w:firstLine="709"/>
        <w:jc w:val="both"/>
        <w:rPr>
          <w:sz w:val="28"/>
          <w:szCs w:val="28"/>
        </w:rPr>
      </w:pPr>
      <w:r w:rsidRPr="00467F9C">
        <w:rPr>
          <w:sz w:val="28"/>
          <w:szCs w:val="28"/>
        </w:rPr>
        <w:lastRenderedPageBreak/>
        <w:t>- нарушение общих требований к бюджетной, бухгалтерской (финансовой) отчетности экономического субъекта, в том числе к ее составу (36) – Департамент здравоохранения (30), Департамент природных ресурсов (6);</w:t>
      </w:r>
    </w:p>
    <w:p w:rsidR="00A25B1F" w:rsidRPr="00467F9C" w:rsidRDefault="00A25B1F" w:rsidP="00191861">
      <w:pPr>
        <w:autoSpaceDE w:val="0"/>
        <w:autoSpaceDN w:val="0"/>
        <w:adjustRightInd w:val="0"/>
        <w:ind w:firstLine="709"/>
        <w:jc w:val="both"/>
        <w:rPr>
          <w:sz w:val="28"/>
          <w:szCs w:val="28"/>
        </w:rPr>
      </w:pPr>
      <w:r w:rsidRPr="00467F9C">
        <w:rPr>
          <w:sz w:val="28"/>
          <w:szCs w:val="28"/>
        </w:rPr>
        <w:t>- нарушение требований, предъявляемых к правилам ведения бюджетного (бухгалтерского) учета – Департамент здравоохранения (28).</w:t>
      </w:r>
    </w:p>
    <w:p w:rsidR="00A25B1F" w:rsidRPr="00467F9C" w:rsidRDefault="00A25B1F" w:rsidP="00191861">
      <w:pPr>
        <w:pStyle w:val="31"/>
        <w:widowControl w:val="0"/>
        <w:autoSpaceDE w:val="0"/>
        <w:autoSpaceDN w:val="0"/>
        <w:adjustRightInd w:val="0"/>
        <w:spacing w:before="240"/>
        <w:rPr>
          <w:sz w:val="28"/>
          <w:szCs w:val="28"/>
        </w:rPr>
      </w:pPr>
      <w:r w:rsidRPr="00467F9C">
        <w:rPr>
          <w:b/>
          <w:sz w:val="28"/>
          <w:szCs w:val="28"/>
        </w:rPr>
        <w:t>Возражения или замечания руководителей объектов контрольного мероприятия</w:t>
      </w:r>
    </w:p>
    <w:p w:rsidR="00A25B1F" w:rsidRPr="00467F9C" w:rsidRDefault="00A25B1F" w:rsidP="00191861">
      <w:pPr>
        <w:pStyle w:val="aff1"/>
        <w:spacing w:after="0" w:line="240" w:lineRule="auto"/>
        <w:ind w:firstLine="709"/>
        <w:jc w:val="both"/>
        <w:rPr>
          <w:strike/>
          <w:sz w:val="28"/>
          <w:szCs w:val="28"/>
        </w:rPr>
      </w:pPr>
      <w:r w:rsidRPr="00467F9C">
        <w:rPr>
          <w:sz w:val="28"/>
          <w:szCs w:val="28"/>
        </w:rPr>
        <w:t>Акты по результатам контрольного мероприятия подписаны без разногласий:</w:t>
      </w:r>
    </w:p>
    <w:p w:rsidR="00A25B1F" w:rsidRPr="00467F9C" w:rsidRDefault="00A25B1F" w:rsidP="00191861">
      <w:pPr>
        <w:ind w:firstLine="709"/>
        <w:jc w:val="both"/>
        <w:rPr>
          <w:sz w:val="28"/>
          <w:szCs w:val="28"/>
        </w:rPr>
      </w:pPr>
      <w:r w:rsidRPr="00467F9C">
        <w:rPr>
          <w:sz w:val="28"/>
          <w:szCs w:val="28"/>
        </w:rPr>
        <w:t>- от 28 апреля 2022 года – объект Департамент промышленной политики Чукотского автономного округа;</w:t>
      </w:r>
    </w:p>
    <w:p w:rsidR="00A25B1F" w:rsidRPr="00467F9C" w:rsidRDefault="00A25B1F" w:rsidP="00191861">
      <w:pPr>
        <w:ind w:firstLine="709"/>
        <w:jc w:val="both"/>
        <w:rPr>
          <w:sz w:val="28"/>
          <w:szCs w:val="28"/>
        </w:rPr>
      </w:pPr>
      <w:r w:rsidRPr="00467F9C">
        <w:rPr>
          <w:sz w:val="28"/>
          <w:szCs w:val="28"/>
        </w:rPr>
        <w:t>- от 22 апреля 2022 года – объект Департамент социальной политики Чукотского автономного округа;</w:t>
      </w:r>
    </w:p>
    <w:p w:rsidR="00A25B1F" w:rsidRPr="00467F9C" w:rsidRDefault="00A25B1F" w:rsidP="00191861">
      <w:pPr>
        <w:ind w:firstLine="709"/>
        <w:jc w:val="both"/>
        <w:rPr>
          <w:sz w:val="28"/>
          <w:szCs w:val="28"/>
        </w:rPr>
      </w:pPr>
      <w:r w:rsidRPr="00467F9C">
        <w:rPr>
          <w:sz w:val="28"/>
          <w:szCs w:val="28"/>
        </w:rPr>
        <w:t>- от 28 апреля 2022 года – объект Департамент финансов, экономики и имущественных отношений Чукотского автономного округа;</w:t>
      </w:r>
    </w:p>
    <w:p w:rsidR="00A25B1F" w:rsidRPr="00467F9C" w:rsidRDefault="00A25B1F" w:rsidP="00191861">
      <w:pPr>
        <w:ind w:firstLine="709"/>
        <w:jc w:val="both"/>
        <w:rPr>
          <w:sz w:val="28"/>
          <w:szCs w:val="28"/>
        </w:rPr>
      </w:pPr>
      <w:r w:rsidRPr="00467F9C">
        <w:rPr>
          <w:sz w:val="28"/>
          <w:szCs w:val="28"/>
        </w:rPr>
        <w:t>- от 22 апреля 2022 года – объект Департамент сельского хозяйства и продовольствия Чукотского автономного округа;</w:t>
      </w:r>
    </w:p>
    <w:p w:rsidR="00A25B1F" w:rsidRPr="001327FA" w:rsidRDefault="00A25B1F" w:rsidP="00191861">
      <w:pPr>
        <w:ind w:firstLine="709"/>
        <w:jc w:val="both"/>
        <w:rPr>
          <w:sz w:val="28"/>
          <w:szCs w:val="28"/>
        </w:rPr>
      </w:pPr>
      <w:r w:rsidRPr="00467F9C">
        <w:rPr>
          <w:sz w:val="28"/>
          <w:szCs w:val="28"/>
        </w:rPr>
        <w:t xml:space="preserve">- от 15 апреля </w:t>
      </w:r>
      <w:r w:rsidRPr="001327FA">
        <w:rPr>
          <w:sz w:val="28"/>
          <w:szCs w:val="28"/>
        </w:rPr>
        <w:t>2022 года – объект Государственное казенное учреждение «Управление гражданской защиты и противопожарной службы Чукотского автономного округа»;</w:t>
      </w:r>
    </w:p>
    <w:p w:rsidR="00A25B1F" w:rsidRPr="001327FA" w:rsidRDefault="00A25B1F" w:rsidP="00191861">
      <w:pPr>
        <w:ind w:firstLine="709"/>
        <w:jc w:val="both"/>
        <w:rPr>
          <w:sz w:val="28"/>
          <w:szCs w:val="28"/>
        </w:rPr>
      </w:pPr>
      <w:r w:rsidRPr="001327FA">
        <w:rPr>
          <w:sz w:val="28"/>
          <w:szCs w:val="28"/>
        </w:rPr>
        <w:t>- - от 22 апреля 2022 года – объект Департамент здравоохранения Чукотского автономного округа;</w:t>
      </w:r>
    </w:p>
    <w:p w:rsidR="00A25B1F" w:rsidRPr="001327FA" w:rsidRDefault="00A25B1F" w:rsidP="00191861">
      <w:pPr>
        <w:pStyle w:val="ConsPlusNormal"/>
        <w:ind w:firstLine="709"/>
        <w:jc w:val="both"/>
        <w:rPr>
          <w:rFonts w:ascii="Times New Roman" w:hAnsi="Times New Roman" w:cs="Times New Roman"/>
          <w:sz w:val="28"/>
          <w:szCs w:val="28"/>
        </w:rPr>
      </w:pPr>
      <w:r w:rsidRPr="001327FA">
        <w:rPr>
          <w:rFonts w:ascii="Times New Roman" w:hAnsi="Times New Roman" w:cs="Times New Roman"/>
          <w:sz w:val="28"/>
          <w:szCs w:val="28"/>
        </w:rPr>
        <w:t>- от 22 апреля 2022 года – объект Аппарат Губернатора и Правительства Чукотского автономного округа;</w:t>
      </w:r>
    </w:p>
    <w:p w:rsidR="00A25B1F" w:rsidRPr="001327FA" w:rsidRDefault="00A25B1F" w:rsidP="00191861">
      <w:pPr>
        <w:pStyle w:val="ConsPlusNormal"/>
        <w:ind w:firstLine="709"/>
        <w:jc w:val="both"/>
        <w:rPr>
          <w:rFonts w:ascii="Times New Roman" w:hAnsi="Times New Roman" w:cs="Times New Roman"/>
          <w:sz w:val="28"/>
          <w:szCs w:val="28"/>
        </w:rPr>
      </w:pPr>
      <w:r w:rsidRPr="001327FA">
        <w:rPr>
          <w:rFonts w:ascii="Times New Roman" w:hAnsi="Times New Roman" w:cs="Times New Roman"/>
          <w:sz w:val="28"/>
          <w:szCs w:val="28"/>
        </w:rPr>
        <w:t xml:space="preserve">- от 15 апреля 2022 года – объект Счетная палата Чукотского автономного округа; </w:t>
      </w:r>
    </w:p>
    <w:p w:rsidR="00A25B1F" w:rsidRPr="001327FA" w:rsidRDefault="00A25B1F" w:rsidP="00191861">
      <w:pPr>
        <w:pStyle w:val="ConsPlusNormal"/>
        <w:ind w:firstLine="709"/>
        <w:jc w:val="both"/>
        <w:rPr>
          <w:rFonts w:ascii="Times New Roman" w:hAnsi="Times New Roman" w:cs="Times New Roman"/>
          <w:sz w:val="28"/>
          <w:szCs w:val="28"/>
        </w:rPr>
      </w:pPr>
      <w:r w:rsidRPr="001327FA">
        <w:rPr>
          <w:rFonts w:ascii="Times New Roman" w:hAnsi="Times New Roman" w:cs="Times New Roman"/>
          <w:sz w:val="28"/>
          <w:szCs w:val="28"/>
        </w:rPr>
        <w:t>- от 15 апреля 2022 года – объект Комитет государственного регулирования цен и тарифов Чукотского автономного округа;</w:t>
      </w:r>
    </w:p>
    <w:p w:rsidR="00A25B1F" w:rsidRPr="001327FA" w:rsidRDefault="00A25B1F" w:rsidP="00191861">
      <w:pPr>
        <w:pStyle w:val="ConsPlusNormal"/>
        <w:ind w:firstLine="709"/>
        <w:jc w:val="both"/>
        <w:rPr>
          <w:rFonts w:ascii="Times New Roman" w:hAnsi="Times New Roman" w:cs="Times New Roman"/>
          <w:sz w:val="28"/>
          <w:szCs w:val="28"/>
        </w:rPr>
      </w:pPr>
      <w:r w:rsidRPr="001327FA">
        <w:rPr>
          <w:rFonts w:ascii="Times New Roman" w:hAnsi="Times New Roman" w:cs="Times New Roman"/>
          <w:sz w:val="28"/>
          <w:szCs w:val="28"/>
        </w:rPr>
        <w:t>- от 15 апреля 2022 года – объект Избирательная комиссия Чукотского автономного округа;</w:t>
      </w:r>
    </w:p>
    <w:p w:rsidR="00A25B1F" w:rsidRPr="001327FA" w:rsidRDefault="00A25B1F" w:rsidP="00191861">
      <w:pPr>
        <w:pStyle w:val="ConsPlusNormal"/>
        <w:ind w:firstLine="709"/>
        <w:jc w:val="both"/>
        <w:rPr>
          <w:rFonts w:ascii="Times New Roman" w:hAnsi="Times New Roman" w:cs="Times New Roman"/>
          <w:sz w:val="28"/>
          <w:szCs w:val="28"/>
        </w:rPr>
      </w:pPr>
      <w:r w:rsidRPr="001327FA">
        <w:rPr>
          <w:rFonts w:ascii="Times New Roman" w:hAnsi="Times New Roman" w:cs="Times New Roman"/>
          <w:sz w:val="28"/>
          <w:szCs w:val="28"/>
        </w:rPr>
        <w:t>- от 15 апреля 2022 года – объект Дума Чукотского автономного округа;</w:t>
      </w:r>
    </w:p>
    <w:p w:rsidR="00A25B1F" w:rsidRPr="001327FA" w:rsidRDefault="00A25B1F" w:rsidP="00191861">
      <w:pPr>
        <w:pStyle w:val="ConsPlusNormal"/>
        <w:ind w:firstLine="709"/>
        <w:jc w:val="both"/>
        <w:rPr>
          <w:rFonts w:ascii="Times New Roman" w:hAnsi="Times New Roman" w:cs="Times New Roman"/>
          <w:sz w:val="28"/>
          <w:szCs w:val="28"/>
        </w:rPr>
      </w:pPr>
      <w:r w:rsidRPr="001327FA">
        <w:rPr>
          <w:rFonts w:ascii="Times New Roman" w:hAnsi="Times New Roman" w:cs="Times New Roman"/>
          <w:sz w:val="28"/>
          <w:szCs w:val="28"/>
        </w:rPr>
        <w:t>- от 22 апреля 2022 года – объект Департамент природных ресурсов и экологии Чукотского автономного округа;</w:t>
      </w:r>
    </w:p>
    <w:p w:rsidR="00A25B1F" w:rsidRPr="001327FA" w:rsidRDefault="00A25B1F" w:rsidP="00191861">
      <w:pPr>
        <w:pStyle w:val="ConsPlusNormal"/>
        <w:ind w:firstLine="709"/>
        <w:jc w:val="both"/>
        <w:rPr>
          <w:rFonts w:ascii="Times New Roman" w:hAnsi="Times New Roman" w:cs="Times New Roman"/>
          <w:sz w:val="28"/>
          <w:szCs w:val="28"/>
        </w:rPr>
      </w:pPr>
      <w:r w:rsidRPr="001327FA">
        <w:rPr>
          <w:rFonts w:ascii="Times New Roman" w:hAnsi="Times New Roman" w:cs="Times New Roman"/>
          <w:sz w:val="28"/>
          <w:szCs w:val="28"/>
        </w:rPr>
        <w:t>- от 22 апреля 2022 года – объект Департамент культуры, спорта и туризма Чукотского автономного округа;</w:t>
      </w:r>
    </w:p>
    <w:p w:rsidR="00A25B1F" w:rsidRPr="001327FA" w:rsidRDefault="00A25B1F" w:rsidP="00191861">
      <w:pPr>
        <w:pStyle w:val="ConsPlusNormal"/>
        <w:ind w:firstLine="709"/>
        <w:jc w:val="both"/>
        <w:rPr>
          <w:rFonts w:ascii="Times New Roman" w:hAnsi="Times New Roman" w:cs="Times New Roman"/>
          <w:sz w:val="28"/>
          <w:szCs w:val="28"/>
        </w:rPr>
      </w:pPr>
      <w:r w:rsidRPr="001327FA">
        <w:rPr>
          <w:rFonts w:ascii="Times New Roman" w:hAnsi="Times New Roman" w:cs="Times New Roman"/>
          <w:sz w:val="28"/>
          <w:szCs w:val="28"/>
        </w:rPr>
        <w:t>- от 22 апреля 2022 года – объект Департамент образования и науки Чукотского автономного округа;</w:t>
      </w:r>
    </w:p>
    <w:p w:rsidR="00A25B1F" w:rsidRPr="001327FA" w:rsidRDefault="00A25B1F" w:rsidP="00191861">
      <w:pPr>
        <w:pStyle w:val="ConsPlusNormal"/>
        <w:ind w:firstLine="709"/>
        <w:jc w:val="both"/>
        <w:rPr>
          <w:rFonts w:ascii="Times New Roman" w:hAnsi="Times New Roman" w:cs="Times New Roman"/>
          <w:sz w:val="28"/>
          <w:szCs w:val="28"/>
        </w:rPr>
      </w:pPr>
      <w:r w:rsidRPr="001327FA">
        <w:rPr>
          <w:rFonts w:ascii="Times New Roman" w:hAnsi="Times New Roman" w:cs="Times New Roman"/>
          <w:sz w:val="28"/>
          <w:szCs w:val="28"/>
        </w:rPr>
        <w:t>- от 22 апреля 2022 года – объект Управление по обеспечению деятельности мировых судей и юридических консультаций Чукотского автономного округа;</w:t>
      </w:r>
    </w:p>
    <w:p w:rsidR="00A25B1F" w:rsidRPr="001327FA" w:rsidRDefault="00A25B1F" w:rsidP="00191861">
      <w:pPr>
        <w:pStyle w:val="ConsPlusNormal"/>
        <w:ind w:firstLine="709"/>
        <w:jc w:val="both"/>
        <w:rPr>
          <w:rFonts w:ascii="Times New Roman" w:hAnsi="Times New Roman" w:cs="Times New Roman"/>
          <w:sz w:val="28"/>
          <w:szCs w:val="28"/>
        </w:rPr>
      </w:pPr>
      <w:r w:rsidRPr="001327FA">
        <w:rPr>
          <w:rFonts w:ascii="Times New Roman" w:hAnsi="Times New Roman" w:cs="Times New Roman"/>
          <w:sz w:val="28"/>
          <w:szCs w:val="28"/>
        </w:rPr>
        <w:t>- от 15 апреля 2022 года – объект Комитет по охране объектов культурного наследия Чукотского автономного округа.</w:t>
      </w:r>
    </w:p>
    <w:p w:rsidR="001327FA" w:rsidRDefault="001327FA" w:rsidP="00191861">
      <w:pPr>
        <w:spacing w:before="240" w:after="240"/>
        <w:jc w:val="center"/>
        <w:rPr>
          <w:b/>
          <w:sz w:val="28"/>
          <w:szCs w:val="28"/>
        </w:rPr>
      </w:pPr>
    </w:p>
    <w:p w:rsidR="001327FA" w:rsidRDefault="001327FA" w:rsidP="00191861">
      <w:pPr>
        <w:spacing w:before="240" w:after="240"/>
        <w:jc w:val="center"/>
        <w:rPr>
          <w:b/>
          <w:sz w:val="28"/>
          <w:szCs w:val="28"/>
        </w:rPr>
      </w:pPr>
    </w:p>
    <w:p w:rsidR="00A25B1F" w:rsidRPr="00467F9C" w:rsidRDefault="00A25B1F" w:rsidP="00191861">
      <w:pPr>
        <w:spacing w:before="240" w:after="240"/>
        <w:jc w:val="center"/>
        <w:rPr>
          <w:b/>
          <w:sz w:val="28"/>
          <w:szCs w:val="28"/>
        </w:rPr>
      </w:pPr>
      <w:r w:rsidRPr="00467F9C">
        <w:rPr>
          <w:b/>
          <w:sz w:val="28"/>
          <w:szCs w:val="28"/>
        </w:rPr>
        <w:lastRenderedPageBreak/>
        <w:t>Выводы</w:t>
      </w:r>
    </w:p>
    <w:p w:rsidR="00A25B1F" w:rsidRPr="00467F9C" w:rsidRDefault="00A25B1F" w:rsidP="00191861">
      <w:pPr>
        <w:ind w:firstLine="709"/>
        <w:jc w:val="both"/>
        <w:rPr>
          <w:sz w:val="28"/>
          <w:szCs w:val="28"/>
        </w:rPr>
      </w:pPr>
      <w:bookmarkStart w:id="25" w:name="_Hlk103610690"/>
      <w:r w:rsidRPr="00467F9C">
        <w:rPr>
          <w:sz w:val="28"/>
          <w:szCs w:val="28"/>
        </w:rPr>
        <w:t>1. Внешняя проверка годовой бюджетной отчетности 16 главных распорядителей бюджетных средств за 2021 год проведена в соответствии со статьей 264.4 Бюджетного кодекса и статьей 41 Закона о бюджетном процессе.</w:t>
      </w:r>
    </w:p>
    <w:p w:rsidR="00A25B1F" w:rsidRPr="00467F9C" w:rsidRDefault="00A25B1F" w:rsidP="00191861">
      <w:pPr>
        <w:spacing w:before="120"/>
        <w:ind w:firstLine="709"/>
        <w:jc w:val="both"/>
        <w:rPr>
          <w:sz w:val="28"/>
          <w:szCs w:val="28"/>
        </w:rPr>
      </w:pPr>
      <w:r w:rsidRPr="00467F9C">
        <w:rPr>
          <w:sz w:val="28"/>
          <w:szCs w:val="28"/>
        </w:rPr>
        <w:t xml:space="preserve">2. Представленная годовая бюджетная отчетность по составу соответствует требованиям действующего законодательства. Показатели форм взаимоувязаны, расхождения не установлены. </w:t>
      </w:r>
    </w:p>
    <w:p w:rsidR="00A25B1F" w:rsidRPr="00467F9C" w:rsidRDefault="00A25B1F" w:rsidP="00191861">
      <w:pPr>
        <w:autoSpaceDE w:val="0"/>
        <w:autoSpaceDN w:val="0"/>
        <w:adjustRightInd w:val="0"/>
        <w:spacing w:before="120"/>
        <w:ind w:firstLine="709"/>
        <w:jc w:val="both"/>
        <w:rPr>
          <w:sz w:val="28"/>
          <w:szCs w:val="28"/>
        </w:rPr>
      </w:pPr>
      <w:r w:rsidRPr="00467F9C">
        <w:rPr>
          <w:sz w:val="28"/>
          <w:szCs w:val="28"/>
        </w:rPr>
        <w:t>3. В ходе проверки бюджетной отчетности главных администраторов средств окружного бюджета за 2021 год установлены нарушения бюджетного законодательства и требований к бюджетному (бухгалтерскому) учету и сдаче отчетности, выявлено 199 процедурных нарушений, не имеющих финансовой оценки, и 65 нарушений, финансовая оценка которых составила 18 618,2 тыс. рублей.</w:t>
      </w:r>
    </w:p>
    <w:p w:rsidR="00A25B1F" w:rsidRPr="00467F9C" w:rsidRDefault="00A25B1F" w:rsidP="00191861">
      <w:pPr>
        <w:autoSpaceDE w:val="0"/>
        <w:autoSpaceDN w:val="0"/>
        <w:adjustRightInd w:val="0"/>
        <w:ind w:firstLine="709"/>
        <w:jc w:val="both"/>
        <w:rPr>
          <w:sz w:val="28"/>
          <w:szCs w:val="28"/>
        </w:rPr>
      </w:pPr>
      <w:r w:rsidRPr="00467F9C">
        <w:rPr>
          <w:sz w:val="28"/>
          <w:szCs w:val="28"/>
        </w:rPr>
        <w:t xml:space="preserve">По результатам проверки бюджетной отчетности главных администраторов средств окружного бюджета за 2021 год составлено три протокола </w:t>
      </w:r>
      <w:r w:rsidRPr="00467F9C">
        <w:rPr>
          <w:bCs/>
          <w:sz w:val="28"/>
          <w:szCs w:val="28"/>
        </w:rPr>
        <w:t>об административных правонарушениях. Указанные протоколы направлены д</w:t>
      </w:r>
      <w:r w:rsidRPr="00467F9C">
        <w:rPr>
          <w:sz w:val="28"/>
          <w:szCs w:val="28"/>
        </w:rPr>
        <w:t xml:space="preserve">ля рассмотрения дел об административных правонарушениях в суд общей юрисдикции. </w:t>
      </w:r>
    </w:p>
    <w:p w:rsidR="00A25B1F" w:rsidRPr="00467F9C" w:rsidRDefault="00A25B1F" w:rsidP="00191861">
      <w:pPr>
        <w:widowControl w:val="0"/>
        <w:tabs>
          <w:tab w:val="left" w:pos="567"/>
        </w:tabs>
        <w:suppressAutoHyphens/>
        <w:ind w:firstLine="709"/>
        <w:jc w:val="both"/>
        <w:rPr>
          <w:strike/>
          <w:sz w:val="28"/>
          <w:szCs w:val="28"/>
        </w:rPr>
      </w:pPr>
      <w:r w:rsidRPr="00467F9C">
        <w:rPr>
          <w:bCs/>
          <w:sz w:val="28"/>
          <w:szCs w:val="28"/>
        </w:rPr>
        <w:t xml:space="preserve">Поверкой выявлено нерезультативные использование бюджетных средств в сумме 13 571,3 тыс. рублей. </w:t>
      </w:r>
    </w:p>
    <w:bookmarkEnd w:id="25"/>
    <w:p w:rsidR="00A25B1F" w:rsidRPr="00467F9C" w:rsidRDefault="00A25B1F" w:rsidP="00191861">
      <w:pPr>
        <w:spacing w:before="240" w:after="120"/>
        <w:jc w:val="center"/>
        <w:rPr>
          <w:b/>
          <w:sz w:val="28"/>
          <w:szCs w:val="28"/>
        </w:rPr>
      </w:pPr>
      <w:r w:rsidRPr="00467F9C">
        <w:rPr>
          <w:b/>
          <w:sz w:val="28"/>
          <w:szCs w:val="28"/>
        </w:rPr>
        <w:t>Предложения</w:t>
      </w:r>
    </w:p>
    <w:p w:rsidR="00A25B1F" w:rsidRPr="00467F9C" w:rsidRDefault="00A25B1F" w:rsidP="00191861">
      <w:pPr>
        <w:autoSpaceDE w:val="0"/>
        <w:autoSpaceDN w:val="0"/>
        <w:adjustRightInd w:val="0"/>
        <w:spacing w:before="120"/>
        <w:ind w:firstLine="709"/>
        <w:jc w:val="both"/>
        <w:rPr>
          <w:sz w:val="28"/>
          <w:szCs w:val="28"/>
        </w:rPr>
      </w:pPr>
      <w:r w:rsidRPr="00467F9C">
        <w:rPr>
          <w:bCs/>
          <w:sz w:val="28"/>
          <w:szCs w:val="28"/>
        </w:rPr>
        <w:t xml:space="preserve">Главным распорядителям бюджетных средств направить информационные письма </w:t>
      </w:r>
      <w:r w:rsidRPr="00467F9C">
        <w:rPr>
          <w:sz w:val="28"/>
          <w:szCs w:val="28"/>
        </w:rPr>
        <w:t>для принятия мер по устранению выявленных нарушений и недостатков</w:t>
      </w:r>
      <w:r w:rsidRPr="00467F9C">
        <w:rPr>
          <w:bCs/>
          <w:sz w:val="28"/>
          <w:szCs w:val="28"/>
        </w:rPr>
        <w:t>, допущенных при исполнении окружного бюджета и составлении годовой бюджетной отчетности.</w:t>
      </w:r>
    </w:p>
    <w:p w:rsidR="00A25B1F" w:rsidRPr="00467F9C" w:rsidRDefault="00A25B1F" w:rsidP="00191861">
      <w:pPr>
        <w:ind w:firstLine="709"/>
        <w:jc w:val="both"/>
        <w:rPr>
          <w:sz w:val="28"/>
          <w:szCs w:val="28"/>
        </w:rPr>
      </w:pPr>
    </w:p>
    <w:p w:rsidR="00A25B1F" w:rsidRPr="00467F9C" w:rsidRDefault="00A25B1F" w:rsidP="00191861">
      <w:pPr>
        <w:ind w:firstLine="709"/>
        <w:jc w:val="both"/>
        <w:rPr>
          <w:sz w:val="28"/>
          <w:szCs w:val="28"/>
        </w:rPr>
      </w:pPr>
    </w:p>
    <w:p w:rsidR="00A25B1F" w:rsidRPr="00467F9C" w:rsidRDefault="00A25B1F" w:rsidP="00191861">
      <w:pPr>
        <w:ind w:firstLine="709"/>
        <w:jc w:val="both"/>
        <w:rPr>
          <w:sz w:val="28"/>
          <w:szCs w:val="28"/>
        </w:rPr>
      </w:pPr>
    </w:p>
    <w:p w:rsidR="00A25B1F" w:rsidRPr="00467F9C" w:rsidRDefault="00A25B1F" w:rsidP="00191861">
      <w:pPr>
        <w:pStyle w:val="a7"/>
        <w:shd w:val="clear" w:color="auto" w:fill="FFFFFF"/>
        <w:spacing w:before="0" w:beforeAutospacing="0" w:after="0" w:afterAutospacing="0"/>
        <w:jc w:val="both"/>
        <w:rPr>
          <w:sz w:val="28"/>
          <w:szCs w:val="28"/>
        </w:rPr>
      </w:pPr>
      <w:r w:rsidRPr="00467F9C">
        <w:rPr>
          <w:sz w:val="28"/>
          <w:szCs w:val="28"/>
        </w:rPr>
        <w:t>Аудитор</w:t>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t xml:space="preserve">       </w:t>
      </w:r>
      <w:r w:rsidR="001327FA">
        <w:rPr>
          <w:sz w:val="28"/>
          <w:szCs w:val="28"/>
        </w:rPr>
        <w:t xml:space="preserve">    </w:t>
      </w:r>
      <w:r w:rsidRPr="00467F9C">
        <w:rPr>
          <w:sz w:val="28"/>
          <w:szCs w:val="28"/>
        </w:rPr>
        <w:t xml:space="preserve">    И.В. Бондаренко</w:t>
      </w:r>
    </w:p>
    <w:p w:rsidR="00A25B1F" w:rsidRPr="00467F9C" w:rsidRDefault="00A25B1F" w:rsidP="00191861">
      <w:pPr>
        <w:spacing w:after="200"/>
        <w:rPr>
          <w:sz w:val="10"/>
          <w:szCs w:val="10"/>
        </w:rPr>
      </w:pPr>
      <w:r w:rsidRPr="00467F9C">
        <w:rPr>
          <w:sz w:val="10"/>
          <w:szCs w:val="10"/>
        </w:rPr>
        <w:br w:type="page"/>
      </w:r>
    </w:p>
    <w:p w:rsidR="009E26F4" w:rsidRPr="00467F9C" w:rsidRDefault="009E26F4" w:rsidP="00191861">
      <w:pPr>
        <w:pStyle w:val="20"/>
        <w:keepNext w:val="0"/>
        <w:spacing w:before="0"/>
        <w:ind w:right="-284"/>
        <w:jc w:val="center"/>
        <w:rPr>
          <w:rFonts w:ascii="Times New Roman" w:hAnsi="Times New Roman" w:cs="Times New Roman"/>
          <w:bCs w:val="0"/>
          <w:i/>
          <w:iCs/>
          <w:caps/>
          <w:snapToGrid w:val="0"/>
          <w:color w:val="auto"/>
        </w:rPr>
      </w:pPr>
      <w:r w:rsidRPr="00467F9C">
        <w:rPr>
          <w:rFonts w:ascii="Times New Roman" w:hAnsi="Times New Roman" w:cs="Times New Roman"/>
          <w:bCs w:val="0"/>
          <w:caps/>
          <w:snapToGrid w:val="0"/>
          <w:color w:val="auto"/>
        </w:rPr>
        <w:lastRenderedPageBreak/>
        <w:t>Заключение</w:t>
      </w:r>
    </w:p>
    <w:p w:rsidR="009E26F4" w:rsidRPr="00467F9C" w:rsidRDefault="009E26F4" w:rsidP="00191861">
      <w:pPr>
        <w:jc w:val="center"/>
        <w:rPr>
          <w:b/>
          <w:bCs/>
          <w:sz w:val="28"/>
          <w:szCs w:val="28"/>
        </w:rPr>
      </w:pPr>
      <w:r w:rsidRPr="00467F9C">
        <w:rPr>
          <w:b/>
          <w:bCs/>
          <w:sz w:val="28"/>
          <w:szCs w:val="28"/>
        </w:rPr>
        <w:t>по результатам экспертно-аналитического мероприятия</w:t>
      </w:r>
    </w:p>
    <w:p w:rsidR="009E26F4" w:rsidRPr="00467F9C" w:rsidRDefault="009E26F4" w:rsidP="00191861">
      <w:pPr>
        <w:jc w:val="center"/>
        <w:rPr>
          <w:b/>
          <w:noProof/>
          <w:sz w:val="28"/>
          <w:szCs w:val="28"/>
        </w:rPr>
      </w:pPr>
      <w:r w:rsidRPr="00467F9C">
        <w:rPr>
          <w:sz w:val="28"/>
          <w:szCs w:val="28"/>
        </w:rPr>
        <w:t>«</w:t>
      </w:r>
      <w:r w:rsidRPr="00467F9C">
        <w:rPr>
          <w:b/>
          <w:noProof/>
          <w:sz w:val="28"/>
          <w:szCs w:val="28"/>
        </w:rPr>
        <w:t xml:space="preserve">Внешняя проверка годового отчета </w:t>
      </w:r>
    </w:p>
    <w:p w:rsidR="009E26F4" w:rsidRPr="00467F9C" w:rsidRDefault="009E26F4" w:rsidP="00191861">
      <w:pPr>
        <w:jc w:val="center"/>
        <w:rPr>
          <w:b/>
          <w:noProof/>
          <w:sz w:val="28"/>
          <w:szCs w:val="28"/>
        </w:rPr>
      </w:pPr>
      <w:r w:rsidRPr="00467F9C">
        <w:rPr>
          <w:b/>
          <w:noProof/>
          <w:sz w:val="28"/>
          <w:szCs w:val="28"/>
        </w:rPr>
        <w:t>об исполнении окружного бюджета за 2021 год»</w:t>
      </w:r>
    </w:p>
    <w:p w:rsidR="009E26F4" w:rsidRPr="00467F9C" w:rsidRDefault="009E26F4" w:rsidP="00191861">
      <w:pPr>
        <w:jc w:val="center"/>
        <w:rPr>
          <w:noProof/>
          <w:sz w:val="28"/>
          <w:szCs w:val="28"/>
        </w:rPr>
      </w:pPr>
    </w:p>
    <w:p w:rsidR="009E26F4" w:rsidRPr="00467F9C" w:rsidRDefault="009E26F4" w:rsidP="00191861">
      <w:pPr>
        <w:jc w:val="center"/>
        <w:rPr>
          <w:noProof/>
        </w:rPr>
      </w:pPr>
      <w:r w:rsidRPr="00467F9C">
        <w:rPr>
          <w:noProof/>
        </w:rPr>
        <w:t xml:space="preserve">утверждено Коллегией  Счетной палаты Чукотского автономного округа </w:t>
      </w:r>
    </w:p>
    <w:p w:rsidR="009E26F4" w:rsidRPr="00467F9C" w:rsidRDefault="009E26F4" w:rsidP="00191861">
      <w:pPr>
        <w:jc w:val="center"/>
        <w:rPr>
          <w:noProof/>
        </w:rPr>
      </w:pPr>
      <w:r w:rsidRPr="00467F9C">
        <w:rPr>
          <w:noProof/>
        </w:rPr>
        <w:t>(протокол от 16 мая 2022 года №9)</w:t>
      </w:r>
    </w:p>
    <w:p w:rsidR="009E26F4" w:rsidRPr="00467F9C" w:rsidRDefault="009E26F4" w:rsidP="00191861">
      <w:pPr>
        <w:spacing w:before="240" w:after="120"/>
        <w:jc w:val="center"/>
        <w:rPr>
          <w:b/>
          <w:sz w:val="28"/>
          <w:szCs w:val="28"/>
        </w:rPr>
      </w:pPr>
      <w:r w:rsidRPr="00467F9C">
        <w:rPr>
          <w:b/>
          <w:sz w:val="28"/>
          <w:szCs w:val="28"/>
        </w:rPr>
        <w:t>1. Общие положения</w:t>
      </w:r>
    </w:p>
    <w:p w:rsidR="009E26F4" w:rsidRPr="00467F9C" w:rsidRDefault="009E26F4" w:rsidP="00AF7E96">
      <w:pPr>
        <w:pStyle w:val="affc"/>
      </w:pPr>
      <w:r w:rsidRPr="00467F9C">
        <w:t>Заключение по результатам внешней проверки годового отчета об исполнении окружного бюджета за 2021 год подготовлено Счетной палатой Чукотского автономного округа (далее – Счетная палата) в соответствии с требованиями пункта 2 статьи 264.4 Бюджетного кодекса Российской Федерации (далее – Бюджетный кодекс), статьи 41 Закона о бюджетном процессе</w:t>
      </w:r>
      <w:r w:rsidRPr="00467F9C">
        <w:rPr>
          <w:rStyle w:val="ab"/>
        </w:rPr>
        <w:footnoteReference w:id="44"/>
      </w:r>
      <w:r w:rsidRPr="00467F9C">
        <w:t>, статьи 2 Закона о Счетной палате</w:t>
      </w:r>
      <w:r w:rsidRPr="00467F9C">
        <w:rPr>
          <w:rStyle w:val="ab"/>
        </w:rPr>
        <w:footnoteReference w:id="45"/>
      </w:r>
      <w:r w:rsidRPr="00467F9C">
        <w:t xml:space="preserve"> и иными нормативными правовыми актами Российской Федерации и Чукотского автономного округа, с использованием стандарта финансового контроля «Внешняя проверка годового отчета об исполнении окружного бюджета Чукотского автономного округа»</w:t>
      </w:r>
      <w:r w:rsidRPr="00467F9C">
        <w:rPr>
          <w:rStyle w:val="ab"/>
        </w:rPr>
        <w:footnoteReference w:id="46"/>
      </w:r>
      <w:r w:rsidRPr="00467F9C">
        <w:t xml:space="preserve">. </w:t>
      </w:r>
    </w:p>
    <w:p w:rsidR="009E26F4" w:rsidRPr="00467F9C" w:rsidRDefault="009E26F4" w:rsidP="00AF7E96">
      <w:pPr>
        <w:pStyle w:val="affc"/>
      </w:pPr>
      <w:r w:rsidRPr="00467F9C">
        <w:t>Отчет об исполнении окружного бюджета за 2021 год (далее – Отчет об исполнении окружного бюджета) представлен в Счетную палату в пределах срока, установленного пунктом 2 статьи 41 Закона о бюджетном процессе (не позднее 15 апреля), и в составе форм, предусмотренных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Pr="00467F9C">
        <w:rPr>
          <w:rStyle w:val="ab"/>
        </w:rPr>
        <w:footnoteReference w:id="47"/>
      </w:r>
      <w:r w:rsidRPr="00467F9C">
        <w:t>.</w:t>
      </w:r>
    </w:p>
    <w:p w:rsidR="009E26F4" w:rsidRPr="00467F9C" w:rsidRDefault="009E26F4" w:rsidP="00AF7E96">
      <w:pPr>
        <w:pStyle w:val="affc"/>
        <w:rPr>
          <w:bCs/>
        </w:rPr>
      </w:pPr>
      <w:r w:rsidRPr="00467F9C">
        <w:rPr>
          <w:bCs/>
        </w:rPr>
        <w:t xml:space="preserve">При подготовке Заключения использованы </w:t>
      </w:r>
      <w:r w:rsidRPr="00467F9C">
        <w:t xml:space="preserve">результаты внешней проверки годовой бюджетной отчетности 16 главных администраторов средств окружного бюджета, </w:t>
      </w:r>
      <w:r w:rsidRPr="00467F9C">
        <w:rPr>
          <w:bCs/>
        </w:rPr>
        <w:t>материалы контрольных и экспертно-аналитических мероприятий, проведенных Счетной палатой, дополнительные документы субъектов бюджетной отчетности, представленные по запросам, информация, размещенная в справочной правовой системе «Консультант Плюс», а также статистические данные, размещенные на официальном сайте Управления Федеральной службы государственной статистики по Хабаровскому краю, Магаданской области, Еврейской автономной области и Чукотскому автономному округу</w:t>
      </w:r>
      <w:r w:rsidRPr="00467F9C">
        <w:rPr>
          <w:rStyle w:val="ab"/>
        </w:rPr>
        <w:footnoteReference w:id="48"/>
      </w:r>
      <w:r w:rsidRPr="00467F9C">
        <w:rPr>
          <w:bCs/>
        </w:rPr>
        <w:t>.</w:t>
      </w:r>
    </w:p>
    <w:p w:rsidR="009E26F4" w:rsidRPr="00467F9C" w:rsidRDefault="009E26F4" w:rsidP="00191861">
      <w:pPr>
        <w:spacing w:before="240" w:after="120"/>
        <w:jc w:val="center"/>
        <w:rPr>
          <w:b/>
          <w:sz w:val="28"/>
          <w:szCs w:val="28"/>
        </w:rPr>
      </w:pPr>
      <w:bookmarkStart w:id="26" w:name="_Hlk40012969"/>
      <w:r w:rsidRPr="00467F9C">
        <w:rPr>
          <w:b/>
          <w:sz w:val="28"/>
          <w:szCs w:val="28"/>
        </w:rPr>
        <w:t>2. Макроэкономические условия исполнения окружного бюджета</w:t>
      </w:r>
    </w:p>
    <w:p w:rsidR="009E26F4" w:rsidRPr="00467F9C" w:rsidRDefault="009E26F4" w:rsidP="00AF7E96">
      <w:pPr>
        <w:pStyle w:val="affc"/>
      </w:pPr>
      <w:r w:rsidRPr="00467F9C">
        <w:t xml:space="preserve">Несмотря на экономический кризис 2021 года, причиной которого стали карантинные меры, связанные с профилактикой и устранением последствий </w:t>
      </w:r>
      <w:r w:rsidRPr="00467F9C">
        <w:lastRenderedPageBreak/>
        <w:t xml:space="preserve">распространения </w:t>
      </w:r>
      <w:proofErr w:type="spellStart"/>
      <w:r w:rsidRPr="00467F9C">
        <w:t>коронавирусной</w:t>
      </w:r>
      <w:proofErr w:type="spellEnd"/>
      <w:r w:rsidRPr="00467F9C">
        <w:t xml:space="preserve"> инфекции, макроэкономическая ситуация в Чукотском автономном округе в отчетном периоде характеризуется стабильностью, по ключевым видам экономической деятельности наблюдаются положительные черты развития.</w:t>
      </w:r>
    </w:p>
    <w:p w:rsidR="009E26F4" w:rsidRPr="00467F9C" w:rsidRDefault="009E26F4" w:rsidP="00191861">
      <w:pPr>
        <w:ind w:firstLine="709"/>
        <w:jc w:val="both"/>
        <w:rPr>
          <w:spacing w:val="-3"/>
          <w:sz w:val="28"/>
          <w:szCs w:val="28"/>
        </w:rPr>
      </w:pPr>
      <w:r w:rsidRPr="00467F9C">
        <w:rPr>
          <w:sz w:val="28"/>
          <w:szCs w:val="28"/>
        </w:rPr>
        <w:t>Основные характеристики окружного бюджета на 2021 год определены Законом об окружном бюджете</w:t>
      </w:r>
      <w:r w:rsidRPr="00467F9C">
        <w:rPr>
          <w:rStyle w:val="ab"/>
          <w:sz w:val="28"/>
          <w:szCs w:val="28"/>
        </w:rPr>
        <w:footnoteReference w:id="49"/>
      </w:r>
      <w:r w:rsidRPr="00467F9C">
        <w:rPr>
          <w:sz w:val="28"/>
          <w:szCs w:val="28"/>
        </w:rPr>
        <w:t xml:space="preserve"> исходя из номинального прогнозного объема валового регионального продукта 109 033,2 млн рублей</w:t>
      </w:r>
      <w:r w:rsidRPr="00467F9C">
        <w:rPr>
          <w:spacing w:val="-3"/>
          <w:sz w:val="28"/>
          <w:szCs w:val="28"/>
        </w:rPr>
        <w:t xml:space="preserve"> (рост на 3,3% в сравнении с прошлым годом).  </w:t>
      </w:r>
    </w:p>
    <w:p w:rsidR="009E26F4" w:rsidRPr="00467F9C" w:rsidRDefault="009E26F4" w:rsidP="00191861">
      <w:pPr>
        <w:ind w:firstLine="709"/>
        <w:jc w:val="both"/>
        <w:rPr>
          <w:sz w:val="28"/>
          <w:szCs w:val="28"/>
        </w:rPr>
      </w:pPr>
      <w:r w:rsidRPr="00467F9C">
        <w:rPr>
          <w:sz w:val="28"/>
          <w:szCs w:val="28"/>
        </w:rPr>
        <w:t>Информация об основных экономических показателях социально-экономического развития округа за 2020 и 2021 годы представлена в таблице №1.</w:t>
      </w:r>
    </w:p>
    <w:p w:rsidR="009E26F4" w:rsidRPr="00467F9C" w:rsidRDefault="009E26F4" w:rsidP="00191861">
      <w:pPr>
        <w:ind w:firstLine="709"/>
        <w:jc w:val="right"/>
        <w:rPr>
          <w:sz w:val="28"/>
          <w:szCs w:val="28"/>
        </w:rPr>
      </w:pPr>
      <w:r w:rsidRPr="00467F9C">
        <w:rPr>
          <w:sz w:val="28"/>
          <w:szCs w:val="28"/>
        </w:rPr>
        <w:t>Таблица №1</w:t>
      </w:r>
    </w:p>
    <w:p w:rsidR="009E26F4" w:rsidRPr="00467F9C" w:rsidRDefault="009E26F4" w:rsidP="00191861">
      <w:pPr>
        <w:ind w:firstLine="709"/>
        <w:jc w:val="right"/>
        <w:rPr>
          <w:sz w:val="28"/>
          <w:szCs w:val="28"/>
        </w:rPr>
      </w:pPr>
      <w:r w:rsidRPr="00467F9C">
        <w:rPr>
          <w:sz w:val="28"/>
          <w:szCs w:val="28"/>
        </w:rPr>
        <w:t>(млн рублей)</w:t>
      </w:r>
    </w:p>
    <w:tbl>
      <w:tblPr>
        <w:tblW w:w="9918" w:type="dxa"/>
        <w:tblLook w:val="04A0" w:firstRow="1" w:lastRow="0" w:firstColumn="1" w:lastColumn="0" w:noHBand="0" w:noVBand="1"/>
      </w:tblPr>
      <w:tblGrid>
        <w:gridCol w:w="4248"/>
        <w:gridCol w:w="1465"/>
        <w:gridCol w:w="1447"/>
        <w:gridCol w:w="1427"/>
        <w:gridCol w:w="1331"/>
      </w:tblGrid>
      <w:tr w:rsidR="009E26F4" w:rsidRPr="00AF7E96" w:rsidTr="00AF7E96">
        <w:trPr>
          <w:trHeight w:val="219"/>
        </w:trPr>
        <w:tc>
          <w:tcPr>
            <w:tcW w:w="42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26F4" w:rsidRPr="00AF7E96" w:rsidRDefault="009E26F4" w:rsidP="00191861">
            <w:pPr>
              <w:jc w:val="center"/>
              <w:rPr>
                <w:sz w:val="20"/>
                <w:szCs w:val="20"/>
              </w:rPr>
            </w:pPr>
            <w:r w:rsidRPr="00AF7E96">
              <w:rPr>
                <w:sz w:val="20"/>
                <w:szCs w:val="20"/>
              </w:rPr>
              <w:t>Наименование показателей</w:t>
            </w:r>
          </w:p>
        </w:tc>
        <w:tc>
          <w:tcPr>
            <w:tcW w:w="14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26F4" w:rsidRPr="00AF7E96" w:rsidRDefault="009E26F4" w:rsidP="00191861">
            <w:pPr>
              <w:jc w:val="center"/>
              <w:rPr>
                <w:sz w:val="20"/>
                <w:szCs w:val="20"/>
              </w:rPr>
            </w:pPr>
            <w:r w:rsidRPr="00AF7E96">
              <w:rPr>
                <w:sz w:val="20"/>
                <w:szCs w:val="20"/>
              </w:rPr>
              <w:t>Исполнение</w:t>
            </w:r>
            <w:r w:rsidRPr="00AF7E96">
              <w:rPr>
                <w:sz w:val="20"/>
                <w:szCs w:val="20"/>
              </w:rPr>
              <w:br/>
              <w:t xml:space="preserve"> 2020 год </w:t>
            </w:r>
          </w:p>
        </w:tc>
        <w:tc>
          <w:tcPr>
            <w:tcW w:w="14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26F4" w:rsidRPr="00AF7E96" w:rsidRDefault="009E26F4" w:rsidP="00191861">
            <w:pPr>
              <w:jc w:val="center"/>
              <w:rPr>
                <w:sz w:val="20"/>
                <w:szCs w:val="20"/>
              </w:rPr>
            </w:pPr>
            <w:r w:rsidRPr="00AF7E96">
              <w:rPr>
                <w:sz w:val="20"/>
                <w:szCs w:val="20"/>
              </w:rPr>
              <w:t>Исполнение</w:t>
            </w:r>
            <w:r w:rsidRPr="00AF7E96">
              <w:rPr>
                <w:sz w:val="20"/>
                <w:szCs w:val="20"/>
              </w:rPr>
              <w:br/>
              <w:t xml:space="preserve"> 2021 год (оценка)</w:t>
            </w:r>
          </w:p>
        </w:tc>
        <w:tc>
          <w:tcPr>
            <w:tcW w:w="2758" w:type="dxa"/>
            <w:gridSpan w:val="2"/>
            <w:tcBorders>
              <w:top w:val="single" w:sz="4" w:space="0" w:color="auto"/>
              <w:left w:val="nil"/>
              <w:bottom w:val="single" w:sz="4" w:space="0" w:color="auto"/>
              <w:right w:val="single" w:sz="4" w:space="0" w:color="auto"/>
            </w:tcBorders>
            <w:shd w:val="clear" w:color="auto" w:fill="auto"/>
            <w:vAlign w:val="center"/>
            <w:hideMark/>
          </w:tcPr>
          <w:p w:rsidR="009E26F4" w:rsidRPr="00AF7E96" w:rsidRDefault="009E26F4" w:rsidP="00191861">
            <w:pPr>
              <w:jc w:val="center"/>
              <w:rPr>
                <w:sz w:val="20"/>
                <w:szCs w:val="20"/>
              </w:rPr>
            </w:pPr>
            <w:r w:rsidRPr="00AF7E96">
              <w:rPr>
                <w:sz w:val="20"/>
                <w:szCs w:val="20"/>
              </w:rPr>
              <w:t xml:space="preserve">Темпы </w:t>
            </w:r>
            <w:r w:rsidRPr="00AF7E96">
              <w:rPr>
                <w:sz w:val="20"/>
                <w:szCs w:val="20"/>
              </w:rPr>
              <w:br/>
              <w:t>роста (+)/снижения (-)</w:t>
            </w:r>
          </w:p>
        </w:tc>
      </w:tr>
      <w:tr w:rsidR="009E26F4" w:rsidRPr="00AF7E96" w:rsidTr="00AF7E96">
        <w:trPr>
          <w:trHeight w:val="219"/>
        </w:trPr>
        <w:tc>
          <w:tcPr>
            <w:tcW w:w="4248" w:type="dxa"/>
            <w:vMerge/>
            <w:tcBorders>
              <w:top w:val="single" w:sz="4" w:space="0" w:color="auto"/>
              <w:left w:val="single" w:sz="4" w:space="0" w:color="auto"/>
              <w:bottom w:val="single" w:sz="4" w:space="0" w:color="auto"/>
              <w:right w:val="single" w:sz="4" w:space="0" w:color="auto"/>
            </w:tcBorders>
            <w:vAlign w:val="center"/>
            <w:hideMark/>
          </w:tcPr>
          <w:p w:rsidR="009E26F4" w:rsidRPr="00AF7E96" w:rsidRDefault="009E26F4" w:rsidP="00191861">
            <w:pPr>
              <w:rPr>
                <w:sz w:val="20"/>
                <w:szCs w:val="20"/>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rsidR="009E26F4" w:rsidRPr="00AF7E96" w:rsidRDefault="009E26F4" w:rsidP="00191861">
            <w:pPr>
              <w:rPr>
                <w:sz w:val="20"/>
                <w:szCs w:val="20"/>
              </w:rPr>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9E26F4" w:rsidRPr="00AF7E96" w:rsidRDefault="009E26F4" w:rsidP="00191861">
            <w:pPr>
              <w:rPr>
                <w:sz w:val="20"/>
                <w:szCs w:val="20"/>
              </w:rPr>
            </w:pPr>
          </w:p>
        </w:tc>
        <w:tc>
          <w:tcPr>
            <w:tcW w:w="1427" w:type="dxa"/>
            <w:tcBorders>
              <w:top w:val="nil"/>
              <w:left w:val="nil"/>
              <w:bottom w:val="single" w:sz="4" w:space="0" w:color="auto"/>
              <w:right w:val="single" w:sz="4" w:space="0" w:color="auto"/>
            </w:tcBorders>
            <w:shd w:val="clear" w:color="auto" w:fill="auto"/>
            <w:vAlign w:val="center"/>
            <w:hideMark/>
          </w:tcPr>
          <w:p w:rsidR="009E26F4" w:rsidRPr="00AF7E96" w:rsidRDefault="009E26F4" w:rsidP="00191861">
            <w:pPr>
              <w:jc w:val="center"/>
              <w:rPr>
                <w:sz w:val="20"/>
                <w:szCs w:val="20"/>
              </w:rPr>
            </w:pPr>
            <w:r w:rsidRPr="00AF7E96">
              <w:rPr>
                <w:sz w:val="20"/>
                <w:szCs w:val="20"/>
              </w:rPr>
              <w:t>сумма</w:t>
            </w:r>
          </w:p>
        </w:tc>
        <w:tc>
          <w:tcPr>
            <w:tcW w:w="1331" w:type="dxa"/>
            <w:tcBorders>
              <w:top w:val="nil"/>
              <w:left w:val="nil"/>
              <w:bottom w:val="single" w:sz="4" w:space="0" w:color="auto"/>
              <w:right w:val="single" w:sz="4" w:space="0" w:color="auto"/>
            </w:tcBorders>
            <w:shd w:val="clear" w:color="auto" w:fill="auto"/>
            <w:vAlign w:val="center"/>
            <w:hideMark/>
          </w:tcPr>
          <w:p w:rsidR="009E26F4" w:rsidRPr="00AF7E96" w:rsidRDefault="009E26F4" w:rsidP="00191861">
            <w:pPr>
              <w:jc w:val="center"/>
              <w:rPr>
                <w:sz w:val="20"/>
                <w:szCs w:val="20"/>
              </w:rPr>
            </w:pPr>
            <w:r w:rsidRPr="00AF7E96">
              <w:rPr>
                <w:sz w:val="20"/>
                <w:szCs w:val="20"/>
              </w:rPr>
              <w:t>процент</w:t>
            </w:r>
          </w:p>
        </w:tc>
      </w:tr>
      <w:tr w:rsidR="009E26F4" w:rsidRPr="00AF7E96" w:rsidTr="00AF7E96">
        <w:trPr>
          <w:trHeight w:val="219"/>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E26F4" w:rsidRPr="00AF7E96" w:rsidRDefault="009E26F4" w:rsidP="00191861">
            <w:pPr>
              <w:jc w:val="center"/>
              <w:rPr>
                <w:sz w:val="20"/>
                <w:szCs w:val="20"/>
              </w:rPr>
            </w:pPr>
            <w:r w:rsidRPr="00AF7E96">
              <w:rPr>
                <w:sz w:val="20"/>
                <w:szCs w:val="20"/>
              </w:rPr>
              <w:t>1</w:t>
            </w:r>
          </w:p>
        </w:tc>
        <w:tc>
          <w:tcPr>
            <w:tcW w:w="1465" w:type="dxa"/>
            <w:tcBorders>
              <w:top w:val="nil"/>
              <w:left w:val="nil"/>
              <w:bottom w:val="single" w:sz="4" w:space="0" w:color="auto"/>
              <w:right w:val="single" w:sz="4" w:space="0" w:color="auto"/>
            </w:tcBorders>
            <w:shd w:val="clear" w:color="auto" w:fill="auto"/>
            <w:vAlign w:val="center"/>
            <w:hideMark/>
          </w:tcPr>
          <w:p w:rsidR="009E26F4" w:rsidRPr="00AF7E96" w:rsidRDefault="009E26F4" w:rsidP="00191861">
            <w:pPr>
              <w:jc w:val="center"/>
              <w:rPr>
                <w:sz w:val="20"/>
                <w:szCs w:val="20"/>
              </w:rPr>
            </w:pPr>
            <w:r w:rsidRPr="00AF7E96">
              <w:rPr>
                <w:sz w:val="20"/>
                <w:szCs w:val="20"/>
              </w:rPr>
              <w:t>2</w:t>
            </w:r>
          </w:p>
        </w:tc>
        <w:tc>
          <w:tcPr>
            <w:tcW w:w="1447" w:type="dxa"/>
            <w:tcBorders>
              <w:top w:val="nil"/>
              <w:left w:val="nil"/>
              <w:bottom w:val="single" w:sz="4" w:space="0" w:color="auto"/>
              <w:right w:val="single" w:sz="4" w:space="0" w:color="auto"/>
            </w:tcBorders>
            <w:shd w:val="clear" w:color="auto" w:fill="auto"/>
            <w:vAlign w:val="center"/>
            <w:hideMark/>
          </w:tcPr>
          <w:p w:rsidR="009E26F4" w:rsidRPr="00AF7E96" w:rsidRDefault="009E26F4" w:rsidP="00191861">
            <w:pPr>
              <w:jc w:val="center"/>
              <w:rPr>
                <w:sz w:val="20"/>
                <w:szCs w:val="20"/>
              </w:rPr>
            </w:pPr>
            <w:r w:rsidRPr="00AF7E96">
              <w:rPr>
                <w:sz w:val="20"/>
                <w:szCs w:val="20"/>
              </w:rPr>
              <w:t>3</w:t>
            </w:r>
          </w:p>
        </w:tc>
        <w:tc>
          <w:tcPr>
            <w:tcW w:w="1427" w:type="dxa"/>
            <w:tcBorders>
              <w:top w:val="nil"/>
              <w:left w:val="nil"/>
              <w:bottom w:val="single" w:sz="4" w:space="0" w:color="auto"/>
              <w:right w:val="single" w:sz="4" w:space="0" w:color="auto"/>
            </w:tcBorders>
            <w:shd w:val="clear" w:color="auto" w:fill="auto"/>
            <w:vAlign w:val="center"/>
            <w:hideMark/>
          </w:tcPr>
          <w:p w:rsidR="009E26F4" w:rsidRPr="00AF7E96" w:rsidRDefault="009E26F4" w:rsidP="00191861">
            <w:pPr>
              <w:jc w:val="center"/>
              <w:rPr>
                <w:sz w:val="20"/>
                <w:szCs w:val="20"/>
              </w:rPr>
            </w:pPr>
            <w:r w:rsidRPr="00AF7E96">
              <w:rPr>
                <w:sz w:val="20"/>
                <w:szCs w:val="20"/>
              </w:rPr>
              <w:t>4</w:t>
            </w:r>
          </w:p>
        </w:tc>
        <w:tc>
          <w:tcPr>
            <w:tcW w:w="1331" w:type="dxa"/>
            <w:tcBorders>
              <w:top w:val="nil"/>
              <w:left w:val="nil"/>
              <w:bottom w:val="single" w:sz="4" w:space="0" w:color="auto"/>
              <w:right w:val="single" w:sz="4" w:space="0" w:color="auto"/>
            </w:tcBorders>
            <w:shd w:val="clear" w:color="auto" w:fill="auto"/>
            <w:vAlign w:val="center"/>
            <w:hideMark/>
          </w:tcPr>
          <w:p w:rsidR="009E26F4" w:rsidRPr="00AF7E96" w:rsidRDefault="009E26F4" w:rsidP="00191861">
            <w:pPr>
              <w:jc w:val="center"/>
              <w:rPr>
                <w:sz w:val="20"/>
                <w:szCs w:val="20"/>
              </w:rPr>
            </w:pPr>
            <w:r w:rsidRPr="00AF7E96">
              <w:rPr>
                <w:sz w:val="20"/>
                <w:szCs w:val="20"/>
              </w:rPr>
              <w:t>5</w:t>
            </w:r>
          </w:p>
        </w:tc>
      </w:tr>
      <w:tr w:rsidR="009E26F4" w:rsidRPr="00AF7E96" w:rsidTr="00AF7E96">
        <w:trPr>
          <w:trHeight w:val="361"/>
        </w:trPr>
        <w:tc>
          <w:tcPr>
            <w:tcW w:w="991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E26F4" w:rsidRPr="00AF7E96" w:rsidRDefault="009E26F4" w:rsidP="00191861">
            <w:pPr>
              <w:jc w:val="center"/>
              <w:rPr>
                <w:b/>
                <w:bCs/>
                <w:sz w:val="20"/>
                <w:szCs w:val="20"/>
              </w:rPr>
            </w:pPr>
            <w:r w:rsidRPr="00AF7E96">
              <w:rPr>
                <w:b/>
                <w:bCs/>
                <w:sz w:val="20"/>
                <w:szCs w:val="20"/>
              </w:rPr>
              <w:t>Основные показатели в стоимостном выражении, млн рублей</w:t>
            </w:r>
          </w:p>
        </w:tc>
      </w:tr>
      <w:tr w:rsidR="009E26F4" w:rsidRPr="00AF7E96" w:rsidTr="00AF7E96">
        <w:trPr>
          <w:trHeight w:val="526"/>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E26F4" w:rsidRPr="00AF7E96" w:rsidRDefault="009E26F4" w:rsidP="00191861">
            <w:pPr>
              <w:rPr>
                <w:sz w:val="20"/>
                <w:szCs w:val="20"/>
              </w:rPr>
            </w:pPr>
            <w:r w:rsidRPr="00AF7E96">
              <w:rPr>
                <w:sz w:val="20"/>
                <w:szCs w:val="20"/>
              </w:rPr>
              <w:t>Объем отгруженных товаров собственного производства, выполненных работ и услуг, в том числе:</w:t>
            </w:r>
          </w:p>
        </w:tc>
        <w:tc>
          <w:tcPr>
            <w:tcW w:w="1465"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130 641,4</w:t>
            </w:r>
          </w:p>
        </w:tc>
        <w:tc>
          <w:tcPr>
            <w:tcW w:w="1447"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137 525,2</w:t>
            </w:r>
          </w:p>
        </w:tc>
        <w:tc>
          <w:tcPr>
            <w:tcW w:w="1427"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6 883,8</w:t>
            </w:r>
          </w:p>
        </w:tc>
        <w:tc>
          <w:tcPr>
            <w:tcW w:w="1331"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center"/>
              <w:rPr>
                <w:sz w:val="20"/>
                <w:szCs w:val="20"/>
              </w:rPr>
            </w:pPr>
            <w:r w:rsidRPr="00AF7E96">
              <w:rPr>
                <w:sz w:val="20"/>
                <w:szCs w:val="20"/>
              </w:rPr>
              <w:t>5,3</w:t>
            </w:r>
          </w:p>
        </w:tc>
      </w:tr>
      <w:tr w:rsidR="009E26F4" w:rsidRPr="00AF7E96" w:rsidTr="00AF7E96">
        <w:trPr>
          <w:trHeight w:val="219"/>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E26F4" w:rsidRPr="00AF7E96" w:rsidRDefault="009E26F4" w:rsidP="00191861">
            <w:pPr>
              <w:rPr>
                <w:sz w:val="20"/>
                <w:szCs w:val="20"/>
              </w:rPr>
            </w:pPr>
            <w:r w:rsidRPr="00AF7E96">
              <w:rPr>
                <w:sz w:val="20"/>
                <w:szCs w:val="20"/>
              </w:rPr>
              <w:t>- добыча полезных ископаемых</w:t>
            </w:r>
          </w:p>
        </w:tc>
        <w:tc>
          <w:tcPr>
            <w:tcW w:w="1465"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23 137,0</w:t>
            </w:r>
          </w:p>
        </w:tc>
        <w:tc>
          <w:tcPr>
            <w:tcW w:w="1447"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23 968,9</w:t>
            </w:r>
          </w:p>
        </w:tc>
        <w:tc>
          <w:tcPr>
            <w:tcW w:w="1427"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831,9</w:t>
            </w:r>
          </w:p>
        </w:tc>
        <w:tc>
          <w:tcPr>
            <w:tcW w:w="1331"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center"/>
              <w:rPr>
                <w:sz w:val="20"/>
                <w:szCs w:val="20"/>
              </w:rPr>
            </w:pPr>
            <w:r w:rsidRPr="00AF7E96">
              <w:rPr>
                <w:sz w:val="20"/>
                <w:szCs w:val="20"/>
              </w:rPr>
              <w:t>3,6</w:t>
            </w:r>
          </w:p>
        </w:tc>
      </w:tr>
      <w:tr w:rsidR="009E26F4" w:rsidRPr="00AF7E96" w:rsidTr="00AF7E96">
        <w:trPr>
          <w:trHeight w:val="219"/>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E26F4" w:rsidRPr="00AF7E96" w:rsidRDefault="009E26F4" w:rsidP="00191861">
            <w:pPr>
              <w:rPr>
                <w:sz w:val="20"/>
                <w:szCs w:val="20"/>
              </w:rPr>
            </w:pPr>
            <w:r w:rsidRPr="00AF7E96">
              <w:rPr>
                <w:sz w:val="20"/>
                <w:szCs w:val="20"/>
              </w:rPr>
              <w:t>- обрабатывающие производства</w:t>
            </w:r>
          </w:p>
        </w:tc>
        <w:tc>
          <w:tcPr>
            <w:tcW w:w="1465"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93 237,0</w:t>
            </w:r>
          </w:p>
        </w:tc>
        <w:tc>
          <w:tcPr>
            <w:tcW w:w="1447"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96 904,0</w:t>
            </w:r>
          </w:p>
        </w:tc>
        <w:tc>
          <w:tcPr>
            <w:tcW w:w="1427"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3 667,0</w:t>
            </w:r>
          </w:p>
        </w:tc>
        <w:tc>
          <w:tcPr>
            <w:tcW w:w="1331"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center"/>
              <w:rPr>
                <w:sz w:val="20"/>
                <w:szCs w:val="20"/>
              </w:rPr>
            </w:pPr>
            <w:r w:rsidRPr="00AF7E96">
              <w:rPr>
                <w:sz w:val="20"/>
                <w:szCs w:val="20"/>
              </w:rPr>
              <w:t>3,9</w:t>
            </w:r>
          </w:p>
        </w:tc>
      </w:tr>
      <w:tr w:rsidR="009E26F4" w:rsidRPr="00AF7E96" w:rsidTr="00AF7E96">
        <w:trPr>
          <w:trHeight w:val="219"/>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E26F4" w:rsidRPr="00AF7E96" w:rsidRDefault="009E26F4" w:rsidP="00191861">
            <w:pPr>
              <w:rPr>
                <w:sz w:val="20"/>
                <w:szCs w:val="20"/>
              </w:rPr>
            </w:pPr>
            <w:r w:rsidRPr="00AF7E96">
              <w:rPr>
                <w:sz w:val="20"/>
                <w:szCs w:val="20"/>
              </w:rPr>
              <w:t>- электрическая энергия</w:t>
            </w:r>
          </w:p>
        </w:tc>
        <w:tc>
          <w:tcPr>
            <w:tcW w:w="1465"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13 620,0</w:t>
            </w:r>
          </w:p>
        </w:tc>
        <w:tc>
          <w:tcPr>
            <w:tcW w:w="1447"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15 980,0</w:t>
            </w:r>
          </w:p>
        </w:tc>
        <w:tc>
          <w:tcPr>
            <w:tcW w:w="1427"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2 360,0</w:t>
            </w:r>
          </w:p>
        </w:tc>
        <w:tc>
          <w:tcPr>
            <w:tcW w:w="1331"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center"/>
              <w:rPr>
                <w:sz w:val="20"/>
                <w:szCs w:val="20"/>
              </w:rPr>
            </w:pPr>
            <w:r w:rsidRPr="00AF7E96">
              <w:rPr>
                <w:sz w:val="20"/>
                <w:szCs w:val="20"/>
              </w:rPr>
              <w:t>17,3</w:t>
            </w:r>
          </w:p>
        </w:tc>
      </w:tr>
      <w:tr w:rsidR="009E26F4" w:rsidRPr="00AF7E96" w:rsidTr="00AF7E96">
        <w:trPr>
          <w:trHeight w:val="219"/>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E26F4" w:rsidRPr="00AF7E96" w:rsidRDefault="009E26F4" w:rsidP="00191861">
            <w:pPr>
              <w:rPr>
                <w:sz w:val="20"/>
                <w:szCs w:val="20"/>
              </w:rPr>
            </w:pPr>
            <w:r w:rsidRPr="00AF7E96">
              <w:rPr>
                <w:sz w:val="20"/>
                <w:szCs w:val="20"/>
              </w:rPr>
              <w:t>- водоснабжение, водоотведение</w:t>
            </w:r>
          </w:p>
        </w:tc>
        <w:tc>
          <w:tcPr>
            <w:tcW w:w="1465"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647,4</w:t>
            </w:r>
          </w:p>
        </w:tc>
        <w:tc>
          <w:tcPr>
            <w:tcW w:w="1447"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672,3</w:t>
            </w:r>
          </w:p>
        </w:tc>
        <w:tc>
          <w:tcPr>
            <w:tcW w:w="1427"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24,9</w:t>
            </w:r>
          </w:p>
        </w:tc>
        <w:tc>
          <w:tcPr>
            <w:tcW w:w="1331"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center"/>
              <w:rPr>
                <w:sz w:val="20"/>
                <w:szCs w:val="20"/>
              </w:rPr>
            </w:pPr>
            <w:r w:rsidRPr="00AF7E96">
              <w:rPr>
                <w:sz w:val="20"/>
                <w:szCs w:val="20"/>
              </w:rPr>
              <w:t>3,8</w:t>
            </w:r>
          </w:p>
        </w:tc>
      </w:tr>
      <w:tr w:rsidR="009E26F4" w:rsidRPr="00AF7E96" w:rsidTr="00AF7E96">
        <w:trPr>
          <w:trHeight w:val="219"/>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E26F4" w:rsidRPr="00AF7E96" w:rsidRDefault="009E26F4" w:rsidP="00191861">
            <w:pPr>
              <w:rPr>
                <w:sz w:val="20"/>
                <w:szCs w:val="20"/>
              </w:rPr>
            </w:pPr>
            <w:r w:rsidRPr="00AF7E96">
              <w:rPr>
                <w:sz w:val="20"/>
                <w:szCs w:val="20"/>
              </w:rPr>
              <w:t>Объем продукции сельского хозяйства</w:t>
            </w:r>
          </w:p>
        </w:tc>
        <w:tc>
          <w:tcPr>
            <w:tcW w:w="1465"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1 773,2</w:t>
            </w:r>
          </w:p>
        </w:tc>
        <w:tc>
          <w:tcPr>
            <w:tcW w:w="1447"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1 564,5</w:t>
            </w:r>
          </w:p>
        </w:tc>
        <w:tc>
          <w:tcPr>
            <w:tcW w:w="1427"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-208,7</w:t>
            </w:r>
          </w:p>
        </w:tc>
        <w:tc>
          <w:tcPr>
            <w:tcW w:w="1331"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center"/>
              <w:rPr>
                <w:sz w:val="20"/>
                <w:szCs w:val="20"/>
              </w:rPr>
            </w:pPr>
            <w:r w:rsidRPr="00AF7E96">
              <w:rPr>
                <w:sz w:val="20"/>
                <w:szCs w:val="20"/>
              </w:rPr>
              <w:t>-11,8</w:t>
            </w:r>
          </w:p>
        </w:tc>
      </w:tr>
      <w:tr w:rsidR="009E26F4" w:rsidRPr="00AF7E96" w:rsidTr="00AF7E96">
        <w:trPr>
          <w:trHeight w:val="351"/>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E26F4" w:rsidRPr="00AF7E96" w:rsidRDefault="009E26F4" w:rsidP="00191861">
            <w:pPr>
              <w:rPr>
                <w:sz w:val="20"/>
                <w:szCs w:val="20"/>
              </w:rPr>
            </w:pPr>
            <w:r w:rsidRPr="00AF7E96">
              <w:rPr>
                <w:sz w:val="20"/>
                <w:szCs w:val="20"/>
              </w:rPr>
              <w:t>Инвестиции в основной капитал за счет всех источников финансирования</w:t>
            </w:r>
          </w:p>
        </w:tc>
        <w:tc>
          <w:tcPr>
            <w:tcW w:w="1465"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31 626,7</w:t>
            </w:r>
          </w:p>
        </w:tc>
        <w:tc>
          <w:tcPr>
            <w:tcW w:w="1447"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47 654,0</w:t>
            </w:r>
          </w:p>
        </w:tc>
        <w:tc>
          <w:tcPr>
            <w:tcW w:w="1427"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16 027,3</w:t>
            </w:r>
          </w:p>
        </w:tc>
        <w:tc>
          <w:tcPr>
            <w:tcW w:w="1331"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center"/>
              <w:rPr>
                <w:sz w:val="20"/>
                <w:szCs w:val="20"/>
              </w:rPr>
            </w:pPr>
            <w:r w:rsidRPr="00AF7E96">
              <w:rPr>
                <w:sz w:val="20"/>
                <w:szCs w:val="20"/>
              </w:rPr>
              <w:t>50,7</w:t>
            </w:r>
          </w:p>
        </w:tc>
      </w:tr>
      <w:tr w:rsidR="009E26F4" w:rsidRPr="00AF7E96" w:rsidTr="00AF7E96">
        <w:trPr>
          <w:trHeight w:val="219"/>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E26F4" w:rsidRPr="00AF7E96" w:rsidRDefault="009E26F4" w:rsidP="00191861">
            <w:pPr>
              <w:rPr>
                <w:sz w:val="20"/>
                <w:szCs w:val="20"/>
              </w:rPr>
            </w:pPr>
            <w:r w:rsidRPr="00AF7E96">
              <w:rPr>
                <w:sz w:val="20"/>
                <w:szCs w:val="20"/>
              </w:rPr>
              <w:t>Оборот розничной торговли</w:t>
            </w:r>
          </w:p>
        </w:tc>
        <w:tc>
          <w:tcPr>
            <w:tcW w:w="1465"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10 834,5</w:t>
            </w:r>
          </w:p>
        </w:tc>
        <w:tc>
          <w:tcPr>
            <w:tcW w:w="1447"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11 374,4</w:t>
            </w:r>
          </w:p>
        </w:tc>
        <w:tc>
          <w:tcPr>
            <w:tcW w:w="1427"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539,9</w:t>
            </w:r>
          </w:p>
        </w:tc>
        <w:tc>
          <w:tcPr>
            <w:tcW w:w="1331"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center"/>
              <w:rPr>
                <w:sz w:val="20"/>
                <w:szCs w:val="20"/>
              </w:rPr>
            </w:pPr>
            <w:r w:rsidRPr="00AF7E96">
              <w:rPr>
                <w:sz w:val="20"/>
                <w:szCs w:val="20"/>
              </w:rPr>
              <w:t>5,0</w:t>
            </w:r>
          </w:p>
        </w:tc>
      </w:tr>
      <w:tr w:rsidR="009E26F4" w:rsidRPr="00AF7E96" w:rsidTr="00AF7E96">
        <w:trPr>
          <w:trHeight w:val="219"/>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E26F4" w:rsidRPr="00AF7E96" w:rsidRDefault="009E26F4" w:rsidP="00191861">
            <w:pPr>
              <w:rPr>
                <w:sz w:val="20"/>
                <w:szCs w:val="20"/>
              </w:rPr>
            </w:pPr>
            <w:r w:rsidRPr="00AF7E96">
              <w:rPr>
                <w:sz w:val="20"/>
                <w:szCs w:val="20"/>
              </w:rPr>
              <w:t>Объем платных услуг населению</w:t>
            </w:r>
          </w:p>
        </w:tc>
        <w:tc>
          <w:tcPr>
            <w:tcW w:w="1465"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4 412,8</w:t>
            </w:r>
          </w:p>
        </w:tc>
        <w:tc>
          <w:tcPr>
            <w:tcW w:w="1447"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4 284,8</w:t>
            </w:r>
          </w:p>
        </w:tc>
        <w:tc>
          <w:tcPr>
            <w:tcW w:w="1427"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-128,0</w:t>
            </w:r>
          </w:p>
        </w:tc>
        <w:tc>
          <w:tcPr>
            <w:tcW w:w="1331"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center"/>
              <w:rPr>
                <w:sz w:val="20"/>
                <w:szCs w:val="20"/>
              </w:rPr>
            </w:pPr>
            <w:r w:rsidRPr="00AF7E96">
              <w:rPr>
                <w:sz w:val="20"/>
                <w:szCs w:val="20"/>
              </w:rPr>
              <w:t>-2,9</w:t>
            </w:r>
          </w:p>
        </w:tc>
      </w:tr>
      <w:tr w:rsidR="009E26F4" w:rsidRPr="00AF7E96" w:rsidTr="00AF7E96">
        <w:trPr>
          <w:trHeight w:val="292"/>
        </w:trPr>
        <w:tc>
          <w:tcPr>
            <w:tcW w:w="991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E26F4" w:rsidRPr="00AF7E96" w:rsidRDefault="009E26F4" w:rsidP="00191861">
            <w:pPr>
              <w:jc w:val="center"/>
              <w:rPr>
                <w:b/>
                <w:bCs/>
                <w:sz w:val="20"/>
                <w:szCs w:val="20"/>
              </w:rPr>
            </w:pPr>
            <w:r w:rsidRPr="00AF7E96">
              <w:rPr>
                <w:b/>
                <w:bCs/>
                <w:sz w:val="20"/>
                <w:szCs w:val="20"/>
              </w:rPr>
              <w:t>Относительные показатели, в процентном выражении</w:t>
            </w:r>
          </w:p>
        </w:tc>
      </w:tr>
      <w:tr w:rsidR="009E26F4" w:rsidRPr="00AF7E96" w:rsidTr="00AF7E96">
        <w:trPr>
          <w:trHeight w:val="219"/>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E26F4" w:rsidRPr="00AF7E96" w:rsidRDefault="009E26F4" w:rsidP="00191861">
            <w:pPr>
              <w:rPr>
                <w:sz w:val="20"/>
                <w:szCs w:val="20"/>
              </w:rPr>
            </w:pPr>
            <w:r w:rsidRPr="00AF7E96">
              <w:rPr>
                <w:sz w:val="20"/>
                <w:szCs w:val="20"/>
              </w:rPr>
              <w:t>Индекс промышленного производства</w:t>
            </w:r>
          </w:p>
        </w:tc>
        <w:tc>
          <w:tcPr>
            <w:tcW w:w="1465" w:type="dxa"/>
            <w:tcBorders>
              <w:top w:val="nil"/>
              <w:left w:val="nil"/>
              <w:bottom w:val="single" w:sz="4" w:space="0" w:color="auto"/>
              <w:right w:val="single" w:sz="4" w:space="0" w:color="auto"/>
            </w:tcBorders>
            <w:shd w:val="clear" w:color="auto" w:fill="auto"/>
            <w:vAlign w:val="center"/>
            <w:hideMark/>
          </w:tcPr>
          <w:p w:rsidR="009E26F4" w:rsidRPr="00AF7E96" w:rsidRDefault="009E26F4" w:rsidP="00191861">
            <w:pPr>
              <w:jc w:val="center"/>
              <w:rPr>
                <w:sz w:val="20"/>
                <w:szCs w:val="20"/>
              </w:rPr>
            </w:pPr>
            <w:r w:rsidRPr="00AF7E96">
              <w:rPr>
                <w:sz w:val="20"/>
                <w:szCs w:val="20"/>
              </w:rPr>
              <w:t>98,1</w:t>
            </w:r>
          </w:p>
        </w:tc>
        <w:tc>
          <w:tcPr>
            <w:tcW w:w="1447" w:type="dxa"/>
            <w:tcBorders>
              <w:top w:val="nil"/>
              <w:left w:val="nil"/>
              <w:bottom w:val="single" w:sz="4" w:space="0" w:color="auto"/>
              <w:right w:val="single" w:sz="4" w:space="0" w:color="auto"/>
            </w:tcBorders>
            <w:shd w:val="clear" w:color="auto" w:fill="auto"/>
            <w:vAlign w:val="center"/>
            <w:hideMark/>
          </w:tcPr>
          <w:p w:rsidR="009E26F4" w:rsidRPr="00AF7E96" w:rsidRDefault="009E26F4" w:rsidP="00191861">
            <w:pPr>
              <w:jc w:val="center"/>
              <w:rPr>
                <w:sz w:val="20"/>
                <w:szCs w:val="20"/>
              </w:rPr>
            </w:pPr>
            <w:r w:rsidRPr="00AF7E96">
              <w:rPr>
                <w:sz w:val="20"/>
                <w:szCs w:val="20"/>
              </w:rPr>
              <w:t>94,1</w:t>
            </w:r>
          </w:p>
        </w:tc>
        <w:tc>
          <w:tcPr>
            <w:tcW w:w="1427" w:type="dxa"/>
            <w:tcBorders>
              <w:top w:val="nil"/>
              <w:left w:val="nil"/>
              <w:bottom w:val="single" w:sz="4" w:space="0" w:color="auto"/>
              <w:right w:val="single" w:sz="4" w:space="0" w:color="auto"/>
            </w:tcBorders>
            <w:shd w:val="clear" w:color="auto" w:fill="auto"/>
            <w:vAlign w:val="center"/>
            <w:hideMark/>
          </w:tcPr>
          <w:p w:rsidR="009E26F4" w:rsidRPr="00AF7E96" w:rsidRDefault="009E26F4" w:rsidP="00191861">
            <w:pPr>
              <w:jc w:val="center"/>
              <w:rPr>
                <w:sz w:val="20"/>
                <w:szCs w:val="20"/>
              </w:rPr>
            </w:pPr>
            <w:r w:rsidRPr="00AF7E96">
              <w:rPr>
                <w:sz w:val="20"/>
                <w:szCs w:val="20"/>
              </w:rPr>
              <w:t>х</w:t>
            </w:r>
          </w:p>
        </w:tc>
        <w:tc>
          <w:tcPr>
            <w:tcW w:w="1331" w:type="dxa"/>
            <w:tcBorders>
              <w:top w:val="nil"/>
              <w:left w:val="nil"/>
              <w:bottom w:val="single" w:sz="4" w:space="0" w:color="auto"/>
              <w:right w:val="single" w:sz="4" w:space="0" w:color="auto"/>
            </w:tcBorders>
            <w:shd w:val="clear" w:color="auto" w:fill="auto"/>
            <w:vAlign w:val="center"/>
            <w:hideMark/>
          </w:tcPr>
          <w:p w:rsidR="009E26F4" w:rsidRPr="00AF7E96" w:rsidRDefault="009E26F4" w:rsidP="00191861">
            <w:pPr>
              <w:jc w:val="center"/>
              <w:rPr>
                <w:sz w:val="20"/>
                <w:szCs w:val="20"/>
              </w:rPr>
            </w:pPr>
            <w:r w:rsidRPr="00AF7E96">
              <w:rPr>
                <w:sz w:val="20"/>
                <w:szCs w:val="20"/>
              </w:rPr>
              <w:t>х</w:t>
            </w:r>
          </w:p>
        </w:tc>
      </w:tr>
      <w:tr w:rsidR="009E26F4" w:rsidRPr="00AF7E96" w:rsidTr="00AF7E96">
        <w:trPr>
          <w:trHeight w:val="351"/>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E26F4" w:rsidRDefault="009E26F4" w:rsidP="00191861">
            <w:pPr>
              <w:rPr>
                <w:sz w:val="20"/>
                <w:szCs w:val="20"/>
              </w:rPr>
            </w:pPr>
            <w:r w:rsidRPr="00AF7E96">
              <w:rPr>
                <w:sz w:val="20"/>
                <w:szCs w:val="20"/>
              </w:rPr>
              <w:t>Индекс потребительских цен на товары и услуги</w:t>
            </w:r>
          </w:p>
          <w:p w:rsidR="00AF7E96" w:rsidRPr="00AF7E96" w:rsidRDefault="00AF7E96" w:rsidP="00191861">
            <w:pPr>
              <w:rPr>
                <w:sz w:val="4"/>
                <w:szCs w:val="4"/>
              </w:rPr>
            </w:pPr>
          </w:p>
        </w:tc>
        <w:tc>
          <w:tcPr>
            <w:tcW w:w="1465" w:type="dxa"/>
            <w:tcBorders>
              <w:top w:val="nil"/>
              <w:left w:val="nil"/>
              <w:bottom w:val="single" w:sz="4" w:space="0" w:color="auto"/>
              <w:right w:val="single" w:sz="4" w:space="0" w:color="auto"/>
            </w:tcBorders>
            <w:shd w:val="clear" w:color="auto" w:fill="auto"/>
            <w:vAlign w:val="center"/>
            <w:hideMark/>
          </w:tcPr>
          <w:p w:rsidR="009E26F4" w:rsidRPr="00AF7E96" w:rsidRDefault="009E26F4" w:rsidP="00191861">
            <w:pPr>
              <w:jc w:val="center"/>
              <w:rPr>
                <w:sz w:val="20"/>
                <w:szCs w:val="20"/>
              </w:rPr>
            </w:pPr>
            <w:r w:rsidRPr="00AF7E96">
              <w:rPr>
                <w:sz w:val="20"/>
                <w:szCs w:val="20"/>
              </w:rPr>
              <w:t>101,9</w:t>
            </w:r>
          </w:p>
        </w:tc>
        <w:tc>
          <w:tcPr>
            <w:tcW w:w="1447" w:type="dxa"/>
            <w:tcBorders>
              <w:top w:val="nil"/>
              <w:left w:val="nil"/>
              <w:bottom w:val="single" w:sz="4" w:space="0" w:color="auto"/>
              <w:right w:val="single" w:sz="4" w:space="0" w:color="auto"/>
            </w:tcBorders>
            <w:shd w:val="clear" w:color="auto" w:fill="auto"/>
            <w:vAlign w:val="center"/>
            <w:hideMark/>
          </w:tcPr>
          <w:p w:rsidR="009E26F4" w:rsidRPr="00AF7E96" w:rsidRDefault="009E26F4" w:rsidP="00191861">
            <w:pPr>
              <w:jc w:val="center"/>
              <w:rPr>
                <w:sz w:val="20"/>
                <w:szCs w:val="20"/>
              </w:rPr>
            </w:pPr>
            <w:r w:rsidRPr="00AF7E96">
              <w:rPr>
                <w:sz w:val="20"/>
                <w:szCs w:val="20"/>
              </w:rPr>
              <w:t>105,8</w:t>
            </w:r>
          </w:p>
        </w:tc>
        <w:tc>
          <w:tcPr>
            <w:tcW w:w="1427" w:type="dxa"/>
            <w:tcBorders>
              <w:top w:val="nil"/>
              <w:left w:val="nil"/>
              <w:bottom w:val="single" w:sz="4" w:space="0" w:color="auto"/>
              <w:right w:val="single" w:sz="4" w:space="0" w:color="auto"/>
            </w:tcBorders>
            <w:shd w:val="clear" w:color="auto" w:fill="auto"/>
            <w:vAlign w:val="center"/>
            <w:hideMark/>
          </w:tcPr>
          <w:p w:rsidR="009E26F4" w:rsidRPr="00AF7E96" w:rsidRDefault="009E26F4" w:rsidP="00191861">
            <w:pPr>
              <w:jc w:val="center"/>
              <w:rPr>
                <w:sz w:val="20"/>
                <w:szCs w:val="20"/>
              </w:rPr>
            </w:pPr>
            <w:r w:rsidRPr="00AF7E96">
              <w:rPr>
                <w:sz w:val="20"/>
                <w:szCs w:val="20"/>
              </w:rPr>
              <w:t>х</w:t>
            </w:r>
          </w:p>
        </w:tc>
        <w:tc>
          <w:tcPr>
            <w:tcW w:w="1331" w:type="dxa"/>
            <w:tcBorders>
              <w:top w:val="nil"/>
              <w:left w:val="nil"/>
              <w:bottom w:val="single" w:sz="4" w:space="0" w:color="auto"/>
              <w:right w:val="single" w:sz="4" w:space="0" w:color="auto"/>
            </w:tcBorders>
            <w:shd w:val="clear" w:color="auto" w:fill="auto"/>
            <w:vAlign w:val="center"/>
            <w:hideMark/>
          </w:tcPr>
          <w:p w:rsidR="009E26F4" w:rsidRPr="00AF7E96" w:rsidRDefault="009E26F4" w:rsidP="00191861">
            <w:pPr>
              <w:jc w:val="center"/>
              <w:rPr>
                <w:sz w:val="20"/>
                <w:szCs w:val="20"/>
              </w:rPr>
            </w:pPr>
            <w:r w:rsidRPr="00AF7E96">
              <w:rPr>
                <w:sz w:val="20"/>
                <w:szCs w:val="20"/>
              </w:rPr>
              <w:t>х</w:t>
            </w:r>
          </w:p>
        </w:tc>
      </w:tr>
    </w:tbl>
    <w:p w:rsidR="009E26F4" w:rsidRPr="00467F9C" w:rsidRDefault="009E26F4" w:rsidP="00191861">
      <w:pPr>
        <w:spacing w:before="120"/>
        <w:ind w:firstLine="709"/>
        <w:jc w:val="both"/>
        <w:rPr>
          <w:sz w:val="28"/>
          <w:szCs w:val="28"/>
        </w:rPr>
      </w:pPr>
      <w:r w:rsidRPr="00467F9C">
        <w:rPr>
          <w:sz w:val="28"/>
          <w:szCs w:val="28"/>
        </w:rPr>
        <w:t>Объем отгруженных товаров собственного производства, выполненных работ и услуг в 2021 году увеличился к показателю 2020 года на 5,3% и составил 137 525,2 млн рублей. Наибольший удельный вес в структуре объема отгруженных товаров собственного производства приходится на обрабатывающие производства– 70,5%, добычу полезных ископаемых – 17,4%, обеспечение электрической энергией, газом и паром – 11,6%.</w:t>
      </w:r>
    </w:p>
    <w:p w:rsidR="009E26F4" w:rsidRPr="00467F9C" w:rsidRDefault="009E26F4" w:rsidP="00191861">
      <w:pPr>
        <w:ind w:firstLine="709"/>
        <w:jc w:val="both"/>
        <w:rPr>
          <w:sz w:val="28"/>
          <w:szCs w:val="28"/>
        </w:rPr>
      </w:pPr>
      <w:r w:rsidRPr="00467F9C">
        <w:rPr>
          <w:sz w:val="28"/>
          <w:szCs w:val="28"/>
        </w:rPr>
        <w:t>В 2021 году на территории Чукотского автономного округа добыто 25,3 тонны золота, что на 3,7% выше уровня прошлого года. Наибольшая доля золота (60,3%) добыта на двух месторождениях «Купол» (42,6%) и «Майское» (17,7%). Общий объем добычи серебра за 2021 год составил 109,5 тонны, что выше уровня предыдущего года на 3,2%. Основной объем добытого серебра приходится на месторождение «Купол» – 99,1 тонны (90,5%).</w:t>
      </w:r>
    </w:p>
    <w:p w:rsidR="009E26F4" w:rsidRPr="00467F9C" w:rsidRDefault="009E26F4" w:rsidP="00191861">
      <w:pPr>
        <w:pStyle w:val="24"/>
        <w:ind w:firstLine="709"/>
        <w:jc w:val="both"/>
        <w:rPr>
          <w:sz w:val="28"/>
          <w:szCs w:val="28"/>
        </w:rPr>
      </w:pPr>
      <w:r w:rsidRPr="00467F9C">
        <w:rPr>
          <w:sz w:val="28"/>
          <w:szCs w:val="28"/>
        </w:rPr>
        <w:t xml:space="preserve">Из топливно-энергетических полезных ископаемых на территории Чукотского автономного округа осуществляется добыча угля и природного газа. В 2021 году добыто 1 127,1 тыс. тонн угля, что на 26% больше, чем в 2020 году. </w:t>
      </w:r>
      <w:r w:rsidRPr="00467F9C">
        <w:rPr>
          <w:sz w:val="28"/>
          <w:szCs w:val="28"/>
        </w:rPr>
        <w:lastRenderedPageBreak/>
        <w:t>Объем добычи газа составил 70,2 млн куб. м. (увеличение объема на 0,8% уровня прошлого года).</w:t>
      </w:r>
    </w:p>
    <w:p w:rsidR="009E26F4" w:rsidRPr="00467F9C" w:rsidRDefault="009E26F4" w:rsidP="00191861">
      <w:pPr>
        <w:ind w:firstLine="709"/>
        <w:jc w:val="both"/>
        <w:rPr>
          <w:sz w:val="28"/>
          <w:szCs w:val="28"/>
        </w:rPr>
      </w:pPr>
      <w:r w:rsidRPr="00467F9C">
        <w:rPr>
          <w:rStyle w:val="aff6"/>
          <w:sz w:val="28"/>
          <w:szCs w:val="28"/>
        </w:rPr>
        <w:t xml:space="preserve">Объем производства продукции сельского хозяйства в действующих ценах </w:t>
      </w:r>
      <w:r w:rsidRPr="00467F9C">
        <w:rPr>
          <w:sz w:val="28"/>
          <w:szCs w:val="28"/>
        </w:rPr>
        <w:t>за </w:t>
      </w:r>
      <w:r w:rsidRPr="00467F9C">
        <w:rPr>
          <w:rStyle w:val="aff6"/>
          <w:sz w:val="28"/>
          <w:szCs w:val="28"/>
        </w:rPr>
        <w:t>год</w:t>
      </w:r>
      <w:r w:rsidRPr="00467F9C">
        <w:rPr>
          <w:sz w:val="28"/>
          <w:szCs w:val="28"/>
        </w:rPr>
        <w:t xml:space="preserve"> составил 1 564,5 млн рублей (88,2% к уровню 2020 года). В отчетном периоде относительно уровня прошлого года наблюдается снижение производства мяса в живом весе на 3,5% (850,4 тонны), молока на 0,7% (18 тонн) и яиц на 30% (3 802,7 тыс. штук). </w:t>
      </w:r>
    </w:p>
    <w:p w:rsidR="009E26F4" w:rsidRPr="00467F9C" w:rsidRDefault="009E26F4" w:rsidP="00191861">
      <w:pPr>
        <w:ind w:firstLine="709"/>
        <w:jc w:val="both"/>
        <w:rPr>
          <w:bCs/>
          <w:sz w:val="28"/>
          <w:szCs w:val="28"/>
        </w:rPr>
      </w:pPr>
      <w:r w:rsidRPr="00467F9C">
        <w:rPr>
          <w:bCs/>
          <w:sz w:val="28"/>
          <w:szCs w:val="28"/>
        </w:rPr>
        <w:t>Объем оборота розничной торговли ежегодно растет и по итогам 2021 года составил 11 374,4 млн рублей, что выше уровня 2020 года на 5%. В структуре розничной торговли 72,9% от всего оборота приходится на реализацию пищевых продуктов, включая напитки и табачные изделия, 27,1% составляют непродовольственные товары.</w:t>
      </w:r>
    </w:p>
    <w:p w:rsidR="009E26F4" w:rsidRPr="00467F9C" w:rsidRDefault="009E26F4" w:rsidP="00191861">
      <w:pPr>
        <w:ind w:firstLine="709"/>
        <w:jc w:val="both"/>
        <w:rPr>
          <w:sz w:val="28"/>
          <w:szCs w:val="28"/>
        </w:rPr>
      </w:pPr>
      <w:r w:rsidRPr="00467F9C">
        <w:rPr>
          <w:sz w:val="28"/>
          <w:szCs w:val="28"/>
        </w:rPr>
        <w:t>В декабре 2021 года отмечен рост сводного индекса потребительских цен (тарифов) на товары и услуги к декабрю 2020 года на 3,9%, в том числе на продовольственные товары – 2,5%, на непродовольственные товары – 1%, на платные услуги населению – 9,1%.</w:t>
      </w:r>
    </w:p>
    <w:p w:rsidR="009E26F4" w:rsidRPr="00467F9C" w:rsidRDefault="009E26F4" w:rsidP="00191861">
      <w:pPr>
        <w:ind w:firstLine="709"/>
        <w:jc w:val="both"/>
        <w:rPr>
          <w:sz w:val="28"/>
          <w:szCs w:val="28"/>
        </w:rPr>
      </w:pPr>
      <w:r w:rsidRPr="00467F9C">
        <w:rPr>
          <w:sz w:val="28"/>
          <w:szCs w:val="28"/>
        </w:rPr>
        <w:t>Снижение индекса промышленного производства (94,1%) обусловлено снижением производства руд цветных металлов на месторождении «Двойное» (в</w:t>
      </w:r>
      <w:r w:rsidRPr="00467F9C">
        <w:rPr>
          <w:b/>
          <w:sz w:val="28"/>
          <w:szCs w:val="28"/>
        </w:rPr>
        <w:t> </w:t>
      </w:r>
      <w:r w:rsidRPr="00467F9C">
        <w:rPr>
          <w:sz w:val="28"/>
          <w:szCs w:val="28"/>
        </w:rPr>
        <w:t>2021 году добыча не осуществлялась). Снижение частично компенсировалось ростом добычи каменного угля за счет модернизации оборудования на месторождении «</w:t>
      </w:r>
      <w:proofErr w:type="spellStart"/>
      <w:r w:rsidRPr="00467F9C">
        <w:rPr>
          <w:sz w:val="28"/>
          <w:szCs w:val="28"/>
        </w:rPr>
        <w:t>Фандюшкинское</w:t>
      </w:r>
      <w:proofErr w:type="spellEnd"/>
      <w:r w:rsidRPr="00467F9C">
        <w:rPr>
          <w:sz w:val="28"/>
          <w:szCs w:val="28"/>
        </w:rPr>
        <w:t xml:space="preserve"> поле», а также ростом производства пищевых продуктов, в том числе </w:t>
      </w:r>
      <w:proofErr w:type="spellStart"/>
      <w:r w:rsidRPr="00467F9C">
        <w:rPr>
          <w:sz w:val="28"/>
          <w:szCs w:val="28"/>
        </w:rPr>
        <w:t>рыбопереработки</w:t>
      </w:r>
      <w:proofErr w:type="spellEnd"/>
      <w:r w:rsidRPr="00467F9C">
        <w:rPr>
          <w:sz w:val="28"/>
          <w:szCs w:val="28"/>
        </w:rPr>
        <w:t>, и изделий из бетона, цемента для обеспечения строительных работ.</w:t>
      </w:r>
    </w:p>
    <w:p w:rsidR="009E26F4" w:rsidRPr="00467F9C" w:rsidRDefault="009E26F4" w:rsidP="00191861">
      <w:pPr>
        <w:ind w:firstLine="709"/>
        <w:jc w:val="both"/>
        <w:rPr>
          <w:iCs/>
          <w:sz w:val="28"/>
          <w:szCs w:val="28"/>
        </w:rPr>
      </w:pPr>
      <w:r w:rsidRPr="00467F9C">
        <w:rPr>
          <w:iCs/>
          <w:sz w:val="28"/>
          <w:szCs w:val="28"/>
        </w:rPr>
        <w:t xml:space="preserve">Рост объема инвестиций (более чем на 50%) обусловлен реализацией проектов по развитию </w:t>
      </w:r>
      <w:proofErr w:type="spellStart"/>
      <w:r w:rsidRPr="00467F9C">
        <w:rPr>
          <w:iCs/>
          <w:sz w:val="28"/>
          <w:szCs w:val="28"/>
        </w:rPr>
        <w:t>Баимской</w:t>
      </w:r>
      <w:proofErr w:type="spellEnd"/>
      <w:r w:rsidRPr="00467F9C">
        <w:rPr>
          <w:iCs/>
          <w:sz w:val="28"/>
          <w:szCs w:val="28"/>
        </w:rPr>
        <w:t xml:space="preserve"> площади, вложением в строительство производственных мощностей и объектов транспортной и энергетической инфраструктуры на месторождениях «</w:t>
      </w:r>
      <w:proofErr w:type="spellStart"/>
      <w:r w:rsidRPr="00467F9C">
        <w:rPr>
          <w:iCs/>
          <w:sz w:val="28"/>
          <w:szCs w:val="28"/>
        </w:rPr>
        <w:t>Пыркакайские</w:t>
      </w:r>
      <w:proofErr w:type="spellEnd"/>
      <w:r w:rsidRPr="00467F9C">
        <w:rPr>
          <w:iCs/>
          <w:sz w:val="28"/>
          <w:szCs w:val="28"/>
        </w:rPr>
        <w:t xml:space="preserve"> штокверки», «</w:t>
      </w:r>
      <w:proofErr w:type="spellStart"/>
      <w:r w:rsidRPr="00467F9C">
        <w:rPr>
          <w:iCs/>
          <w:sz w:val="28"/>
          <w:szCs w:val="28"/>
        </w:rPr>
        <w:t>Кекура</w:t>
      </w:r>
      <w:proofErr w:type="spellEnd"/>
      <w:r w:rsidRPr="00467F9C">
        <w:rPr>
          <w:iCs/>
          <w:sz w:val="28"/>
          <w:szCs w:val="28"/>
        </w:rPr>
        <w:t>» и «Валунистый», а также выполнением строительных работ на объектах аэропортовой и дорожной инфраструктуры региона.</w:t>
      </w:r>
    </w:p>
    <w:p w:rsidR="009E26F4" w:rsidRPr="00467F9C" w:rsidRDefault="009E26F4" w:rsidP="00191861">
      <w:pPr>
        <w:ind w:firstLine="709"/>
        <w:jc w:val="both"/>
        <w:rPr>
          <w:iCs/>
          <w:sz w:val="28"/>
          <w:szCs w:val="28"/>
        </w:rPr>
      </w:pPr>
      <w:r w:rsidRPr="00467F9C">
        <w:rPr>
          <w:iCs/>
          <w:sz w:val="28"/>
          <w:szCs w:val="28"/>
        </w:rPr>
        <w:t>Структура регионального инвестиционного процесса характеризуется высокой долей привлеченных средств (более 70%), в том числе за счет резидентов преференциальных режимов.</w:t>
      </w:r>
    </w:p>
    <w:p w:rsidR="009E26F4" w:rsidRPr="00467F9C" w:rsidRDefault="009E26F4" w:rsidP="00191861">
      <w:pPr>
        <w:pStyle w:val="29"/>
        <w:shd w:val="clear" w:color="auto" w:fill="FFFFFF"/>
        <w:spacing w:after="0" w:line="240" w:lineRule="auto"/>
        <w:ind w:firstLine="709"/>
        <w:jc w:val="both"/>
        <w:rPr>
          <w:rFonts w:ascii="Times New Roman" w:hAnsi="Times New Roman" w:cs="Times New Roman"/>
          <w:sz w:val="28"/>
          <w:szCs w:val="28"/>
        </w:rPr>
      </w:pPr>
      <w:r w:rsidRPr="00467F9C">
        <w:rPr>
          <w:rFonts w:ascii="Times New Roman" w:hAnsi="Times New Roman" w:cs="Times New Roman"/>
          <w:sz w:val="28"/>
          <w:szCs w:val="28"/>
        </w:rPr>
        <w:t>Демографическая ситуация в Чукотском автономном округе в 2021 году характеризуется приростом населения (570 человек): естественная убыль населения в отчетном периоде составила 19 человек</w:t>
      </w:r>
      <w:r w:rsidRPr="00467F9C">
        <w:rPr>
          <w:rStyle w:val="ab"/>
          <w:rFonts w:ascii="Times New Roman" w:hAnsi="Times New Roman" w:cs="Times New Roman"/>
          <w:sz w:val="28"/>
          <w:szCs w:val="28"/>
        </w:rPr>
        <w:footnoteReference w:id="50"/>
      </w:r>
      <w:r w:rsidRPr="00467F9C">
        <w:rPr>
          <w:rFonts w:ascii="Times New Roman" w:hAnsi="Times New Roman" w:cs="Times New Roman"/>
          <w:sz w:val="28"/>
          <w:szCs w:val="28"/>
        </w:rPr>
        <w:t xml:space="preserve"> (в 2020 году естественный прирост – 15 человек) и миграционный приток населения составил 589 человек</w:t>
      </w:r>
      <w:r w:rsidRPr="00467F9C">
        <w:rPr>
          <w:rStyle w:val="ab"/>
          <w:rFonts w:ascii="Times New Roman" w:hAnsi="Times New Roman" w:cs="Times New Roman"/>
          <w:sz w:val="28"/>
          <w:szCs w:val="28"/>
        </w:rPr>
        <w:footnoteReference w:id="51"/>
      </w:r>
      <w:r w:rsidRPr="00467F9C">
        <w:rPr>
          <w:rFonts w:ascii="Times New Roman" w:hAnsi="Times New Roman" w:cs="Times New Roman"/>
          <w:sz w:val="28"/>
          <w:szCs w:val="28"/>
        </w:rPr>
        <w:t xml:space="preserve"> </w:t>
      </w:r>
      <w:r w:rsidRPr="00467F9C">
        <w:rPr>
          <w:rFonts w:ascii="Times New Roman" w:eastAsia="Times New Roman" w:hAnsi="Times New Roman" w:cs="Times New Roman"/>
          <w:sz w:val="28"/>
          <w:szCs w:val="28"/>
          <w:lang w:eastAsia="ru-RU"/>
        </w:rPr>
        <w:t xml:space="preserve">(в 2020 году отток – 745 человек). </w:t>
      </w:r>
    </w:p>
    <w:p w:rsidR="009E26F4" w:rsidRPr="00467F9C" w:rsidRDefault="009E26F4" w:rsidP="00191861">
      <w:pPr>
        <w:widowControl w:val="0"/>
        <w:shd w:val="clear" w:color="auto" w:fill="FFFFFF"/>
        <w:suppressAutoHyphens/>
        <w:ind w:firstLine="709"/>
        <w:jc w:val="both"/>
        <w:rPr>
          <w:rFonts w:eastAsia="DejaVu Sans"/>
          <w:i/>
          <w:iCs/>
          <w:kern w:val="1"/>
          <w:sz w:val="28"/>
          <w:szCs w:val="28"/>
          <w:lang w:eastAsia="ar-SA"/>
        </w:rPr>
      </w:pPr>
      <w:r w:rsidRPr="00467F9C">
        <w:rPr>
          <w:rFonts w:eastAsia="DejaVu Sans"/>
          <w:kern w:val="1"/>
          <w:sz w:val="28"/>
          <w:szCs w:val="28"/>
          <w:lang w:eastAsia="ar-SA"/>
        </w:rPr>
        <w:t xml:space="preserve">На рынке труда по итогам отчетного года численность экономически активного населения составила 31,3 тыс. человек, в их числе 30,5 тыс. человек или 97,4% рабочей силы заняты в экономике и 0,8 тыс. человек (2,6%) не имели занятия, но активно его искали. Уровень регистрируемой безработицы на 1 января 2022 года составил 1,8%, что на 0,3% меньше показателя 2020 года. </w:t>
      </w:r>
    </w:p>
    <w:p w:rsidR="009E26F4" w:rsidRPr="00467F9C" w:rsidRDefault="009E26F4" w:rsidP="00191861">
      <w:pPr>
        <w:ind w:firstLine="709"/>
        <w:jc w:val="both"/>
        <w:rPr>
          <w:rFonts w:eastAsia="DejaVu Sans"/>
          <w:kern w:val="2"/>
          <w:sz w:val="28"/>
          <w:szCs w:val="28"/>
          <w:lang w:eastAsia="ar-SA"/>
        </w:rPr>
      </w:pPr>
      <w:r w:rsidRPr="00467F9C">
        <w:rPr>
          <w:sz w:val="28"/>
          <w:szCs w:val="28"/>
        </w:rPr>
        <w:lastRenderedPageBreak/>
        <w:t>В 2021 году все меры социальной поддержки населения округа сохранены. Среднемесячная начисленная заработная плата работников организаций по предварительным данным выросла на 7,6% и составила 130 561,0 рублей.</w:t>
      </w:r>
      <w:r w:rsidRPr="00467F9C">
        <w:rPr>
          <w:rFonts w:eastAsia="DejaVu Sans"/>
          <w:kern w:val="2"/>
          <w:sz w:val="28"/>
          <w:szCs w:val="28"/>
          <w:lang w:eastAsia="ar-SA"/>
        </w:rPr>
        <w:t xml:space="preserve"> В отчетном году одной из самых высокооплачиваемых видов экономической деятельности являлась деятельность воздушного и космического транспорта, среднемесячная заработная плата в данном виде превысила среднемесячную заработную плату в целом по Чукотскому автономному округу в 1,6 раза.</w:t>
      </w:r>
    </w:p>
    <w:p w:rsidR="009E26F4" w:rsidRPr="00467F9C" w:rsidRDefault="009E26F4" w:rsidP="00191861">
      <w:pPr>
        <w:autoSpaceDE w:val="0"/>
        <w:autoSpaceDN w:val="0"/>
        <w:adjustRightInd w:val="0"/>
        <w:ind w:firstLine="709"/>
        <w:jc w:val="both"/>
        <w:rPr>
          <w:rFonts w:eastAsia="DejaVu Sans"/>
          <w:kern w:val="2"/>
          <w:sz w:val="28"/>
          <w:szCs w:val="28"/>
          <w:lang w:eastAsia="ar-SA"/>
        </w:rPr>
      </w:pPr>
      <w:r w:rsidRPr="00467F9C">
        <w:rPr>
          <w:rFonts w:eastAsia="DejaVu Sans"/>
          <w:kern w:val="2"/>
          <w:sz w:val="28"/>
          <w:szCs w:val="28"/>
          <w:lang w:eastAsia="ar-SA"/>
        </w:rPr>
        <w:t>Средний размер пенсии по состоянию на 1 января 2022 года составил 27 843,0 рублей, увеличившись по сравнению с 2020 годом на 5,5%. Численность пенсионеров, состоящих на учете в территориальном отделении Пенсионного фонда Российской Федерации, по состоянию на 1 января 2022 года уменьшилась в сравнении с аналогичным периодом прошлого года на 0,8% и составила 14 714 человек.</w:t>
      </w:r>
    </w:p>
    <w:p w:rsidR="009E26F4" w:rsidRPr="00467F9C" w:rsidRDefault="009E26F4" w:rsidP="00191861">
      <w:pPr>
        <w:autoSpaceDE w:val="0"/>
        <w:autoSpaceDN w:val="0"/>
        <w:adjustRightInd w:val="0"/>
        <w:ind w:firstLine="709"/>
        <w:jc w:val="both"/>
        <w:rPr>
          <w:rFonts w:eastAsia="DejaVu Sans"/>
          <w:kern w:val="2"/>
          <w:sz w:val="28"/>
          <w:szCs w:val="28"/>
          <w:lang w:eastAsia="ar-SA"/>
        </w:rPr>
      </w:pPr>
      <w:r w:rsidRPr="00467F9C">
        <w:rPr>
          <w:rFonts w:eastAsia="DejaVu Sans"/>
          <w:kern w:val="2"/>
          <w:sz w:val="28"/>
          <w:szCs w:val="28"/>
          <w:lang w:eastAsia="ar-SA"/>
        </w:rPr>
        <w:t>Величина прожиточного минимума в целом по Чукотскому автономному округу на душу населения установлена на 2021 год в размере 24 164 рубля, для трудоспособного населения – 24 875 рублей, пенсионеров – 18 660 рублей, детей – 24 853 рубля</w:t>
      </w:r>
      <w:r w:rsidRPr="00467F9C">
        <w:rPr>
          <w:rStyle w:val="ab"/>
          <w:rFonts w:eastAsia="DejaVu Sans"/>
          <w:kern w:val="2"/>
          <w:sz w:val="28"/>
          <w:szCs w:val="28"/>
          <w:lang w:eastAsia="ar-SA"/>
        </w:rPr>
        <w:footnoteReference w:id="52"/>
      </w:r>
      <w:r w:rsidRPr="00467F9C">
        <w:rPr>
          <w:rFonts w:eastAsia="DejaVu Sans"/>
          <w:kern w:val="2"/>
          <w:sz w:val="28"/>
          <w:szCs w:val="28"/>
          <w:lang w:eastAsia="ar-SA"/>
        </w:rPr>
        <w:t>.</w:t>
      </w:r>
    </w:p>
    <w:bookmarkEnd w:id="26"/>
    <w:p w:rsidR="009E26F4" w:rsidRPr="00467F9C" w:rsidRDefault="009E26F4" w:rsidP="00191861">
      <w:pPr>
        <w:spacing w:before="240" w:after="120"/>
        <w:jc w:val="center"/>
        <w:rPr>
          <w:b/>
          <w:sz w:val="28"/>
          <w:szCs w:val="28"/>
        </w:rPr>
      </w:pPr>
      <w:r w:rsidRPr="00467F9C">
        <w:rPr>
          <w:b/>
          <w:sz w:val="28"/>
          <w:szCs w:val="28"/>
        </w:rPr>
        <w:t>3. Общая характеристика исполнения окружного бюджета</w:t>
      </w:r>
    </w:p>
    <w:p w:rsidR="009E26F4" w:rsidRPr="00467F9C" w:rsidRDefault="009E26F4" w:rsidP="00191861">
      <w:pPr>
        <w:autoSpaceDE w:val="0"/>
        <w:autoSpaceDN w:val="0"/>
        <w:adjustRightInd w:val="0"/>
        <w:ind w:firstLine="709"/>
        <w:jc w:val="both"/>
        <w:rPr>
          <w:sz w:val="28"/>
          <w:szCs w:val="28"/>
        </w:rPr>
      </w:pPr>
      <w:r w:rsidRPr="00467F9C">
        <w:rPr>
          <w:sz w:val="28"/>
          <w:szCs w:val="28"/>
        </w:rPr>
        <w:t>Законом об окружном бюджете в первоначальной редакции утверждены основные параметры окружного бюджета в объемах: доходы – 49 212 282,8 тыс. рублей, расходы – 49 458 049,8 тыс. рублей, дефицит – 245 767,0 тыс. рублей.</w:t>
      </w:r>
    </w:p>
    <w:p w:rsidR="009E26F4" w:rsidRPr="00467F9C" w:rsidRDefault="009E26F4" w:rsidP="00191861">
      <w:pPr>
        <w:ind w:firstLine="709"/>
        <w:jc w:val="both"/>
        <w:rPr>
          <w:sz w:val="28"/>
          <w:szCs w:val="28"/>
        </w:rPr>
      </w:pPr>
      <w:r w:rsidRPr="00467F9C">
        <w:rPr>
          <w:sz w:val="28"/>
          <w:szCs w:val="28"/>
        </w:rPr>
        <w:t>Изменения в Закон об окружном бюджете вносились три раза, в результате доходы увеличены на 789 125,5 тыс. рублей (1,6%), расходы – на 6 590 901,9 тыс. рублей (13,3%).</w:t>
      </w:r>
    </w:p>
    <w:p w:rsidR="009E26F4" w:rsidRPr="00467F9C" w:rsidRDefault="009E26F4" w:rsidP="00191861">
      <w:pPr>
        <w:ind w:firstLine="709"/>
        <w:jc w:val="both"/>
        <w:rPr>
          <w:sz w:val="28"/>
          <w:szCs w:val="28"/>
        </w:rPr>
      </w:pPr>
      <w:r w:rsidRPr="00467F9C">
        <w:rPr>
          <w:sz w:val="28"/>
          <w:szCs w:val="28"/>
        </w:rPr>
        <w:t>Причинами внесения изменений являются уточнение прогнозного показателя объема доходов бюджета (</w:t>
      </w:r>
      <w:r w:rsidRPr="00467F9C">
        <w:rPr>
          <w:bCs/>
          <w:sz w:val="28"/>
          <w:szCs w:val="28"/>
        </w:rPr>
        <w:t xml:space="preserve">изменение отдельных позиций по налоговым и неналоговым доходам; безвозмездным поступлениям и уточнение доходов за счет увеличения возврата остатков целевых средств), </w:t>
      </w:r>
      <w:r w:rsidRPr="00467F9C">
        <w:rPr>
          <w:sz w:val="28"/>
          <w:szCs w:val="28"/>
        </w:rPr>
        <w:t>изменение объема расходов связано с перемещением бюджетных ассигнований по главным распорядителям бюджетных средств, в связи с уточнением расходных обязательств окружного бюджета в ходе его исполнения.</w:t>
      </w:r>
    </w:p>
    <w:p w:rsidR="009E26F4" w:rsidRPr="00467F9C" w:rsidRDefault="009E26F4" w:rsidP="00191861">
      <w:pPr>
        <w:autoSpaceDE w:val="0"/>
        <w:autoSpaceDN w:val="0"/>
        <w:adjustRightInd w:val="0"/>
        <w:ind w:firstLine="709"/>
        <w:jc w:val="both"/>
        <w:rPr>
          <w:rFonts w:eastAsia="Calibri"/>
          <w:sz w:val="28"/>
          <w:szCs w:val="28"/>
        </w:rPr>
      </w:pPr>
      <w:r w:rsidRPr="00467F9C">
        <w:rPr>
          <w:rFonts w:eastAsia="Calibri"/>
          <w:sz w:val="28"/>
          <w:szCs w:val="28"/>
        </w:rPr>
        <w:t>Изменения основных параметров окружного бюджета в отчетном периоде представлены в таблице №2.</w:t>
      </w:r>
    </w:p>
    <w:p w:rsidR="009E26F4" w:rsidRPr="00467F9C" w:rsidRDefault="009E26F4" w:rsidP="00191861">
      <w:pPr>
        <w:ind w:left="7082" w:firstLine="709"/>
        <w:jc w:val="right"/>
        <w:rPr>
          <w:sz w:val="28"/>
          <w:szCs w:val="28"/>
        </w:rPr>
      </w:pPr>
      <w:r w:rsidRPr="00467F9C">
        <w:rPr>
          <w:sz w:val="28"/>
          <w:szCs w:val="28"/>
        </w:rPr>
        <w:t>Таблица №2</w:t>
      </w:r>
    </w:p>
    <w:p w:rsidR="009E26F4" w:rsidRPr="00467F9C" w:rsidRDefault="009E26F4" w:rsidP="00191861">
      <w:pPr>
        <w:ind w:firstLine="709"/>
        <w:jc w:val="right"/>
        <w:rPr>
          <w:sz w:val="28"/>
          <w:szCs w:val="28"/>
        </w:rPr>
      </w:pPr>
      <w:r w:rsidRPr="00467F9C">
        <w:rPr>
          <w:sz w:val="28"/>
          <w:szCs w:val="28"/>
        </w:rPr>
        <w:t>(тыс. рублей)</w:t>
      </w:r>
    </w:p>
    <w:tbl>
      <w:tblPr>
        <w:tblW w:w="9923" w:type="dxa"/>
        <w:tblLook w:val="04A0" w:firstRow="1" w:lastRow="0" w:firstColumn="1" w:lastColumn="0" w:noHBand="0" w:noVBand="1"/>
      </w:tblPr>
      <w:tblGrid>
        <w:gridCol w:w="4390"/>
        <w:gridCol w:w="1560"/>
        <w:gridCol w:w="1422"/>
        <w:gridCol w:w="1342"/>
        <w:gridCol w:w="1209"/>
      </w:tblGrid>
      <w:tr w:rsidR="009E26F4" w:rsidRPr="00AF7E96" w:rsidTr="009E26F4">
        <w:trPr>
          <w:trHeight w:val="375"/>
        </w:trPr>
        <w:tc>
          <w:tcPr>
            <w:tcW w:w="4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26F4" w:rsidRPr="00AF7E96" w:rsidRDefault="009E26F4" w:rsidP="00191861">
            <w:pPr>
              <w:jc w:val="center"/>
              <w:rPr>
                <w:sz w:val="20"/>
                <w:szCs w:val="20"/>
              </w:rPr>
            </w:pPr>
            <w:r w:rsidRPr="00AF7E96">
              <w:rPr>
                <w:sz w:val="20"/>
                <w:szCs w:val="20"/>
              </w:rPr>
              <w:t>Наименование показателя</w:t>
            </w:r>
          </w:p>
        </w:tc>
        <w:tc>
          <w:tcPr>
            <w:tcW w:w="2982" w:type="dxa"/>
            <w:gridSpan w:val="2"/>
            <w:tcBorders>
              <w:top w:val="single" w:sz="4" w:space="0" w:color="auto"/>
              <w:left w:val="nil"/>
              <w:bottom w:val="single" w:sz="4" w:space="0" w:color="auto"/>
              <w:right w:val="single" w:sz="4" w:space="0" w:color="000000"/>
            </w:tcBorders>
            <w:shd w:val="clear" w:color="auto" w:fill="auto"/>
            <w:vAlign w:val="center"/>
            <w:hideMark/>
          </w:tcPr>
          <w:p w:rsidR="009E26F4" w:rsidRPr="00AF7E96" w:rsidRDefault="009E26F4" w:rsidP="00191861">
            <w:pPr>
              <w:jc w:val="center"/>
              <w:rPr>
                <w:sz w:val="20"/>
                <w:szCs w:val="20"/>
              </w:rPr>
            </w:pPr>
            <w:r w:rsidRPr="00AF7E96">
              <w:rPr>
                <w:sz w:val="20"/>
                <w:szCs w:val="20"/>
              </w:rPr>
              <w:t xml:space="preserve">Закон об окружном бюджете </w:t>
            </w:r>
            <w:r w:rsidRPr="00AF7E96">
              <w:rPr>
                <w:sz w:val="20"/>
                <w:szCs w:val="20"/>
              </w:rPr>
              <w:br/>
              <w:t>на 2021 год</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9E26F4" w:rsidRPr="00AF7E96" w:rsidRDefault="009E26F4" w:rsidP="00191861">
            <w:pPr>
              <w:jc w:val="center"/>
              <w:rPr>
                <w:sz w:val="20"/>
                <w:szCs w:val="20"/>
              </w:rPr>
            </w:pPr>
            <w:r w:rsidRPr="00AF7E96">
              <w:rPr>
                <w:sz w:val="20"/>
                <w:szCs w:val="20"/>
              </w:rPr>
              <w:t xml:space="preserve">Изменения </w:t>
            </w:r>
          </w:p>
        </w:tc>
      </w:tr>
      <w:tr w:rsidR="009E26F4" w:rsidRPr="00AF7E96" w:rsidTr="009E26F4">
        <w:trPr>
          <w:trHeight w:val="360"/>
        </w:trPr>
        <w:tc>
          <w:tcPr>
            <w:tcW w:w="4390" w:type="dxa"/>
            <w:vMerge/>
            <w:tcBorders>
              <w:top w:val="single" w:sz="4" w:space="0" w:color="auto"/>
              <w:left w:val="single" w:sz="4" w:space="0" w:color="auto"/>
              <w:bottom w:val="single" w:sz="4" w:space="0" w:color="auto"/>
              <w:right w:val="single" w:sz="4" w:space="0" w:color="auto"/>
            </w:tcBorders>
            <w:vAlign w:val="center"/>
            <w:hideMark/>
          </w:tcPr>
          <w:p w:rsidR="009E26F4" w:rsidRPr="00AF7E96" w:rsidRDefault="009E26F4" w:rsidP="00191861">
            <w:pPr>
              <w:rPr>
                <w:sz w:val="20"/>
                <w:szCs w:val="20"/>
              </w:rPr>
            </w:pPr>
          </w:p>
        </w:tc>
        <w:tc>
          <w:tcPr>
            <w:tcW w:w="1560" w:type="dxa"/>
            <w:tcBorders>
              <w:top w:val="nil"/>
              <w:left w:val="nil"/>
              <w:bottom w:val="single" w:sz="4" w:space="0" w:color="auto"/>
              <w:right w:val="single" w:sz="4" w:space="0" w:color="auto"/>
            </w:tcBorders>
            <w:shd w:val="clear" w:color="auto" w:fill="auto"/>
            <w:vAlign w:val="center"/>
            <w:hideMark/>
          </w:tcPr>
          <w:p w:rsidR="009E26F4" w:rsidRPr="00AF7E96" w:rsidRDefault="009E26F4" w:rsidP="00191861">
            <w:pPr>
              <w:jc w:val="center"/>
              <w:rPr>
                <w:sz w:val="20"/>
                <w:szCs w:val="20"/>
              </w:rPr>
            </w:pPr>
            <w:r w:rsidRPr="00AF7E96">
              <w:rPr>
                <w:sz w:val="20"/>
                <w:szCs w:val="20"/>
              </w:rPr>
              <w:t>от 16.12.2020 г.</w:t>
            </w:r>
            <w:r w:rsidRPr="00AF7E96">
              <w:rPr>
                <w:sz w:val="20"/>
                <w:szCs w:val="20"/>
              </w:rPr>
              <w:br/>
              <w:t xml:space="preserve"> №74-ОЗ</w:t>
            </w:r>
          </w:p>
        </w:tc>
        <w:tc>
          <w:tcPr>
            <w:tcW w:w="1422" w:type="dxa"/>
            <w:tcBorders>
              <w:top w:val="nil"/>
              <w:left w:val="nil"/>
              <w:bottom w:val="single" w:sz="4" w:space="0" w:color="auto"/>
              <w:right w:val="single" w:sz="4" w:space="0" w:color="auto"/>
            </w:tcBorders>
            <w:shd w:val="clear" w:color="auto" w:fill="auto"/>
            <w:vAlign w:val="center"/>
            <w:hideMark/>
          </w:tcPr>
          <w:p w:rsidR="009E26F4" w:rsidRPr="00AF7E96" w:rsidRDefault="009E26F4" w:rsidP="00AF7E96">
            <w:pPr>
              <w:ind w:left="-104" w:right="-96"/>
              <w:jc w:val="center"/>
              <w:rPr>
                <w:sz w:val="20"/>
                <w:szCs w:val="20"/>
              </w:rPr>
            </w:pPr>
            <w:r w:rsidRPr="00AF7E96">
              <w:rPr>
                <w:sz w:val="20"/>
                <w:szCs w:val="20"/>
              </w:rPr>
              <w:t>от 09.12.2021 г.</w:t>
            </w:r>
            <w:r w:rsidRPr="00AF7E96">
              <w:rPr>
                <w:sz w:val="20"/>
                <w:szCs w:val="20"/>
              </w:rPr>
              <w:br/>
              <w:t xml:space="preserve"> №75-ОЗ</w:t>
            </w:r>
          </w:p>
        </w:tc>
        <w:tc>
          <w:tcPr>
            <w:tcW w:w="1342"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center"/>
              <w:rPr>
                <w:sz w:val="20"/>
                <w:szCs w:val="20"/>
              </w:rPr>
            </w:pPr>
            <w:r w:rsidRPr="00AF7E96">
              <w:rPr>
                <w:sz w:val="20"/>
                <w:szCs w:val="20"/>
              </w:rPr>
              <w:t>сумма</w:t>
            </w:r>
          </w:p>
        </w:tc>
        <w:tc>
          <w:tcPr>
            <w:tcW w:w="1209"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center"/>
              <w:rPr>
                <w:sz w:val="20"/>
                <w:szCs w:val="20"/>
              </w:rPr>
            </w:pPr>
            <w:r w:rsidRPr="00AF7E96">
              <w:rPr>
                <w:sz w:val="20"/>
                <w:szCs w:val="20"/>
              </w:rPr>
              <w:t>процент</w:t>
            </w:r>
          </w:p>
        </w:tc>
      </w:tr>
      <w:tr w:rsidR="009E26F4" w:rsidRPr="00AF7E96" w:rsidTr="009E26F4">
        <w:trPr>
          <w:trHeight w:val="27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9E26F4" w:rsidRPr="00AF7E96" w:rsidRDefault="009E26F4" w:rsidP="00191861">
            <w:pPr>
              <w:jc w:val="center"/>
              <w:rPr>
                <w:sz w:val="20"/>
                <w:szCs w:val="20"/>
              </w:rPr>
            </w:pPr>
            <w:r w:rsidRPr="00AF7E96">
              <w:rPr>
                <w:sz w:val="20"/>
                <w:szCs w:val="20"/>
              </w:rPr>
              <w:t>1</w:t>
            </w:r>
          </w:p>
        </w:tc>
        <w:tc>
          <w:tcPr>
            <w:tcW w:w="1560" w:type="dxa"/>
            <w:tcBorders>
              <w:top w:val="nil"/>
              <w:left w:val="nil"/>
              <w:bottom w:val="single" w:sz="4" w:space="0" w:color="auto"/>
              <w:right w:val="single" w:sz="4" w:space="0" w:color="auto"/>
            </w:tcBorders>
            <w:shd w:val="clear" w:color="auto" w:fill="auto"/>
            <w:vAlign w:val="center"/>
            <w:hideMark/>
          </w:tcPr>
          <w:p w:rsidR="009E26F4" w:rsidRPr="00AF7E96" w:rsidRDefault="009E26F4" w:rsidP="00191861">
            <w:pPr>
              <w:jc w:val="center"/>
              <w:rPr>
                <w:sz w:val="20"/>
                <w:szCs w:val="20"/>
              </w:rPr>
            </w:pPr>
            <w:r w:rsidRPr="00AF7E96">
              <w:rPr>
                <w:sz w:val="20"/>
                <w:szCs w:val="20"/>
              </w:rPr>
              <w:t>2</w:t>
            </w:r>
          </w:p>
        </w:tc>
        <w:tc>
          <w:tcPr>
            <w:tcW w:w="1422" w:type="dxa"/>
            <w:tcBorders>
              <w:top w:val="nil"/>
              <w:left w:val="nil"/>
              <w:bottom w:val="single" w:sz="4" w:space="0" w:color="auto"/>
              <w:right w:val="single" w:sz="4" w:space="0" w:color="auto"/>
            </w:tcBorders>
            <w:shd w:val="clear" w:color="auto" w:fill="auto"/>
            <w:vAlign w:val="center"/>
            <w:hideMark/>
          </w:tcPr>
          <w:p w:rsidR="009E26F4" w:rsidRPr="00AF7E96" w:rsidRDefault="009E26F4" w:rsidP="00191861">
            <w:pPr>
              <w:jc w:val="center"/>
              <w:rPr>
                <w:sz w:val="20"/>
                <w:szCs w:val="20"/>
              </w:rPr>
            </w:pPr>
            <w:r w:rsidRPr="00AF7E96">
              <w:rPr>
                <w:sz w:val="20"/>
                <w:szCs w:val="20"/>
              </w:rPr>
              <w:t>3</w:t>
            </w:r>
          </w:p>
        </w:tc>
        <w:tc>
          <w:tcPr>
            <w:tcW w:w="1342" w:type="dxa"/>
            <w:tcBorders>
              <w:top w:val="nil"/>
              <w:left w:val="nil"/>
              <w:bottom w:val="single" w:sz="4" w:space="0" w:color="auto"/>
              <w:right w:val="single" w:sz="4" w:space="0" w:color="auto"/>
            </w:tcBorders>
            <w:shd w:val="clear" w:color="auto" w:fill="auto"/>
            <w:vAlign w:val="center"/>
            <w:hideMark/>
          </w:tcPr>
          <w:p w:rsidR="009E26F4" w:rsidRPr="00AF7E96" w:rsidRDefault="009E26F4" w:rsidP="00191861">
            <w:pPr>
              <w:jc w:val="center"/>
              <w:rPr>
                <w:sz w:val="20"/>
                <w:szCs w:val="20"/>
              </w:rPr>
            </w:pPr>
            <w:r w:rsidRPr="00AF7E96">
              <w:rPr>
                <w:sz w:val="20"/>
                <w:szCs w:val="20"/>
              </w:rPr>
              <w:t>4</w:t>
            </w:r>
          </w:p>
        </w:tc>
        <w:tc>
          <w:tcPr>
            <w:tcW w:w="1209" w:type="dxa"/>
            <w:tcBorders>
              <w:top w:val="nil"/>
              <w:left w:val="nil"/>
              <w:bottom w:val="single" w:sz="4" w:space="0" w:color="auto"/>
              <w:right w:val="single" w:sz="4" w:space="0" w:color="auto"/>
            </w:tcBorders>
            <w:shd w:val="clear" w:color="auto" w:fill="auto"/>
            <w:vAlign w:val="center"/>
            <w:hideMark/>
          </w:tcPr>
          <w:p w:rsidR="009E26F4" w:rsidRPr="00AF7E96" w:rsidRDefault="009E26F4" w:rsidP="00191861">
            <w:pPr>
              <w:jc w:val="center"/>
              <w:rPr>
                <w:sz w:val="20"/>
                <w:szCs w:val="20"/>
              </w:rPr>
            </w:pPr>
            <w:r w:rsidRPr="00AF7E96">
              <w:rPr>
                <w:sz w:val="20"/>
                <w:szCs w:val="20"/>
              </w:rPr>
              <w:t>5</w:t>
            </w:r>
          </w:p>
        </w:tc>
      </w:tr>
      <w:tr w:rsidR="009E26F4" w:rsidRPr="00AF7E96" w:rsidTr="009E26F4">
        <w:trPr>
          <w:trHeight w:val="30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9E26F4" w:rsidRPr="00AF7E96" w:rsidRDefault="009E26F4" w:rsidP="00191861">
            <w:pPr>
              <w:rPr>
                <w:b/>
                <w:bCs/>
                <w:sz w:val="20"/>
                <w:szCs w:val="20"/>
              </w:rPr>
            </w:pPr>
            <w:r w:rsidRPr="00AF7E96">
              <w:rPr>
                <w:b/>
                <w:bCs/>
                <w:sz w:val="20"/>
                <w:szCs w:val="20"/>
              </w:rPr>
              <w:t>Доходы,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b/>
                <w:bCs/>
                <w:sz w:val="20"/>
                <w:szCs w:val="20"/>
              </w:rPr>
            </w:pPr>
            <w:r w:rsidRPr="00AF7E96">
              <w:rPr>
                <w:b/>
                <w:bCs/>
                <w:sz w:val="20"/>
                <w:szCs w:val="20"/>
              </w:rPr>
              <w:t>49 212 282,8</w:t>
            </w:r>
          </w:p>
        </w:tc>
        <w:tc>
          <w:tcPr>
            <w:tcW w:w="1422"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b/>
                <w:bCs/>
                <w:sz w:val="20"/>
                <w:szCs w:val="20"/>
              </w:rPr>
            </w:pPr>
            <w:r w:rsidRPr="00AF7E96">
              <w:rPr>
                <w:b/>
                <w:bCs/>
                <w:sz w:val="20"/>
                <w:szCs w:val="20"/>
              </w:rPr>
              <w:t>50 001 408,3</w:t>
            </w:r>
          </w:p>
        </w:tc>
        <w:tc>
          <w:tcPr>
            <w:tcW w:w="1342"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b/>
                <w:bCs/>
                <w:sz w:val="20"/>
                <w:szCs w:val="20"/>
              </w:rPr>
            </w:pPr>
            <w:r w:rsidRPr="00AF7E96">
              <w:rPr>
                <w:b/>
                <w:bCs/>
                <w:sz w:val="20"/>
                <w:szCs w:val="20"/>
              </w:rPr>
              <w:t>789 125,5</w:t>
            </w:r>
          </w:p>
        </w:tc>
        <w:tc>
          <w:tcPr>
            <w:tcW w:w="1209"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center"/>
              <w:rPr>
                <w:b/>
                <w:bCs/>
                <w:sz w:val="20"/>
                <w:szCs w:val="20"/>
              </w:rPr>
            </w:pPr>
            <w:r w:rsidRPr="00AF7E96">
              <w:rPr>
                <w:b/>
                <w:bCs/>
                <w:sz w:val="20"/>
                <w:szCs w:val="20"/>
              </w:rPr>
              <w:t>1,6</w:t>
            </w:r>
          </w:p>
        </w:tc>
      </w:tr>
      <w:tr w:rsidR="009E26F4" w:rsidRPr="00AF7E96" w:rsidTr="009E26F4">
        <w:trPr>
          <w:trHeight w:val="30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9E26F4" w:rsidRPr="00AF7E96" w:rsidRDefault="009E26F4" w:rsidP="00191861">
            <w:pPr>
              <w:rPr>
                <w:sz w:val="20"/>
                <w:szCs w:val="20"/>
              </w:rPr>
            </w:pPr>
            <w:r w:rsidRPr="00AF7E96">
              <w:rPr>
                <w:sz w:val="20"/>
                <w:szCs w:val="20"/>
              </w:rPr>
              <w:t>Налоговые доходы</w:t>
            </w:r>
          </w:p>
        </w:tc>
        <w:tc>
          <w:tcPr>
            <w:tcW w:w="1560"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16 190 963,7</w:t>
            </w:r>
          </w:p>
        </w:tc>
        <w:tc>
          <w:tcPr>
            <w:tcW w:w="1422"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18 388 180,6</w:t>
            </w:r>
          </w:p>
        </w:tc>
        <w:tc>
          <w:tcPr>
            <w:tcW w:w="1342"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2 197 216,9</w:t>
            </w:r>
          </w:p>
        </w:tc>
        <w:tc>
          <w:tcPr>
            <w:tcW w:w="1209"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center"/>
              <w:rPr>
                <w:sz w:val="20"/>
                <w:szCs w:val="20"/>
              </w:rPr>
            </w:pPr>
            <w:r w:rsidRPr="00AF7E96">
              <w:rPr>
                <w:sz w:val="20"/>
                <w:szCs w:val="20"/>
              </w:rPr>
              <w:t>13,6</w:t>
            </w:r>
          </w:p>
        </w:tc>
      </w:tr>
      <w:tr w:rsidR="009E26F4" w:rsidRPr="00AF7E96" w:rsidTr="00AF7E96">
        <w:trPr>
          <w:trHeight w:val="248"/>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9E26F4" w:rsidRPr="00AF7E96" w:rsidRDefault="009E26F4" w:rsidP="00191861">
            <w:pPr>
              <w:rPr>
                <w:sz w:val="20"/>
                <w:szCs w:val="20"/>
              </w:rPr>
            </w:pPr>
            <w:r w:rsidRPr="00AF7E96">
              <w:rPr>
                <w:sz w:val="20"/>
                <w:szCs w:val="20"/>
              </w:rPr>
              <w:t>Неналоговые доходы</w:t>
            </w:r>
          </w:p>
        </w:tc>
        <w:tc>
          <w:tcPr>
            <w:tcW w:w="1560"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103 379,1</w:t>
            </w:r>
          </w:p>
        </w:tc>
        <w:tc>
          <w:tcPr>
            <w:tcW w:w="1422"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438 753,9</w:t>
            </w:r>
          </w:p>
        </w:tc>
        <w:tc>
          <w:tcPr>
            <w:tcW w:w="1342"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right"/>
              <w:rPr>
                <w:sz w:val="20"/>
                <w:szCs w:val="20"/>
              </w:rPr>
            </w:pPr>
            <w:r w:rsidRPr="00AF7E96">
              <w:rPr>
                <w:sz w:val="20"/>
                <w:szCs w:val="20"/>
              </w:rPr>
              <w:t>335 374,8</w:t>
            </w:r>
          </w:p>
        </w:tc>
        <w:tc>
          <w:tcPr>
            <w:tcW w:w="1209" w:type="dxa"/>
            <w:tcBorders>
              <w:top w:val="nil"/>
              <w:left w:val="nil"/>
              <w:bottom w:val="single" w:sz="4" w:space="0" w:color="auto"/>
              <w:right w:val="single" w:sz="4" w:space="0" w:color="auto"/>
            </w:tcBorders>
            <w:shd w:val="clear" w:color="auto" w:fill="auto"/>
            <w:noWrap/>
            <w:vAlign w:val="center"/>
            <w:hideMark/>
          </w:tcPr>
          <w:p w:rsidR="009E26F4" w:rsidRPr="00AF7E96" w:rsidRDefault="009E26F4" w:rsidP="00191861">
            <w:pPr>
              <w:jc w:val="center"/>
              <w:rPr>
                <w:sz w:val="20"/>
                <w:szCs w:val="20"/>
              </w:rPr>
            </w:pPr>
            <w:r w:rsidRPr="00AF7E96">
              <w:rPr>
                <w:sz w:val="20"/>
                <w:szCs w:val="20"/>
              </w:rPr>
              <w:t>в 3,2 раза</w:t>
            </w:r>
          </w:p>
        </w:tc>
      </w:tr>
      <w:tr w:rsidR="003601C9" w:rsidRPr="00AF7E96" w:rsidTr="003119CB">
        <w:trPr>
          <w:trHeight w:val="300"/>
        </w:trPr>
        <w:tc>
          <w:tcPr>
            <w:tcW w:w="4390" w:type="dxa"/>
            <w:vMerge w:val="restart"/>
            <w:tcBorders>
              <w:top w:val="single" w:sz="4" w:space="0" w:color="auto"/>
              <w:left w:val="single" w:sz="4" w:space="0" w:color="auto"/>
              <w:right w:val="single" w:sz="4" w:space="0" w:color="auto"/>
            </w:tcBorders>
            <w:shd w:val="clear" w:color="auto" w:fill="auto"/>
            <w:vAlign w:val="center"/>
          </w:tcPr>
          <w:p w:rsidR="003601C9" w:rsidRPr="00AF7E96" w:rsidRDefault="003601C9" w:rsidP="003601C9">
            <w:pPr>
              <w:jc w:val="center"/>
              <w:rPr>
                <w:sz w:val="20"/>
                <w:szCs w:val="20"/>
              </w:rPr>
            </w:pPr>
            <w:r w:rsidRPr="00AF7E96">
              <w:rPr>
                <w:sz w:val="20"/>
                <w:szCs w:val="20"/>
              </w:rPr>
              <w:lastRenderedPageBreak/>
              <w:t>Наименование показателя</w:t>
            </w:r>
          </w:p>
        </w:tc>
        <w:tc>
          <w:tcPr>
            <w:tcW w:w="29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601C9" w:rsidRPr="00AF7E96" w:rsidRDefault="003601C9" w:rsidP="003601C9">
            <w:pPr>
              <w:jc w:val="center"/>
              <w:rPr>
                <w:sz w:val="20"/>
                <w:szCs w:val="20"/>
              </w:rPr>
            </w:pPr>
            <w:r w:rsidRPr="00AF7E96">
              <w:rPr>
                <w:sz w:val="20"/>
                <w:szCs w:val="20"/>
              </w:rPr>
              <w:t xml:space="preserve">Закон об окружном бюджете </w:t>
            </w:r>
            <w:r w:rsidRPr="00AF7E96">
              <w:rPr>
                <w:sz w:val="20"/>
                <w:szCs w:val="20"/>
              </w:rPr>
              <w:br/>
              <w:t>на 2021 год</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601C9" w:rsidRPr="00AF7E96" w:rsidRDefault="003601C9" w:rsidP="003601C9">
            <w:pPr>
              <w:jc w:val="center"/>
              <w:rPr>
                <w:sz w:val="20"/>
                <w:szCs w:val="20"/>
              </w:rPr>
            </w:pPr>
            <w:r w:rsidRPr="00AF7E96">
              <w:rPr>
                <w:sz w:val="20"/>
                <w:szCs w:val="20"/>
              </w:rPr>
              <w:t>Изменения</w:t>
            </w:r>
          </w:p>
        </w:tc>
      </w:tr>
      <w:tr w:rsidR="003601C9" w:rsidRPr="00AF7E96" w:rsidTr="003119CB">
        <w:trPr>
          <w:trHeight w:val="300"/>
        </w:trPr>
        <w:tc>
          <w:tcPr>
            <w:tcW w:w="4390" w:type="dxa"/>
            <w:vMerge/>
            <w:tcBorders>
              <w:left w:val="single" w:sz="4" w:space="0" w:color="auto"/>
              <w:bottom w:val="single" w:sz="4" w:space="0" w:color="auto"/>
              <w:right w:val="single" w:sz="4" w:space="0" w:color="auto"/>
            </w:tcBorders>
            <w:shd w:val="clear" w:color="auto" w:fill="auto"/>
            <w:vAlign w:val="center"/>
          </w:tcPr>
          <w:p w:rsidR="003601C9" w:rsidRPr="00AF7E96" w:rsidRDefault="003601C9" w:rsidP="003601C9">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01C9" w:rsidRPr="00AF7E96" w:rsidRDefault="003601C9" w:rsidP="003601C9">
            <w:pPr>
              <w:jc w:val="center"/>
              <w:rPr>
                <w:sz w:val="20"/>
                <w:szCs w:val="20"/>
              </w:rPr>
            </w:pPr>
            <w:r w:rsidRPr="00AF7E96">
              <w:rPr>
                <w:sz w:val="20"/>
                <w:szCs w:val="20"/>
              </w:rPr>
              <w:t>от 16.12.2020 г.</w:t>
            </w:r>
            <w:r w:rsidRPr="00AF7E96">
              <w:rPr>
                <w:sz w:val="20"/>
                <w:szCs w:val="20"/>
              </w:rPr>
              <w:br/>
              <w:t xml:space="preserve"> №74-ОЗ</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01C9" w:rsidRPr="00AF7E96" w:rsidRDefault="003601C9" w:rsidP="003601C9">
            <w:pPr>
              <w:ind w:left="-104" w:right="-96"/>
              <w:jc w:val="center"/>
              <w:rPr>
                <w:sz w:val="20"/>
                <w:szCs w:val="20"/>
              </w:rPr>
            </w:pPr>
            <w:r w:rsidRPr="00AF7E96">
              <w:rPr>
                <w:sz w:val="20"/>
                <w:szCs w:val="20"/>
              </w:rPr>
              <w:t>от 09.12.2021 г.</w:t>
            </w:r>
            <w:r w:rsidRPr="00AF7E96">
              <w:rPr>
                <w:sz w:val="20"/>
                <w:szCs w:val="20"/>
              </w:rPr>
              <w:br/>
              <w:t xml:space="preserve"> №75-ОЗ</w:t>
            </w:r>
          </w:p>
        </w:tc>
        <w:tc>
          <w:tcPr>
            <w:tcW w:w="13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01C9" w:rsidRPr="00AF7E96" w:rsidRDefault="003601C9" w:rsidP="003601C9">
            <w:pPr>
              <w:jc w:val="center"/>
              <w:rPr>
                <w:sz w:val="20"/>
                <w:szCs w:val="20"/>
              </w:rPr>
            </w:pPr>
            <w:r w:rsidRPr="00AF7E96">
              <w:rPr>
                <w:sz w:val="20"/>
                <w:szCs w:val="20"/>
              </w:rPr>
              <w:t>сумма</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01C9" w:rsidRPr="00AF7E96" w:rsidRDefault="003601C9" w:rsidP="003601C9">
            <w:pPr>
              <w:jc w:val="center"/>
              <w:rPr>
                <w:sz w:val="20"/>
                <w:szCs w:val="20"/>
              </w:rPr>
            </w:pPr>
            <w:r w:rsidRPr="00AF7E96">
              <w:rPr>
                <w:sz w:val="20"/>
                <w:szCs w:val="20"/>
              </w:rPr>
              <w:t>процент</w:t>
            </w:r>
          </w:p>
        </w:tc>
      </w:tr>
      <w:tr w:rsidR="003601C9" w:rsidRPr="00AF7E96" w:rsidTr="00AF7E96">
        <w:trPr>
          <w:trHeight w:val="30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rsidR="003601C9" w:rsidRPr="00AF7E96" w:rsidRDefault="003601C9" w:rsidP="003601C9">
            <w:pPr>
              <w:jc w:val="center"/>
              <w:rPr>
                <w:sz w:val="20"/>
                <w:szCs w:val="20"/>
              </w:rPr>
            </w:pPr>
            <w:r w:rsidRPr="00AF7E96">
              <w:rPr>
                <w:sz w:val="20"/>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01C9" w:rsidRPr="00AF7E96" w:rsidRDefault="003601C9" w:rsidP="003601C9">
            <w:pPr>
              <w:jc w:val="center"/>
              <w:rPr>
                <w:sz w:val="20"/>
                <w:szCs w:val="20"/>
              </w:rPr>
            </w:pPr>
            <w:r w:rsidRPr="00AF7E96">
              <w:rPr>
                <w:sz w:val="20"/>
                <w:szCs w:val="20"/>
              </w:rPr>
              <w:t>2</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01C9" w:rsidRPr="00AF7E96" w:rsidRDefault="003601C9" w:rsidP="003601C9">
            <w:pPr>
              <w:jc w:val="center"/>
              <w:rPr>
                <w:sz w:val="20"/>
                <w:szCs w:val="20"/>
              </w:rPr>
            </w:pPr>
            <w:r w:rsidRPr="00AF7E96">
              <w:rPr>
                <w:sz w:val="20"/>
                <w:szCs w:val="20"/>
              </w:rPr>
              <w:t>3</w:t>
            </w:r>
          </w:p>
        </w:tc>
        <w:tc>
          <w:tcPr>
            <w:tcW w:w="13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01C9" w:rsidRPr="00AF7E96" w:rsidRDefault="003601C9" w:rsidP="003601C9">
            <w:pPr>
              <w:jc w:val="center"/>
              <w:rPr>
                <w:sz w:val="20"/>
                <w:szCs w:val="20"/>
              </w:rPr>
            </w:pPr>
            <w:r w:rsidRPr="00AF7E96">
              <w:rPr>
                <w:sz w:val="20"/>
                <w:szCs w:val="20"/>
              </w:rPr>
              <w:t>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01C9" w:rsidRPr="00AF7E96" w:rsidRDefault="003601C9" w:rsidP="003601C9">
            <w:pPr>
              <w:jc w:val="center"/>
              <w:rPr>
                <w:sz w:val="20"/>
                <w:szCs w:val="20"/>
              </w:rPr>
            </w:pPr>
            <w:r w:rsidRPr="00AF7E96">
              <w:rPr>
                <w:sz w:val="20"/>
                <w:szCs w:val="20"/>
              </w:rPr>
              <w:t>5</w:t>
            </w:r>
          </w:p>
        </w:tc>
      </w:tr>
      <w:tr w:rsidR="003601C9" w:rsidRPr="00AF7E96" w:rsidTr="00AF7E96">
        <w:trPr>
          <w:trHeight w:val="30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01C9" w:rsidRPr="00AF7E96" w:rsidRDefault="003601C9" w:rsidP="003601C9">
            <w:pPr>
              <w:rPr>
                <w:sz w:val="20"/>
                <w:szCs w:val="20"/>
              </w:rPr>
            </w:pPr>
            <w:r w:rsidRPr="00AF7E96">
              <w:rPr>
                <w:sz w:val="20"/>
                <w:szCs w:val="20"/>
              </w:rPr>
              <w:t>Безвозмездные поступления</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1C9" w:rsidRPr="00AF7E96" w:rsidRDefault="003601C9" w:rsidP="003601C9">
            <w:pPr>
              <w:jc w:val="right"/>
              <w:rPr>
                <w:sz w:val="20"/>
                <w:szCs w:val="20"/>
              </w:rPr>
            </w:pPr>
            <w:r w:rsidRPr="00AF7E96">
              <w:rPr>
                <w:sz w:val="20"/>
                <w:szCs w:val="20"/>
              </w:rPr>
              <w:t>32 917 940,0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1C9" w:rsidRPr="00AF7E96" w:rsidRDefault="003601C9" w:rsidP="003601C9">
            <w:pPr>
              <w:jc w:val="right"/>
              <w:rPr>
                <w:sz w:val="20"/>
                <w:szCs w:val="20"/>
              </w:rPr>
            </w:pPr>
            <w:r w:rsidRPr="00AF7E96">
              <w:rPr>
                <w:sz w:val="20"/>
                <w:szCs w:val="20"/>
              </w:rPr>
              <w:t>31 174 473,8</w:t>
            </w:r>
          </w:p>
        </w:tc>
        <w:tc>
          <w:tcPr>
            <w:tcW w:w="1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1C9" w:rsidRPr="00AF7E96" w:rsidRDefault="003601C9" w:rsidP="003601C9">
            <w:pPr>
              <w:jc w:val="right"/>
              <w:rPr>
                <w:sz w:val="20"/>
                <w:szCs w:val="20"/>
              </w:rPr>
            </w:pPr>
            <w:r w:rsidRPr="00AF7E96">
              <w:rPr>
                <w:sz w:val="20"/>
                <w:szCs w:val="20"/>
              </w:rPr>
              <w:t>-1 743 466,2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1C9" w:rsidRPr="00AF7E96" w:rsidRDefault="003601C9" w:rsidP="003601C9">
            <w:pPr>
              <w:jc w:val="center"/>
              <w:rPr>
                <w:sz w:val="20"/>
                <w:szCs w:val="20"/>
              </w:rPr>
            </w:pPr>
            <w:r w:rsidRPr="00AF7E96">
              <w:rPr>
                <w:sz w:val="20"/>
                <w:szCs w:val="20"/>
              </w:rPr>
              <w:t>-5,3</w:t>
            </w:r>
          </w:p>
        </w:tc>
      </w:tr>
      <w:tr w:rsidR="003601C9" w:rsidRPr="00AF7E96" w:rsidTr="00AF7E96">
        <w:trPr>
          <w:trHeight w:val="30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01C9" w:rsidRPr="00AF7E96" w:rsidRDefault="003601C9" w:rsidP="003601C9">
            <w:pPr>
              <w:rPr>
                <w:b/>
                <w:bCs/>
                <w:sz w:val="20"/>
                <w:szCs w:val="20"/>
              </w:rPr>
            </w:pPr>
            <w:r w:rsidRPr="00AF7E96">
              <w:rPr>
                <w:b/>
                <w:bCs/>
                <w:sz w:val="20"/>
                <w:szCs w:val="20"/>
              </w:rPr>
              <w:t>Расходы</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601C9" w:rsidRPr="00AF7E96" w:rsidRDefault="003601C9" w:rsidP="003601C9">
            <w:pPr>
              <w:jc w:val="right"/>
              <w:rPr>
                <w:b/>
                <w:bCs/>
                <w:sz w:val="20"/>
                <w:szCs w:val="20"/>
              </w:rPr>
            </w:pPr>
            <w:r w:rsidRPr="00AF7E96">
              <w:rPr>
                <w:b/>
                <w:bCs/>
                <w:sz w:val="20"/>
                <w:szCs w:val="20"/>
              </w:rPr>
              <w:t>49 458 049,8</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rsidR="003601C9" w:rsidRPr="00AF7E96" w:rsidRDefault="003601C9" w:rsidP="003601C9">
            <w:pPr>
              <w:jc w:val="right"/>
              <w:rPr>
                <w:b/>
                <w:bCs/>
                <w:sz w:val="20"/>
                <w:szCs w:val="20"/>
              </w:rPr>
            </w:pPr>
            <w:r w:rsidRPr="00AF7E96">
              <w:rPr>
                <w:b/>
                <w:bCs/>
                <w:sz w:val="20"/>
                <w:szCs w:val="20"/>
              </w:rPr>
              <w:t>56 048 951,7</w:t>
            </w:r>
          </w:p>
        </w:tc>
        <w:tc>
          <w:tcPr>
            <w:tcW w:w="1342" w:type="dxa"/>
            <w:tcBorders>
              <w:top w:val="single" w:sz="4" w:space="0" w:color="auto"/>
              <w:left w:val="nil"/>
              <w:bottom w:val="single" w:sz="4" w:space="0" w:color="auto"/>
              <w:right w:val="single" w:sz="4" w:space="0" w:color="auto"/>
            </w:tcBorders>
            <w:shd w:val="clear" w:color="auto" w:fill="auto"/>
            <w:noWrap/>
            <w:vAlign w:val="center"/>
            <w:hideMark/>
          </w:tcPr>
          <w:p w:rsidR="003601C9" w:rsidRPr="00AF7E96" w:rsidRDefault="003601C9" w:rsidP="003601C9">
            <w:pPr>
              <w:jc w:val="right"/>
              <w:rPr>
                <w:b/>
                <w:bCs/>
                <w:sz w:val="20"/>
                <w:szCs w:val="20"/>
              </w:rPr>
            </w:pPr>
            <w:r w:rsidRPr="00AF7E96">
              <w:rPr>
                <w:b/>
                <w:bCs/>
                <w:sz w:val="20"/>
                <w:szCs w:val="20"/>
              </w:rPr>
              <w:t>6 590 901,9</w:t>
            </w:r>
          </w:p>
        </w:tc>
        <w:tc>
          <w:tcPr>
            <w:tcW w:w="1209" w:type="dxa"/>
            <w:tcBorders>
              <w:top w:val="single" w:sz="4" w:space="0" w:color="auto"/>
              <w:left w:val="nil"/>
              <w:bottom w:val="single" w:sz="4" w:space="0" w:color="auto"/>
              <w:right w:val="single" w:sz="4" w:space="0" w:color="auto"/>
            </w:tcBorders>
            <w:shd w:val="clear" w:color="auto" w:fill="auto"/>
            <w:noWrap/>
            <w:vAlign w:val="center"/>
            <w:hideMark/>
          </w:tcPr>
          <w:p w:rsidR="003601C9" w:rsidRPr="00AF7E96" w:rsidRDefault="003601C9" w:rsidP="003601C9">
            <w:pPr>
              <w:jc w:val="center"/>
              <w:rPr>
                <w:b/>
                <w:bCs/>
                <w:sz w:val="20"/>
                <w:szCs w:val="20"/>
              </w:rPr>
            </w:pPr>
            <w:r w:rsidRPr="00AF7E96">
              <w:rPr>
                <w:b/>
                <w:bCs/>
                <w:sz w:val="20"/>
                <w:szCs w:val="20"/>
              </w:rPr>
              <w:t>13,3</w:t>
            </w:r>
          </w:p>
        </w:tc>
      </w:tr>
      <w:tr w:rsidR="003601C9" w:rsidRPr="00AF7E96" w:rsidTr="009E26F4">
        <w:trPr>
          <w:trHeight w:val="30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3601C9" w:rsidRPr="00AF7E96" w:rsidRDefault="003601C9" w:rsidP="003601C9">
            <w:pPr>
              <w:rPr>
                <w:b/>
                <w:bCs/>
                <w:sz w:val="20"/>
                <w:szCs w:val="20"/>
              </w:rPr>
            </w:pPr>
            <w:r w:rsidRPr="00AF7E96">
              <w:rPr>
                <w:b/>
                <w:bCs/>
                <w:sz w:val="20"/>
                <w:szCs w:val="20"/>
              </w:rPr>
              <w:t xml:space="preserve">Дефицит </w:t>
            </w:r>
          </w:p>
        </w:tc>
        <w:tc>
          <w:tcPr>
            <w:tcW w:w="1560" w:type="dxa"/>
            <w:tcBorders>
              <w:top w:val="nil"/>
              <w:left w:val="nil"/>
              <w:bottom w:val="single" w:sz="4" w:space="0" w:color="auto"/>
              <w:right w:val="single" w:sz="4" w:space="0" w:color="auto"/>
            </w:tcBorders>
            <w:shd w:val="clear" w:color="auto" w:fill="auto"/>
            <w:noWrap/>
            <w:vAlign w:val="center"/>
            <w:hideMark/>
          </w:tcPr>
          <w:p w:rsidR="003601C9" w:rsidRPr="00AF7E96" w:rsidRDefault="003601C9" w:rsidP="003601C9">
            <w:pPr>
              <w:jc w:val="right"/>
              <w:rPr>
                <w:b/>
                <w:bCs/>
                <w:sz w:val="20"/>
                <w:szCs w:val="20"/>
              </w:rPr>
            </w:pPr>
            <w:r w:rsidRPr="00AF7E96">
              <w:rPr>
                <w:b/>
                <w:bCs/>
                <w:sz w:val="20"/>
                <w:szCs w:val="20"/>
              </w:rPr>
              <w:t>-  245 767,0</w:t>
            </w:r>
          </w:p>
        </w:tc>
        <w:tc>
          <w:tcPr>
            <w:tcW w:w="1422" w:type="dxa"/>
            <w:tcBorders>
              <w:top w:val="nil"/>
              <w:left w:val="nil"/>
              <w:bottom w:val="single" w:sz="4" w:space="0" w:color="auto"/>
              <w:right w:val="single" w:sz="4" w:space="0" w:color="auto"/>
            </w:tcBorders>
            <w:shd w:val="clear" w:color="auto" w:fill="auto"/>
            <w:noWrap/>
            <w:vAlign w:val="center"/>
            <w:hideMark/>
          </w:tcPr>
          <w:p w:rsidR="003601C9" w:rsidRPr="00AF7E96" w:rsidRDefault="003601C9" w:rsidP="003601C9">
            <w:pPr>
              <w:jc w:val="right"/>
              <w:rPr>
                <w:b/>
                <w:bCs/>
                <w:sz w:val="20"/>
                <w:szCs w:val="20"/>
              </w:rPr>
            </w:pPr>
            <w:r w:rsidRPr="00AF7E96">
              <w:rPr>
                <w:b/>
                <w:bCs/>
                <w:sz w:val="20"/>
                <w:szCs w:val="20"/>
              </w:rPr>
              <w:t>-  6 047 543,4</w:t>
            </w:r>
          </w:p>
        </w:tc>
        <w:tc>
          <w:tcPr>
            <w:tcW w:w="1342" w:type="dxa"/>
            <w:tcBorders>
              <w:top w:val="nil"/>
              <w:left w:val="nil"/>
              <w:bottom w:val="single" w:sz="4" w:space="0" w:color="auto"/>
              <w:right w:val="single" w:sz="4" w:space="0" w:color="auto"/>
            </w:tcBorders>
            <w:shd w:val="clear" w:color="auto" w:fill="auto"/>
            <w:noWrap/>
            <w:vAlign w:val="center"/>
            <w:hideMark/>
          </w:tcPr>
          <w:p w:rsidR="003601C9" w:rsidRPr="00AF7E96" w:rsidRDefault="003601C9" w:rsidP="003601C9">
            <w:pPr>
              <w:jc w:val="right"/>
              <w:rPr>
                <w:b/>
                <w:bCs/>
                <w:sz w:val="20"/>
                <w:szCs w:val="20"/>
              </w:rPr>
            </w:pPr>
            <w:r w:rsidRPr="00AF7E96">
              <w:rPr>
                <w:b/>
                <w:bCs/>
                <w:sz w:val="20"/>
                <w:szCs w:val="20"/>
              </w:rPr>
              <w:t>-5 801 776,4</w:t>
            </w:r>
          </w:p>
        </w:tc>
        <w:tc>
          <w:tcPr>
            <w:tcW w:w="1209" w:type="dxa"/>
            <w:tcBorders>
              <w:top w:val="nil"/>
              <w:left w:val="nil"/>
              <w:bottom w:val="single" w:sz="4" w:space="0" w:color="auto"/>
              <w:right w:val="single" w:sz="4" w:space="0" w:color="auto"/>
            </w:tcBorders>
            <w:shd w:val="clear" w:color="auto" w:fill="auto"/>
            <w:noWrap/>
            <w:vAlign w:val="center"/>
            <w:hideMark/>
          </w:tcPr>
          <w:p w:rsidR="003601C9" w:rsidRPr="00AF7E96" w:rsidRDefault="003601C9" w:rsidP="003601C9">
            <w:pPr>
              <w:jc w:val="center"/>
              <w:rPr>
                <w:b/>
                <w:bCs/>
                <w:sz w:val="20"/>
                <w:szCs w:val="20"/>
              </w:rPr>
            </w:pPr>
            <w:r w:rsidRPr="00AF7E96">
              <w:rPr>
                <w:b/>
                <w:bCs/>
                <w:sz w:val="20"/>
                <w:szCs w:val="20"/>
              </w:rPr>
              <w:t>х</w:t>
            </w:r>
          </w:p>
        </w:tc>
      </w:tr>
      <w:tr w:rsidR="003601C9" w:rsidRPr="00AF7E96" w:rsidTr="009E26F4">
        <w:trPr>
          <w:trHeight w:val="56"/>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3601C9" w:rsidRPr="00AF7E96" w:rsidRDefault="003601C9" w:rsidP="003601C9">
            <w:pPr>
              <w:rPr>
                <w:sz w:val="20"/>
                <w:szCs w:val="20"/>
              </w:rPr>
            </w:pPr>
            <w:r w:rsidRPr="00AF7E96">
              <w:rPr>
                <w:sz w:val="20"/>
                <w:szCs w:val="20"/>
              </w:rPr>
              <w:t>Верхний предел государственного внутреннего долга на 01.01.2022 г., в т.ч.</w:t>
            </w:r>
          </w:p>
        </w:tc>
        <w:tc>
          <w:tcPr>
            <w:tcW w:w="1560" w:type="dxa"/>
            <w:tcBorders>
              <w:top w:val="nil"/>
              <w:left w:val="nil"/>
              <w:bottom w:val="single" w:sz="4" w:space="0" w:color="auto"/>
              <w:right w:val="single" w:sz="4" w:space="0" w:color="auto"/>
            </w:tcBorders>
            <w:shd w:val="clear" w:color="auto" w:fill="auto"/>
            <w:noWrap/>
            <w:vAlign w:val="center"/>
            <w:hideMark/>
          </w:tcPr>
          <w:p w:rsidR="003601C9" w:rsidRPr="00AF7E96" w:rsidRDefault="003601C9" w:rsidP="003601C9">
            <w:pPr>
              <w:jc w:val="right"/>
              <w:rPr>
                <w:sz w:val="20"/>
                <w:szCs w:val="20"/>
              </w:rPr>
            </w:pPr>
            <w:r w:rsidRPr="00AF7E96">
              <w:rPr>
                <w:sz w:val="20"/>
                <w:szCs w:val="20"/>
              </w:rPr>
              <w:t>9 802 712,5</w:t>
            </w:r>
          </w:p>
        </w:tc>
        <w:tc>
          <w:tcPr>
            <w:tcW w:w="1422" w:type="dxa"/>
            <w:tcBorders>
              <w:top w:val="nil"/>
              <w:left w:val="nil"/>
              <w:bottom w:val="single" w:sz="4" w:space="0" w:color="auto"/>
              <w:right w:val="single" w:sz="4" w:space="0" w:color="auto"/>
            </w:tcBorders>
            <w:shd w:val="clear" w:color="auto" w:fill="auto"/>
            <w:noWrap/>
            <w:vAlign w:val="center"/>
            <w:hideMark/>
          </w:tcPr>
          <w:p w:rsidR="003601C9" w:rsidRPr="00AF7E96" w:rsidRDefault="003601C9" w:rsidP="003601C9">
            <w:pPr>
              <w:jc w:val="right"/>
              <w:rPr>
                <w:sz w:val="20"/>
                <w:szCs w:val="20"/>
              </w:rPr>
            </w:pPr>
            <w:r w:rsidRPr="00AF7E96">
              <w:rPr>
                <w:sz w:val="20"/>
                <w:szCs w:val="20"/>
              </w:rPr>
              <w:t>9 802 712,5</w:t>
            </w:r>
          </w:p>
        </w:tc>
        <w:tc>
          <w:tcPr>
            <w:tcW w:w="1342" w:type="dxa"/>
            <w:tcBorders>
              <w:top w:val="nil"/>
              <w:left w:val="nil"/>
              <w:bottom w:val="single" w:sz="4" w:space="0" w:color="auto"/>
              <w:right w:val="single" w:sz="4" w:space="0" w:color="auto"/>
            </w:tcBorders>
            <w:shd w:val="clear" w:color="auto" w:fill="auto"/>
            <w:noWrap/>
            <w:vAlign w:val="center"/>
            <w:hideMark/>
          </w:tcPr>
          <w:p w:rsidR="003601C9" w:rsidRPr="00AF7E96" w:rsidRDefault="003601C9" w:rsidP="003601C9">
            <w:pPr>
              <w:jc w:val="right"/>
              <w:rPr>
                <w:sz w:val="20"/>
                <w:szCs w:val="20"/>
              </w:rPr>
            </w:pPr>
            <w:r w:rsidRPr="00AF7E96">
              <w:rPr>
                <w:sz w:val="20"/>
                <w:szCs w:val="20"/>
              </w:rPr>
              <w:t>-</w:t>
            </w:r>
          </w:p>
        </w:tc>
        <w:tc>
          <w:tcPr>
            <w:tcW w:w="1209" w:type="dxa"/>
            <w:tcBorders>
              <w:top w:val="nil"/>
              <w:left w:val="nil"/>
              <w:bottom w:val="single" w:sz="4" w:space="0" w:color="auto"/>
              <w:right w:val="single" w:sz="4" w:space="0" w:color="auto"/>
            </w:tcBorders>
            <w:shd w:val="clear" w:color="auto" w:fill="auto"/>
            <w:noWrap/>
            <w:vAlign w:val="center"/>
          </w:tcPr>
          <w:p w:rsidR="003601C9" w:rsidRPr="00AF7E96" w:rsidRDefault="003601C9" w:rsidP="003601C9">
            <w:pPr>
              <w:jc w:val="center"/>
              <w:rPr>
                <w:sz w:val="20"/>
                <w:szCs w:val="20"/>
              </w:rPr>
            </w:pPr>
            <w:r w:rsidRPr="00AF7E96">
              <w:rPr>
                <w:sz w:val="20"/>
                <w:szCs w:val="20"/>
              </w:rPr>
              <w:t>х</w:t>
            </w:r>
          </w:p>
        </w:tc>
      </w:tr>
      <w:tr w:rsidR="003601C9" w:rsidRPr="00AF7E96" w:rsidTr="009E26F4">
        <w:trPr>
          <w:trHeight w:val="30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3601C9" w:rsidRPr="00AF7E96" w:rsidRDefault="003601C9" w:rsidP="003601C9">
            <w:pPr>
              <w:rPr>
                <w:i/>
                <w:iCs/>
                <w:sz w:val="20"/>
                <w:szCs w:val="20"/>
              </w:rPr>
            </w:pPr>
            <w:r w:rsidRPr="00AF7E96">
              <w:rPr>
                <w:i/>
                <w:iCs/>
                <w:sz w:val="20"/>
                <w:szCs w:val="20"/>
              </w:rPr>
              <w:t>по государственным гарантиям</w:t>
            </w:r>
          </w:p>
        </w:tc>
        <w:tc>
          <w:tcPr>
            <w:tcW w:w="1560" w:type="dxa"/>
            <w:tcBorders>
              <w:top w:val="nil"/>
              <w:left w:val="nil"/>
              <w:bottom w:val="single" w:sz="4" w:space="0" w:color="auto"/>
              <w:right w:val="single" w:sz="4" w:space="0" w:color="auto"/>
            </w:tcBorders>
            <w:shd w:val="clear" w:color="auto" w:fill="auto"/>
            <w:noWrap/>
            <w:vAlign w:val="center"/>
            <w:hideMark/>
          </w:tcPr>
          <w:p w:rsidR="003601C9" w:rsidRPr="00AF7E96" w:rsidRDefault="003601C9" w:rsidP="003601C9">
            <w:pPr>
              <w:jc w:val="right"/>
              <w:rPr>
                <w:i/>
                <w:iCs/>
                <w:sz w:val="20"/>
                <w:szCs w:val="20"/>
              </w:rPr>
            </w:pPr>
            <w:r w:rsidRPr="00AF7E96">
              <w:rPr>
                <w:i/>
                <w:iCs/>
                <w:sz w:val="20"/>
                <w:szCs w:val="20"/>
              </w:rPr>
              <w:t>1 870 000,0</w:t>
            </w:r>
          </w:p>
        </w:tc>
        <w:tc>
          <w:tcPr>
            <w:tcW w:w="1422" w:type="dxa"/>
            <w:tcBorders>
              <w:top w:val="nil"/>
              <w:left w:val="nil"/>
              <w:bottom w:val="single" w:sz="4" w:space="0" w:color="auto"/>
              <w:right w:val="single" w:sz="4" w:space="0" w:color="auto"/>
            </w:tcBorders>
            <w:shd w:val="clear" w:color="auto" w:fill="auto"/>
            <w:noWrap/>
            <w:vAlign w:val="center"/>
            <w:hideMark/>
          </w:tcPr>
          <w:p w:rsidR="003601C9" w:rsidRPr="00AF7E96" w:rsidRDefault="003601C9" w:rsidP="003601C9">
            <w:pPr>
              <w:jc w:val="right"/>
              <w:rPr>
                <w:i/>
                <w:iCs/>
                <w:sz w:val="20"/>
                <w:szCs w:val="20"/>
              </w:rPr>
            </w:pPr>
            <w:r w:rsidRPr="00AF7E96">
              <w:rPr>
                <w:i/>
                <w:iCs/>
                <w:sz w:val="20"/>
                <w:szCs w:val="20"/>
              </w:rPr>
              <w:t>1 870 000,0</w:t>
            </w:r>
          </w:p>
        </w:tc>
        <w:tc>
          <w:tcPr>
            <w:tcW w:w="1342" w:type="dxa"/>
            <w:tcBorders>
              <w:top w:val="nil"/>
              <w:left w:val="nil"/>
              <w:bottom w:val="single" w:sz="4" w:space="0" w:color="auto"/>
              <w:right w:val="single" w:sz="4" w:space="0" w:color="auto"/>
            </w:tcBorders>
            <w:shd w:val="clear" w:color="auto" w:fill="auto"/>
            <w:noWrap/>
            <w:vAlign w:val="center"/>
            <w:hideMark/>
          </w:tcPr>
          <w:p w:rsidR="003601C9" w:rsidRPr="00AF7E96" w:rsidRDefault="003601C9" w:rsidP="003601C9">
            <w:pPr>
              <w:jc w:val="right"/>
              <w:rPr>
                <w:sz w:val="20"/>
                <w:szCs w:val="20"/>
              </w:rPr>
            </w:pPr>
            <w:r w:rsidRPr="00AF7E96">
              <w:rPr>
                <w:sz w:val="20"/>
                <w:szCs w:val="20"/>
              </w:rPr>
              <w:t>-</w:t>
            </w:r>
          </w:p>
        </w:tc>
        <w:tc>
          <w:tcPr>
            <w:tcW w:w="1209" w:type="dxa"/>
            <w:tcBorders>
              <w:top w:val="nil"/>
              <w:left w:val="nil"/>
              <w:bottom w:val="single" w:sz="4" w:space="0" w:color="auto"/>
              <w:right w:val="single" w:sz="4" w:space="0" w:color="auto"/>
            </w:tcBorders>
            <w:shd w:val="clear" w:color="auto" w:fill="auto"/>
            <w:noWrap/>
            <w:vAlign w:val="center"/>
          </w:tcPr>
          <w:p w:rsidR="003601C9" w:rsidRPr="00AF7E96" w:rsidRDefault="003601C9" w:rsidP="003601C9">
            <w:pPr>
              <w:jc w:val="center"/>
              <w:rPr>
                <w:sz w:val="20"/>
                <w:szCs w:val="20"/>
              </w:rPr>
            </w:pPr>
            <w:r w:rsidRPr="00AF7E96">
              <w:rPr>
                <w:sz w:val="20"/>
                <w:szCs w:val="20"/>
              </w:rPr>
              <w:t>х</w:t>
            </w:r>
          </w:p>
        </w:tc>
      </w:tr>
      <w:tr w:rsidR="003601C9" w:rsidRPr="00AF7E96" w:rsidTr="009E26F4">
        <w:trPr>
          <w:trHeight w:val="39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3601C9" w:rsidRPr="00AF7E96" w:rsidRDefault="003601C9" w:rsidP="003601C9">
            <w:pPr>
              <w:rPr>
                <w:i/>
                <w:iCs/>
                <w:sz w:val="20"/>
                <w:szCs w:val="20"/>
              </w:rPr>
            </w:pPr>
            <w:r w:rsidRPr="00AF7E96">
              <w:rPr>
                <w:i/>
                <w:iCs/>
                <w:sz w:val="20"/>
                <w:szCs w:val="20"/>
              </w:rPr>
              <w:t xml:space="preserve">объем заимствований </w:t>
            </w:r>
          </w:p>
        </w:tc>
        <w:tc>
          <w:tcPr>
            <w:tcW w:w="1560" w:type="dxa"/>
            <w:tcBorders>
              <w:top w:val="nil"/>
              <w:left w:val="nil"/>
              <w:bottom w:val="single" w:sz="4" w:space="0" w:color="auto"/>
              <w:right w:val="single" w:sz="4" w:space="0" w:color="auto"/>
            </w:tcBorders>
            <w:shd w:val="clear" w:color="auto" w:fill="auto"/>
            <w:noWrap/>
            <w:vAlign w:val="center"/>
            <w:hideMark/>
          </w:tcPr>
          <w:p w:rsidR="003601C9" w:rsidRPr="00AF7E96" w:rsidRDefault="003601C9" w:rsidP="003601C9">
            <w:pPr>
              <w:jc w:val="right"/>
              <w:rPr>
                <w:i/>
                <w:iCs/>
                <w:sz w:val="20"/>
                <w:szCs w:val="20"/>
              </w:rPr>
            </w:pPr>
            <w:r w:rsidRPr="00AF7E96">
              <w:rPr>
                <w:i/>
                <w:iCs/>
                <w:sz w:val="20"/>
                <w:szCs w:val="20"/>
              </w:rPr>
              <w:t>7 932 712,5</w:t>
            </w:r>
          </w:p>
        </w:tc>
        <w:tc>
          <w:tcPr>
            <w:tcW w:w="1422" w:type="dxa"/>
            <w:tcBorders>
              <w:top w:val="nil"/>
              <w:left w:val="nil"/>
              <w:bottom w:val="single" w:sz="4" w:space="0" w:color="auto"/>
              <w:right w:val="single" w:sz="4" w:space="0" w:color="auto"/>
            </w:tcBorders>
            <w:shd w:val="clear" w:color="auto" w:fill="auto"/>
            <w:noWrap/>
            <w:vAlign w:val="center"/>
            <w:hideMark/>
          </w:tcPr>
          <w:p w:rsidR="003601C9" w:rsidRPr="00AF7E96" w:rsidRDefault="003601C9" w:rsidP="003601C9">
            <w:pPr>
              <w:jc w:val="right"/>
              <w:rPr>
                <w:i/>
                <w:iCs/>
                <w:sz w:val="20"/>
                <w:szCs w:val="20"/>
              </w:rPr>
            </w:pPr>
            <w:r w:rsidRPr="00AF7E96">
              <w:rPr>
                <w:i/>
                <w:iCs/>
                <w:sz w:val="20"/>
                <w:szCs w:val="20"/>
              </w:rPr>
              <w:t>7 932 712,5</w:t>
            </w:r>
          </w:p>
        </w:tc>
        <w:tc>
          <w:tcPr>
            <w:tcW w:w="1342" w:type="dxa"/>
            <w:tcBorders>
              <w:top w:val="nil"/>
              <w:left w:val="nil"/>
              <w:bottom w:val="single" w:sz="4" w:space="0" w:color="auto"/>
              <w:right w:val="single" w:sz="4" w:space="0" w:color="auto"/>
            </w:tcBorders>
            <w:shd w:val="clear" w:color="auto" w:fill="auto"/>
            <w:noWrap/>
            <w:vAlign w:val="center"/>
            <w:hideMark/>
          </w:tcPr>
          <w:p w:rsidR="003601C9" w:rsidRPr="00AF7E96" w:rsidRDefault="003601C9" w:rsidP="003601C9">
            <w:pPr>
              <w:jc w:val="right"/>
              <w:rPr>
                <w:sz w:val="20"/>
                <w:szCs w:val="20"/>
              </w:rPr>
            </w:pPr>
            <w:r w:rsidRPr="00AF7E96">
              <w:rPr>
                <w:sz w:val="20"/>
                <w:szCs w:val="20"/>
              </w:rPr>
              <w:t>-</w:t>
            </w:r>
          </w:p>
        </w:tc>
        <w:tc>
          <w:tcPr>
            <w:tcW w:w="1209" w:type="dxa"/>
            <w:tcBorders>
              <w:top w:val="nil"/>
              <w:left w:val="nil"/>
              <w:bottom w:val="single" w:sz="4" w:space="0" w:color="auto"/>
              <w:right w:val="single" w:sz="4" w:space="0" w:color="auto"/>
            </w:tcBorders>
            <w:shd w:val="clear" w:color="auto" w:fill="auto"/>
            <w:noWrap/>
            <w:vAlign w:val="center"/>
          </w:tcPr>
          <w:p w:rsidR="003601C9" w:rsidRPr="00AF7E96" w:rsidRDefault="003601C9" w:rsidP="003601C9">
            <w:pPr>
              <w:jc w:val="center"/>
              <w:rPr>
                <w:sz w:val="20"/>
                <w:szCs w:val="20"/>
              </w:rPr>
            </w:pPr>
            <w:r w:rsidRPr="00AF7E96">
              <w:rPr>
                <w:sz w:val="20"/>
                <w:szCs w:val="20"/>
              </w:rPr>
              <w:t>х</w:t>
            </w:r>
          </w:p>
        </w:tc>
      </w:tr>
    </w:tbl>
    <w:p w:rsidR="009E26F4" w:rsidRPr="00467F9C" w:rsidRDefault="009E26F4" w:rsidP="00191861">
      <w:pPr>
        <w:spacing w:before="120"/>
        <w:ind w:firstLine="709"/>
        <w:jc w:val="both"/>
        <w:rPr>
          <w:rFonts w:eastAsia="Calibri"/>
          <w:sz w:val="28"/>
          <w:szCs w:val="28"/>
        </w:rPr>
      </w:pPr>
      <w:r w:rsidRPr="00467F9C">
        <w:rPr>
          <w:sz w:val="28"/>
          <w:szCs w:val="28"/>
        </w:rPr>
        <w:t xml:space="preserve">Законом об окружном бюджете (в редакции от 9 декабря 2021 года №75-ОЗ) доходы окружного бюджета утверждены в объеме 50 001 408,3 тыс. рублей, расходы – 56 048 951,7 тыс. рублей. Бюджет уточнен с дефицитом 6 047 543,4 тыс. рублей, который составил 32,1% предполагаемого объема доходов без учета безвозмездных поступлений и формально </w:t>
      </w:r>
      <w:r w:rsidRPr="00467F9C">
        <w:rPr>
          <w:rFonts w:eastAsia="Calibri"/>
          <w:sz w:val="28"/>
          <w:szCs w:val="28"/>
        </w:rPr>
        <w:t xml:space="preserve">превысил предельное значение </w:t>
      </w:r>
      <w:r w:rsidRPr="00467F9C">
        <w:rPr>
          <w:sz w:val="28"/>
          <w:szCs w:val="28"/>
        </w:rPr>
        <w:t>(не более 15%</w:t>
      </w:r>
      <w:r w:rsidRPr="00467F9C">
        <w:rPr>
          <w:rFonts w:eastAsia="Calibri"/>
          <w:sz w:val="28"/>
          <w:szCs w:val="28"/>
        </w:rPr>
        <w:t>), установленное пунктом 2 статьи 92.1 Бюджетного кодекса. Указанное превышение допустимо, поскольку в составе источников финансирования дефицита окружного бюджета утверждено снижение остатков средств на счетах по учету средств окружного бюджета, поступления от продажи акций, находящихся в собственности субъекта и бюджетные кредиты, что соответствует положениям пункта 2 статьи 92.1 Бюджетного кодекса.</w:t>
      </w:r>
    </w:p>
    <w:p w:rsidR="009E26F4" w:rsidRPr="00467F9C" w:rsidRDefault="009E26F4" w:rsidP="00191861">
      <w:pPr>
        <w:autoSpaceDE w:val="0"/>
        <w:autoSpaceDN w:val="0"/>
        <w:adjustRightInd w:val="0"/>
        <w:ind w:firstLine="709"/>
        <w:jc w:val="both"/>
        <w:rPr>
          <w:spacing w:val="-4"/>
          <w:sz w:val="28"/>
          <w:szCs w:val="28"/>
        </w:rPr>
      </w:pPr>
      <w:r w:rsidRPr="00467F9C">
        <w:rPr>
          <w:sz w:val="28"/>
          <w:szCs w:val="28"/>
        </w:rPr>
        <w:t xml:space="preserve">Изменения источников финансирования дефицита окружного бюджета представлены в </w:t>
      </w:r>
      <w:r w:rsidRPr="00467F9C">
        <w:rPr>
          <w:spacing w:val="-4"/>
          <w:sz w:val="28"/>
          <w:szCs w:val="28"/>
        </w:rPr>
        <w:t>таблице №3.</w:t>
      </w:r>
    </w:p>
    <w:p w:rsidR="009E26F4" w:rsidRPr="00467F9C" w:rsidRDefault="009E26F4" w:rsidP="00191861">
      <w:pPr>
        <w:ind w:firstLine="709"/>
        <w:jc w:val="right"/>
        <w:rPr>
          <w:sz w:val="28"/>
          <w:szCs w:val="28"/>
        </w:rPr>
      </w:pPr>
      <w:r w:rsidRPr="00467F9C">
        <w:rPr>
          <w:sz w:val="28"/>
          <w:szCs w:val="28"/>
        </w:rPr>
        <w:t>Таблица №3</w:t>
      </w:r>
    </w:p>
    <w:p w:rsidR="009E26F4" w:rsidRPr="00467F9C" w:rsidRDefault="009E26F4" w:rsidP="00191861">
      <w:pPr>
        <w:ind w:firstLine="709"/>
        <w:jc w:val="right"/>
        <w:rPr>
          <w:sz w:val="28"/>
          <w:szCs w:val="28"/>
        </w:rPr>
      </w:pPr>
      <w:r w:rsidRPr="00467F9C">
        <w:rPr>
          <w:sz w:val="28"/>
          <w:szCs w:val="28"/>
        </w:rPr>
        <w:t>(тыс. рублей)</w:t>
      </w:r>
    </w:p>
    <w:tbl>
      <w:tblPr>
        <w:tblW w:w="99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1672"/>
        <w:gridCol w:w="2037"/>
        <w:gridCol w:w="1157"/>
      </w:tblGrid>
      <w:tr w:rsidR="009E26F4" w:rsidRPr="00AF7E96" w:rsidTr="00AF7E96">
        <w:trPr>
          <w:trHeight w:val="272"/>
        </w:trPr>
        <w:tc>
          <w:tcPr>
            <w:tcW w:w="5080" w:type="dxa"/>
            <w:vMerge w:val="restart"/>
            <w:shd w:val="clear" w:color="auto" w:fill="auto"/>
            <w:vAlign w:val="center"/>
            <w:hideMark/>
          </w:tcPr>
          <w:p w:rsidR="009E26F4" w:rsidRPr="00AF7E96" w:rsidRDefault="009E26F4" w:rsidP="00191861">
            <w:pPr>
              <w:jc w:val="center"/>
              <w:rPr>
                <w:sz w:val="20"/>
                <w:szCs w:val="20"/>
              </w:rPr>
            </w:pPr>
            <w:r w:rsidRPr="00AF7E96">
              <w:rPr>
                <w:sz w:val="20"/>
                <w:szCs w:val="20"/>
              </w:rPr>
              <w:t>Наименование показателя</w:t>
            </w:r>
          </w:p>
        </w:tc>
        <w:tc>
          <w:tcPr>
            <w:tcW w:w="3709" w:type="dxa"/>
            <w:gridSpan w:val="2"/>
            <w:shd w:val="clear" w:color="auto" w:fill="auto"/>
            <w:vAlign w:val="center"/>
            <w:hideMark/>
          </w:tcPr>
          <w:p w:rsidR="009E26F4" w:rsidRPr="00AF7E96" w:rsidRDefault="009E26F4" w:rsidP="00AF7E96">
            <w:pPr>
              <w:ind w:left="-103" w:right="-101"/>
              <w:jc w:val="center"/>
              <w:rPr>
                <w:sz w:val="20"/>
                <w:szCs w:val="20"/>
              </w:rPr>
            </w:pPr>
            <w:r w:rsidRPr="00AF7E96">
              <w:rPr>
                <w:sz w:val="20"/>
                <w:szCs w:val="20"/>
              </w:rPr>
              <w:t xml:space="preserve">Закон об </w:t>
            </w:r>
            <w:proofErr w:type="gramStart"/>
            <w:r w:rsidRPr="00AF7E96">
              <w:rPr>
                <w:sz w:val="20"/>
                <w:szCs w:val="20"/>
              </w:rPr>
              <w:t>окружном</w:t>
            </w:r>
            <w:r w:rsidR="00AF7E96">
              <w:rPr>
                <w:sz w:val="20"/>
                <w:szCs w:val="20"/>
              </w:rPr>
              <w:t xml:space="preserve"> </w:t>
            </w:r>
            <w:r w:rsidRPr="00AF7E96">
              <w:rPr>
                <w:sz w:val="20"/>
                <w:szCs w:val="20"/>
              </w:rPr>
              <w:t xml:space="preserve"> бюджете</w:t>
            </w:r>
            <w:proofErr w:type="gramEnd"/>
            <w:r w:rsidRPr="00AF7E96">
              <w:rPr>
                <w:sz w:val="20"/>
                <w:szCs w:val="20"/>
              </w:rPr>
              <w:t xml:space="preserve"> на 2021 год</w:t>
            </w:r>
          </w:p>
        </w:tc>
        <w:tc>
          <w:tcPr>
            <w:tcW w:w="1157" w:type="dxa"/>
            <w:vMerge w:val="restart"/>
            <w:vAlign w:val="center"/>
          </w:tcPr>
          <w:p w:rsidR="009E26F4" w:rsidRPr="00AF7E96" w:rsidRDefault="009E26F4" w:rsidP="00191861">
            <w:pPr>
              <w:jc w:val="center"/>
              <w:rPr>
                <w:sz w:val="20"/>
                <w:szCs w:val="20"/>
              </w:rPr>
            </w:pPr>
            <w:r w:rsidRPr="00AF7E96">
              <w:rPr>
                <w:sz w:val="20"/>
                <w:szCs w:val="20"/>
              </w:rPr>
              <w:t>Изменения</w:t>
            </w:r>
          </w:p>
        </w:tc>
      </w:tr>
      <w:tr w:rsidR="009E26F4" w:rsidRPr="00AF7E96" w:rsidTr="00AF7E96">
        <w:trPr>
          <w:trHeight w:val="262"/>
        </w:trPr>
        <w:tc>
          <w:tcPr>
            <w:tcW w:w="5080" w:type="dxa"/>
            <w:vMerge/>
            <w:vAlign w:val="center"/>
            <w:hideMark/>
          </w:tcPr>
          <w:p w:rsidR="009E26F4" w:rsidRPr="00AF7E96" w:rsidRDefault="009E26F4" w:rsidP="00191861">
            <w:pPr>
              <w:rPr>
                <w:sz w:val="20"/>
                <w:szCs w:val="20"/>
              </w:rPr>
            </w:pPr>
          </w:p>
        </w:tc>
        <w:tc>
          <w:tcPr>
            <w:tcW w:w="1672" w:type="dxa"/>
            <w:shd w:val="clear" w:color="auto" w:fill="auto"/>
            <w:vAlign w:val="center"/>
            <w:hideMark/>
          </w:tcPr>
          <w:p w:rsidR="009E26F4" w:rsidRPr="00AF7E96" w:rsidRDefault="009E26F4" w:rsidP="00191861">
            <w:pPr>
              <w:jc w:val="center"/>
              <w:rPr>
                <w:sz w:val="20"/>
                <w:szCs w:val="20"/>
              </w:rPr>
            </w:pPr>
            <w:r w:rsidRPr="00AF7E96">
              <w:rPr>
                <w:sz w:val="20"/>
                <w:szCs w:val="20"/>
              </w:rPr>
              <w:t xml:space="preserve">от 16.12.2020 г. </w:t>
            </w:r>
            <w:r w:rsidRPr="00AF7E96">
              <w:rPr>
                <w:sz w:val="20"/>
                <w:szCs w:val="20"/>
              </w:rPr>
              <w:br/>
              <w:t>№74-ОЗ</w:t>
            </w:r>
          </w:p>
        </w:tc>
        <w:tc>
          <w:tcPr>
            <w:tcW w:w="2037" w:type="dxa"/>
            <w:shd w:val="clear" w:color="auto" w:fill="auto"/>
            <w:vAlign w:val="center"/>
            <w:hideMark/>
          </w:tcPr>
          <w:p w:rsidR="009E26F4" w:rsidRPr="00AF7E96" w:rsidRDefault="009E26F4" w:rsidP="00191861">
            <w:pPr>
              <w:jc w:val="center"/>
              <w:rPr>
                <w:sz w:val="20"/>
                <w:szCs w:val="20"/>
              </w:rPr>
            </w:pPr>
            <w:r w:rsidRPr="00AF7E96">
              <w:rPr>
                <w:sz w:val="20"/>
                <w:szCs w:val="20"/>
              </w:rPr>
              <w:t>от 09.12.2021 г.</w:t>
            </w:r>
            <w:r w:rsidRPr="00AF7E96">
              <w:rPr>
                <w:sz w:val="20"/>
                <w:szCs w:val="20"/>
              </w:rPr>
              <w:br/>
              <w:t>№75-ОЗ</w:t>
            </w:r>
          </w:p>
        </w:tc>
        <w:tc>
          <w:tcPr>
            <w:tcW w:w="1157" w:type="dxa"/>
            <w:vMerge/>
            <w:shd w:val="clear" w:color="auto" w:fill="auto"/>
            <w:noWrap/>
            <w:vAlign w:val="center"/>
            <w:hideMark/>
          </w:tcPr>
          <w:p w:rsidR="009E26F4" w:rsidRPr="00AF7E96" w:rsidRDefault="009E26F4" w:rsidP="00191861">
            <w:pPr>
              <w:jc w:val="center"/>
              <w:rPr>
                <w:sz w:val="20"/>
                <w:szCs w:val="20"/>
              </w:rPr>
            </w:pPr>
          </w:p>
        </w:tc>
      </w:tr>
      <w:tr w:rsidR="009E26F4" w:rsidRPr="00AF7E96" w:rsidTr="00AF7E96">
        <w:trPr>
          <w:trHeight w:val="196"/>
        </w:trPr>
        <w:tc>
          <w:tcPr>
            <w:tcW w:w="5080" w:type="dxa"/>
            <w:shd w:val="clear" w:color="auto" w:fill="auto"/>
            <w:vAlign w:val="center"/>
            <w:hideMark/>
          </w:tcPr>
          <w:p w:rsidR="009E26F4" w:rsidRPr="00AF7E96" w:rsidRDefault="009E26F4" w:rsidP="00191861">
            <w:pPr>
              <w:jc w:val="center"/>
              <w:rPr>
                <w:sz w:val="20"/>
                <w:szCs w:val="20"/>
              </w:rPr>
            </w:pPr>
            <w:r w:rsidRPr="00AF7E96">
              <w:rPr>
                <w:sz w:val="20"/>
                <w:szCs w:val="20"/>
              </w:rPr>
              <w:t>1</w:t>
            </w:r>
          </w:p>
        </w:tc>
        <w:tc>
          <w:tcPr>
            <w:tcW w:w="1672" w:type="dxa"/>
            <w:shd w:val="clear" w:color="auto" w:fill="auto"/>
            <w:vAlign w:val="center"/>
            <w:hideMark/>
          </w:tcPr>
          <w:p w:rsidR="009E26F4" w:rsidRPr="00AF7E96" w:rsidRDefault="009E26F4" w:rsidP="00191861">
            <w:pPr>
              <w:jc w:val="center"/>
              <w:rPr>
                <w:sz w:val="20"/>
                <w:szCs w:val="20"/>
              </w:rPr>
            </w:pPr>
            <w:r w:rsidRPr="00AF7E96">
              <w:rPr>
                <w:sz w:val="20"/>
                <w:szCs w:val="20"/>
              </w:rPr>
              <w:t>2</w:t>
            </w:r>
          </w:p>
        </w:tc>
        <w:tc>
          <w:tcPr>
            <w:tcW w:w="2037" w:type="dxa"/>
            <w:shd w:val="clear" w:color="auto" w:fill="auto"/>
            <w:vAlign w:val="center"/>
            <w:hideMark/>
          </w:tcPr>
          <w:p w:rsidR="009E26F4" w:rsidRPr="00AF7E96" w:rsidRDefault="009E26F4" w:rsidP="00191861">
            <w:pPr>
              <w:jc w:val="center"/>
              <w:rPr>
                <w:sz w:val="20"/>
                <w:szCs w:val="20"/>
              </w:rPr>
            </w:pPr>
            <w:r w:rsidRPr="00AF7E96">
              <w:rPr>
                <w:sz w:val="20"/>
                <w:szCs w:val="20"/>
              </w:rPr>
              <w:t>3</w:t>
            </w:r>
          </w:p>
        </w:tc>
        <w:tc>
          <w:tcPr>
            <w:tcW w:w="1157" w:type="dxa"/>
            <w:shd w:val="clear" w:color="auto" w:fill="auto"/>
            <w:vAlign w:val="center"/>
            <w:hideMark/>
          </w:tcPr>
          <w:p w:rsidR="009E26F4" w:rsidRPr="00AF7E96" w:rsidRDefault="009E26F4" w:rsidP="00191861">
            <w:pPr>
              <w:jc w:val="center"/>
              <w:rPr>
                <w:sz w:val="20"/>
                <w:szCs w:val="20"/>
              </w:rPr>
            </w:pPr>
            <w:r w:rsidRPr="00AF7E96">
              <w:rPr>
                <w:sz w:val="20"/>
                <w:szCs w:val="20"/>
              </w:rPr>
              <w:t>4</w:t>
            </w:r>
          </w:p>
        </w:tc>
      </w:tr>
      <w:tr w:rsidR="009E26F4" w:rsidRPr="00AF7E96" w:rsidTr="00AF7E96">
        <w:trPr>
          <w:trHeight w:val="142"/>
        </w:trPr>
        <w:tc>
          <w:tcPr>
            <w:tcW w:w="5080" w:type="dxa"/>
            <w:shd w:val="clear" w:color="auto" w:fill="auto"/>
            <w:vAlign w:val="center"/>
            <w:hideMark/>
          </w:tcPr>
          <w:p w:rsidR="009E26F4" w:rsidRPr="00AF7E96" w:rsidRDefault="009E26F4" w:rsidP="00191861">
            <w:pPr>
              <w:rPr>
                <w:b/>
                <w:bCs/>
                <w:sz w:val="20"/>
                <w:szCs w:val="20"/>
              </w:rPr>
            </w:pPr>
            <w:r w:rsidRPr="00AF7E96">
              <w:rPr>
                <w:b/>
                <w:bCs/>
                <w:sz w:val="20"/>
                <w:szCs w:val="20"/>
              </w:rPr>
              <w:t>Источники внутреннего финансирования дефицита бюджета, в том числе</w:t>
            </w:r>
          </w:p>
        </w:tc>
        <w:tc>
          <w:tcPr>
            <w:tcW w:w="1672" w:type="dxa"/>
            <w:shd w:val="clear" w:color="auto" w:fill="auto"/>
            <w:noWrap/>
            <w:vAlign w:val="center"/>
            <w:hideMark/>
          </w:tcPr>
          <w:p w:rsidR="009E26F4" w:rsidRPr="00AF7E96" w:rsidRDefault="009E26F4" w:rsidP="00191861">
            <w:pPr>
              <w:jc w:val="right"/>
              <w:rPr>
                <w:b/>
                <w:bCs/>
                <w:sz w:val="20"/>
                <w:szCs w:val="20"/>
              </w:rPr>
            </w:pPr>
            <w:r w:rsidRPr="00AF7E96">
              <w:rPr>
                <w:b/>
                <w:bCs/>
                <w:sz w:val="20"/>
                <w:szCs w:val="20"/>
              </w:rPr>
              <w:t>245 767,0</w:t>
            </w:r>
          </w:p>
        </w:tc>
        <w:tc>
          <w:tcPr>
            <w:tcW w:w="2037" w:type="dxa"/>
            <w:shd w:val="clear" w:color="auto" w:fill="auto"/>
            <w:noWrap/>
            <w:vAlign w:val="center"/>
            <w:hideMark/>
          </w:tcPr>
          <w:p w:rsidR="009E26F4" w:rsidRPr="00AF7E96" w:rsidRDefault="009E26F4" w:rsidP="00191861">
            <w:pPr>
              <w:jc w:val="right"/>
              <w:rPr>
                <w:b/>
                <w:bCs/>
                <w:sz w:val="20"/>
                <w:szCs w:val="20"/>
              </w:rPr>
            </w:pPr>
            <w:r w:rsidRPr="00AF7E96">
              <w:rPr>
                <w:b/>
                <w:bCs/>
                <w:sz w:val="20"/>
                <w:szCs w:val="20"/>
              </w:rPr>
              <w:t>6 047 543,4</w:t>
            </w:r>
          </w:p>
        </w:tc>
        <w:tc>
          <w:tcPr>
            <w:tcW w:w="1157" w:type="dxa"/>
            <w:shd w:val="clear" w:color="auto" w:fill="auto"/>
            <w:noWrap/>
            <w:vAlign w:val="center"/>
            <w:hideMark/>
          </w:tcPr>
          <w:p w:rsidR="009E26F4" w:rsidRPr="00AF7E96" w:rsidRDefault="009E26F4" w:rsidP="00AF7E96">
            <w:pPr>
              <w:ind w:left="-104"/>
              <w:jc w:val="right"/>
              <w:rPr>
                <w:b/>
                <w:bCs/>
                <w:sz w:val="20"/>
                <w:szCs w:val="20"/>
              </w:rPr>
            </w:pPr>
            <w:r w:rsidRPr="00AF7E96">
              <w:rPr>
                <w:b/>
                <w:bCs/>
                <w:sz w:val="20"/>
                <w:szCs w:val="20"/>
              </w:rPr>
              <w:t>5 801 776,4</w:t>
            </w:r>
          </w:p>
        </w:tc>
      </w:tr>
      <w:tr w:rsidR="009E26F4" w:rsidRPr="00AF7E96" w:rsidTr="00AF7E96">
        <w:trPr>
          <w:trHeight w:val="296"/>
        </w:trPr>
        <w:tc>
          <w:tcPr>
            <w:tcW w:w="5080" w:type="dxa"/>
            <w:shd w:val="clear" w:color="auto" w:fill="auto"/>
            <w:vAlign w:val="center"/>
            <w:hideMark/>
          </w:tcPr>
          <w:p w:rsidR="009E26F4" w:rsidRPr="00AF7E96" w:rsidRDefault="009E26F4" w:rsidP="00191861">
            <w:pPr>
              <w:rPr>
                <w:sz w:val="20"/>
                <w:szCs w:val="20"/>
              </w:rPr>
            </w:pPr>
            <w:r w:rsidRPr="00AF7E96">
              <w:rPr>
                <w:sz w:val="20"/>
                <w:szCs w:val="20"/>
              </w:rPr>
              <w:t>Бюджетные кредиты от других бюджетов</w:t>
            </w:r>
          </w:p>
        </w:tc>
        <w:tc>
          <w:tcPr>
            <w:tcW w:w="1672" w:type="dxa"/>
            <w:shd w:val="clear" w:color="auto" w:fill="auto"/>
            <w:noWrap/>
            <w:vAlign w:val="center"/>
            <w:hideMark/>
          </w:tcPr>
          <w:p w:rsidR="009E26F4" w:rsidRPr="00AF7E96" w:rsidRDefault="009E26F4" w:rsidP="00191861">
            <w:pPr>
              <w:jc w:val="right"/>
              <w:rPr>
                <w:sz w:val="20"/>
                <w:szCs w:val="20"/>
              </w:rPr>
            </w:pPr>
            <w:r w:rsidRPr="00AF7E96">
              <w:rPr>
                <w:sz w:val="20"/>
                <w:szCs w:val="20"/>
              </w:rPr>
              <w:t>-  466 630,2</w:t>
            </w:r>
          </w:p>
        </w:tc>
        <w:tc>
          <w:tcPr>
            <w:tcW w:w="2037" w:type="dxa"/>
            <w:shd w:val="clear" w:color="auto" w:fill="auto"/>
            <w:noWrap/>
            <w:vAlign w:val="center"/>
            <w:hideMark/>
          </w:tcPr>
          <w:p w:rsidR="009E26F4" w:rsidRPr="00AF7E96" w:rsidRDefault="009E26F4" w:rsidP="00191861">
            <w:pPr>
              <w:jc w:val="right"/>
              <w:rPr>
                <w:sz w:val="20"/>
                <w:szCs w:val="20"/>
              </w:rPr>
            </w:pPr>
            <w:r w:rsidRPr="00AF7E96">
              <w:rPr>
                <w:sz w:val="20"/>
                <w:szCs w:val="20"/>
              </w:rPr>
              <w:t>-  466 630,2</w:t>
            </w:r>
          </w:p>
        </w:tc>
        <w:tc>
          <w:tcPr>
            <w:tcW w:w="1157" w:type="dxa"/>
            <w:shd w:val="clear" w:color="auto" w:fill="auto"/>
            <w:noWrap/>
            <w:vAlign w:val="center"/>
            <w:hideMark/>
          </w:tcPr>
          <w:p w:rsidR="009E26F4" w:rsidRPr="00AF7E96" w:rsidRDefault="009E26F4" w:rsidP="00AF7E96">
            <w:pPr>
              <w:ind w:left="-104"/>
              <w:jc w:val="right"/>
              <w:rPr>
                <w:sz w:val="20"/>
                <w:szCs w:val="20"/>
              </w:rPr>
            </w:pPr>
            <w:r w:rsidRPr="00AF7E96">
              <w:rPr>
                <w:sz w:val="20"/>
                <w:szCs w:val="20"/>
              </w:rPr>
              <w:t>-</w:t>
            </w:r>
          </w:p>
        </w:tc>
      </w:tr>
      <w:tr w:rsidR="009E26F4" w:rsidRPr="00AF7E96" w:rsidTr="00AF7E96">
        <w:trPr>
          <w:trHeight w:val="236"/>
        </w:trPr>
        <w:tc>
          <w:tcPr>
            <w:tcW w:w="5080" w:type="dxa"/>
            <w:shd w:val="clear" w:color="auto" w:fill="auto"/>
            <w:vAlign w:val="center"/>
            <w:hideMark/>
          </w:tcPr>
          <w:p w:rsidR="009E26F4" w:rsidRPr="00AF7E96" w:rsidRDefault="009E26F4" w:rsidP="00191861">
            <w:pPr>
              <w:rPr>
                <w:sz w:val="20"/>
                <w:szCs w:val="20"/>
              </w:rPr>
            </w:pPr>
            <w:r w:rsidRPr="00AF7E96">
              <w:rPr>
                <w:sz w:val="20"/>
                <w:szCs w:val="20"/>
              </w:rPr>
              <w:t>Бюджетные кредиты предоставленные</w:t>
            </w:r>
          </w:p>
        </w:tc>
        <w:tc>
          <w:tcPr>
            <w:tcW w:w="1672" w:type="dxa"/>
            <w:shd w:val="clear" w:color="auto" w:fill="auto"/>
            <w:noWrap/>
            <w:vAlign w:val="center"/>
            <w:hideMark/>
          </w:tcPr>
          <w:p w:rsidR="009E26F4" w:rsidRPr="00AF7E96" w:rsidRDefault="009E26F4" w:rsidP="00191861">
            <w:pPr>
              <w:jc w:val="right"/>
              <w:rPr>
                <w:sz w:val="20"/>
                <w:szCs w:val="20"/>
              </w:rPr>
            </w:pPr>
            <w:r w:rsidRPr="00AF7E96">
              <w:rPr>
                <w:sz w:val="20"/>
                <w:szCs w:val="20"/>
              </w:rPr>
              <w:t>562 397,2</w:t>
            </w:r>
          </w:p>
        </w:tc>
        <w:tc>
          <w:tcPr>
            <w:tcW w:w="2037" w:type="dxa"/>
            <w:shd w:val="clear" w:color="auto" w:fill="auto"/>
            <w:noWrap/>
            <w:vAlign w:val="center"/>
            <w:hideMark/>
          </w:tcPr>
          <w:p w:rsidR="009E26F4" w:rsidRPr="00AF7E96" w:rsidRDefault="009E26F4" w:rsidP="00191861">
            <w:pPr>
              <w:jc w:val="right"/>
              <w:rPr>
                <w:sz w:val="20"/>
                <w:szCs w:val="20"/>
              </w:rPr>
            </w:pPr>
            <w:r w:rsidRPr="00AF7E96">
              <w:rPr>
                <w:sz w:val="20"/>
                <w:szCs w:val="20"/>
              </w:rPr>
              <w:t>279 124,2</w:t>
            </w:r>
          </w:p>
        </w:tc>
        <w:tc>
          <w:tcPr>
            <w:tcW w:w="1157" w:type="dxa"/>
            <w:shd w:val="clear" w:color="auto" w:fill="auto"/>
            <w:noWrap/>
            <w:vAlign w:val="center"/>
            <w:hideMark/>
          </w:tcPr>
          <w:p w:rsidR="009E26F4" w:rsidRPr="00AF7E96" w:rsidRDefault="009E26F4" w:rsidP="00AF7E96">
            <w:pPr>
              <w:ind w:left="-104"/>
              <w:jc w:val="right"/>
              <w:rPr>
                <w:sz w:val="20"/>
                <w:szCs w:val="20"/>
              </w:rPr>
            </w:pPr>
            <w:r w:rsidRPr="00AF7E96">
              <w:rPr>
                <w:sz w:val="20"/>
                <w:szCs w:val="20"/>
              </w:rPr>
              <w:t>-  283 273,0</w:t>
            </w:r>
          </w:p>
        </w:tc>
      </w:tr>
      <w:tr w:rsidR="009E26F4" w:rsidRPr="00AF7E96" w:rsidTr="00AF7E96">
        <w:trPr>
          <w:trHeight w:val="188"/>
        </w:trPr>
        <w:tc>
          <w:tcPr>
            <w:tcW w:w="5080" w:type="dxa"/>
            <w:shd w:val="clear" w:color="auto" w:fill="auto"/>
            <w:vAlign w:val="center"/>
            <w:hideMark/>
          </w:tcPr>
          <w:p w:rsidR="009E26F4" w:rsidRPr="00AF7E96" w:rsidRDefault="009E26F4" w:rsidP="00191861">
            <w:pPr>
              <w:rPr>
                <w:sz w:val="20"/>
                <w:szCs w:val="20"/>
              </w:rPr>
            </w:pPr>
            <w:r w:rsidRPr="00AF7E96">
              <w:rPr>
                <w:sz w:val="20"/>
                <w:szCs w:val="20"/>
              </w:rPr>
              <w:t>Средства от продажи акций, находящихся в собственности субъекта</w:t>
            </w:r>
          </w:p>
        </w:tc>
        <w:tc>
          <w:tcPr>
            <w:tcW w:w="1672" w:type="dxa"/>
            <w:shd w:val="clear" w:color="auto" w:fill="auto"/>
            <w:noWrap/>
            <w:vAlign w:val="center"/>
            <w:hideMark/>
          </w:tcPr>
          <w:p w:rsidR="009E26F4" w:rsidRPr="00AF7E96" w:rsidRDefault="009E26F4" w:rsidP="00191861">
            <w:pPr>
              <w:jc w:val="right"/>
              <w:rPr>
                <w:sz w:val="20"/>
                <w:szCs w:val="20"/>
              </w:rPr>
            </w:pPr>
            <w:r w:rsidRPr="00AF7E96">
              <w:rPr>
                <w:sz w:val="20"/>
                <w:szCs w:val="20"/>
              </w:rPr>
              <w:t>-</w:t>
            </w:r>
          </w:p>
        </w:tc>
        <w:tc>
          <w:tcPr>
            <w:tcW w:w="2037" w:type="dxa"/>
            <w:shd w:val="clear" w:color="auto" w:fill="auto"/>
            <w:noWrap/>
            <w:vAlign w:val="center"/>
            <w:hideMark/>
          </w:tcPr>
          <w:p w:rsidR="009E26F4" w:rsidRPr="00AF7E96" w:rsidRDefault="009E26F4" w:rsidP="00191861">
            <w:pPr>
              <w:jc w:val="right"/>
              <w:rPr>
                <w:sz w:val="20"/>
                <w:szCs w:val="20"/>
              </w:rPr>
            </w:pPr>
            <w:r w:rsidRPr="00AF7E96">
              <w:rPr>
                <w:sz w:val="20"/>
                <w:szCs w:val="20"/>
              </w:rPr>
              <w:t>2 423 944,4</w:t>
            </w:r>
          </w:p>
        </w:tc>
        <w:tc>
          <w:tcPr>
            <w:tcW w:w="1157" w:type="dxa"/>
            <w:shd w:val="clear" w:color="auto" w:fill="auto"/>
            <w:noWrap/>
            <w:vAlign w:val="center"/>
            <w:hideMark/>
          </w:tcPr>
          <w:p w:rsidR="009E26F4" w:rsidRPr="00AF7E96" w:rsidRDefault="009E26F4" w:rsidP="00AF7E96">
            <w:pPr>
              <w:ind w:left="-104"/>
              <w:jc w:val="right"/>
              <w:rPr>
                <w:sz w:val="20"/>
                <w:szCs w:val="20"/>
              </w:rPr>
            </w:pPr>
            <w:r w:rsidRPr="00AF7E96">
              <w:rPr>
                <w:sz w:val="20"/>
                <w:szCs w:val="20"/>
              </w:rPr>
              <w:t>2 423 944,4</w:t>
            </w:r>
          </w:p>
        </w:tc>
      </w:tr>
      <w:tr w:rsidR="009E26F4" w:rsidRPr="00AF7E96" w:rsidTr="00AF7E96">
        <w:trPr>
          <w:trHeight w:val="162"/>
        </w:trPr>
        <w:tc>
          <w:tcPr>
            <w:tcW w:w="5080" w:type="dxa"/>
            <w:shd w:val="clear" w:color="auto" w:fill="auto"/>
            <w:vAlign w:val="center"/>
            <w:hideMark/>
          </w:tcPr>
          <w:p w:rsidR="009E26F4" w:rsidRDefault="009E26F4" w:rsidP="00191861">
            <w:pPr>
              <w:rPr>
                <w:sz w:val="20"/>
                <w:szCs w:val="20"/>
              </w:rPr>
            </w:pPr>
            <w:r w:rsidRPr="00AF7E96">
              <w:rPr>
                <w:sz w:val="20"/>
                <w:szCs w:val="20"/>
              </w:rPr>
              <w:t>Изменение остатков средств на счетах по учету средств бюджета</w:t>
            </w:r>
          </w:p>
          <w:p w:rsidR="00CD356D" w:rsidRPr="00CD356D" w:rsidRDefault="00CD356D" w:rsidP="00191861">
            <w:pPr>
              <w:rPr>
                <w:sz w:val="4"/>
                <w:szCs w:val="4"/>
              </w:rPr>
            </w:pPr>
          </w:p>
        </w:tc>
        <w:tc>
          <w:tcPr>
            <w:tcW w:w="1672" w:type="dxa"/>
            <w:shd w:val="clear" w:color="auto" w:fill="auto"/>
            <w:noWrap/>
            <w:vAlign w:val="center"/>
            <w:hideMark/>
          </w:tcPr>
          <w:p w:rsidR="009E26F4" w:rsidRPr="00AF7E96" w:rsidRDefault="009E26F4" w:rsidP="00191861">
            <w:pPr>
              <w:jc w:val="right"/>
              <w:rPr>
                <w:sz w:val="20"/>
                <w:szCs w:val="20"/>
              </w:rPr>
            </w:pPr>
            <w:r w:rsidRPr="00AF7E96">
              <w:rPr>
                <w:sz w:val="20"/>
                <w:szCs w:val="20"/>
              </w:rPr>
              <w:t>150 000,0</w:t>
            </w:r>
          </w:p>
        </w:tc>
        <w:tc>
          <w:tcPr>
            <w:tcW w:w="2037" w:type="dxa"/>
            <w:shd w:val="clear" w:color="auto" w:fill="auto"/>
            <w:noWrap/>
            <w:vAlign w:val="center"/>
            <w:hideMark/>
          </w:tcPr>
          <w:p w:rsidR="009E26F4" w:rsidRPr="00AF7E96" w:rsidRDefault="009E26F4" w:rsidP="00191861">
            <w:pPr>
              <w:jc w:val="right"/>
              <w:rPr>
                <w:sz w:val="20"/>
                <w:szCs w:val="20"/>
              </w:rPr>
            </w:pPr>
            <w:r w:rsidRPr="00AF7E96">
              <w:rPr>
                <w:sz w:val="20"/>
                <w:szCs w:val="20"/>
              </w:rPr>
              <w:t>3 811 105,0</w:t>
            </w:r>
          </w:p>
        </w:tc>
        <w:tc>
          <w:tcPr>
            <w:tcW w:w="1157" w:type="dxa"/>
            <w:shd w:val="clear" w:color="auto" w:fill="auto"/>
            <w:noWrap/>
            <w:vAlign w:val="center"/>
            <w:hideMark/>
          </w:tcPr>
          <w:p w:rsidR="009E26F4" w:rsidRPr="00AF7E96" w:rsidRDefault="009E26F4" w:rsidP="00AF7E96">
            <w:pPr>
              <w:ind w:left="-104"/>
              <w:jc w:val="right"/>
              <w:rPr>
                <w:sz w:val="20"/>
                <w:szCs w:val="20"/>
              </w:rPr>
            </w:pPr>
            <w:r w:rsidRPr="00AF7E96">
              <w:rPr>
                <w:sz w:val="20"/>
                <w:szCs w:val="20"/>
              </w:rPr>
              <w:t>3 661 105,0</w:t>
            </w:r>
          </w:p>
        </w:tc>
      </w:tr>
    </w:tbl>
    <w:p w:rsidR="009E26F4" w:rsidRPr="00467F9C" w:rsidRDefault="009E26F4" w:rsidP="00653E20">
      <w:pPr>
        <w:pStyle w:val="affc"/>
      </w:pPr>
      <w:r w:rsidRPr="00467F9C">
        <w:t xml:space="preserve">Структура источников финансирования дефицита окружного бюджета соответствуют статье 95 Бюджетного кодекса. </w:t>
      </w:r>
    </w:p>
    <w:p w:rsidR="009E26F4" w:rsidRPr="00467F9C" w:rsidRDefault="009E26F4" w:rsidP="00BB4369">
      <w:pPr>
        <w:pStyle w:val="affc"/>
      </w:pPr>
      <w:r w:rsidRPr="00467F9C">
        <w:t xml:space="preserve">Бюджетные назначения по расходам, установленные сводной бюджетной </w:t>
      </w:r>
      <w:r w:rsidRPr="00467F9C">
        <w:rPr>
          <w:bCs/>
        </w:rPr>
        <w:t>росписью</w:t>
      </w:r>
      <w:r w:rsidRPr="00467F9C">
        <w:rPr>
          <w:rStyle w:val="ab"/>
        </w:rPr>
        <w:footnoteReference w:id="53"/>
      </w:r>
      <w:r w:rsidRPr="00467F9C">
        <w:rPr>
          <w:bCs/>
        </w:rPr>
        <w:t xml:space="preserve"> по состоянию на 28 декабря 2021 года и отраженные в отчете об исполнении окружного бюджета за 2021</w:t>
      </w:r>
      <w:r w:rsidR="008A1EBB">
        <w:rPr>
          <w:bCs/>
        </w:rPr>
        <w:t xml:space="preserve"> </w:t>
      </w:r>
      <w:r w:rsidRPr="00467F9C">
        <w:rPr>
          <w:bCs/>
        </w:rPr>
        <w:t>год</w:t>
      </w:r>
      <w:r w:rsidRPr="00467F9C">
        <w:t xml:space="preserve"> составляют 56 151 343,9 тыс. рублей, что на 102 392,2 тыс. рублей больше объема расходов, утвержденных Законом об окружном бюджете. Расхождение плановых назначений связано </w:t>
      </w:r>
      <w:r w:rsidRPr="00467F9C">
        <w:lastRenderedPageBreak/>
        <w:t xml:space="preserve">с распределением зарезервированных Законом об окружном бюджете бюджетных ассигнований (статья 15), межбюджетных трансфертов из федерального бюджета и средств резервного фонда Правительства Чукотского автономного округа, что не противоречит бюджетному законодательству. </w:t>
      </w:r>
    </w:p>
    <w:p w:rsidR="009E26F4" w:rsidRPr="00467F9C" w:rsidRDefault="009E26F4" w:rsidP="00BB4369">
      <w:pPr>
        <w:pStyle w:val="affc"/>
        <w:rPr>
          <w:bCs/>
        </w:rPr>
      </w:pPr>
      <w:r w:rsidRPr="00467F9C">
        <w:t>Информация об изменениях, внесенных в сводную бюджетную роспись и не учтенных в Законе об окружном бюджете, представлена в разрезе разделов функциональной классификации расходов бюджета</w:t>
      </w:r>
      <w:r w:rsidRPr="00467F9C">
        <w:rPr>
          <w:bCs/>
        </w:rPr>
        <w:t xml:space="preserve"> в таблице №4.</w:t>
      </w:r>
    </w:p>
    <w:p w:rsidR="009E26F4" w:rsidRPr="00467F9C" w:rsidRDefault="009E26F4" w:rsidP="00191861">
      <w:pPr>
        <w:ind w:firstLine="709"/>
        <w:jc w:val="right"/>
        <w:rPr>
          <w:bCs/>
          <w:sz w:val="28"/>
          <w:szCs w:val="28"/>
        </w:rPr>
      </w:pPr>
      <w:r w:rsidRPr="00467F9C">
        <w:rPr>
          <w:bCs/>
          <w:sz w:val="28"/>
          <w:szCs w:val="28"/>
        </w:rPr>
        <w:t>Таблица №4</w:t>
      </w:r>
    </w:p>
    <w:p w:rsidR="009E26F4" w:rsidRPr="00467F9C" w:rsidRDefault="009E26F4" w:rsidP="00191861">
      <w:pPr>
        <w:ind w:firstLine="709"/>
        <w:jc w:val="right"/>
        <w:rPr>
          <w:bCs/>
          <w:sz w:val="28"/>
          <w:szCs w:val="28"/>
        </w:rPr>
      </w:pPr>
      <w:r w:rsidRPr="00467F9C">
        <w:rPr>
          <w:bCs/>
          <w:sz w:val="28"/>
          <w:szCs w:val="28"/>
        </w:rPr>
        <w:t>(тыс. рублей)</w:t>
      </w:r>
    </w:p>
    <w:tbl>
      <w:tblPr>
        <w:tblW w:w="9946" w:type="dxa"/>
        <w:tblLook w:val="04A0" w:firstRow="1" w:lastRow="0" w:firstColumn="1" w:lastColumn="0" w:noHBand="0" w:noVBand="1"/>
      </w:tblPr>
      <w:tblGrid>
        <w:gridCol w:w="5098"/>
        <w:gridCol w:w="2268"/>
        <w:gridCol w:w="1277"/>
        <w:gridCol w:w="1303"/>
      </w:tblGrid>
      <w:tr w:rsidR="009E26F4" w:rsidRPr="008A1EBB" w:rsidTr="008A1EBB">
        <w:trPr>
          <w:trHeight w:val="320"/>
          <w:tblHeader/>
        </w:trPr>
        <w:tc>
          <w:tcPr>
            <w:tcW w:w="5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26F4" w:rsidRPr="008A1EBB" w:rsidRDefault="009E26F4" w:rsidP="00191861">
            <w:pPr>
              <w:jc w:val="center"/>
              <w:rPr>
                <w:sz w:val="20"/>
                <w:szCs w:val="20"/>
              </w:rPr>
            </w:pPr>
            <w:r w:rsidRPr="008A1EBB">
              <w:rPr>
                <w:sz w:val="20"/>
                <w:szCs w:val="20"/>
              </w:rPr>
              <w:t>Наименование раздела</w:t>
            </w:r>
          </w:p>
        </w:tc>
        <w:tc>
          <w:tcPr>
            <w:tcW w:w="3545" w:type="dxa"/>
            <w:gridSpan w:val="2"/>
            <w:tcBorders>
              <w:top w:val="single" w:sz="4" w:space="0" w:color="auto"/>
              <w:left w:val="nil"/>
              <w:bottom w:val="single" w:sz="4" w:space="0" w:color="auto"/>
              <w:right w:val="single" w:sz="4" w:space="0" w:color="auto"/>
            </w:tcBorders>
            <w:shd w:val="clear" w:color="auto" w:fill="auto"/>
            <w:vAlign w:val="center"/>
            <w:hideMark/>
          </w:tcPr>
          <w:p w:rsidR="009E26F4" w:rsidRPr="008A1EBB" w:rsidRDefault="009E26F4" w:rsidP="00191861">
            <w:pPr>
              <w:jc w:val="center"/>
              <w:rPr>
                <w:sz w:val="20"/>
                <w:szCs w:val="20"/>
              </w:rPr>
            </w:pPr>
            <w:r w:rsidRPr="008A1EBB">
              <w:rPr>
                <w:sz w:val="20"/>
                <w:szCs w:val="20"/>
              </w:rPr>
              <w:t>Утверждено</w:t>
            </w:r>
          </w:p>
        </w:tc>
        <w:tc>
          <w:tcPr>
            <w:tcW w:w="1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26F4" w:rsidRPr="008A1EBB" w:rsidRDefault="009E26F4" w:rsidP="00191861">
            <w:pPr>
              <w:jc w:val="center"/>
              <w:rPr>
                <w:sz w:val="20"/>
                <w:szCs w:val="20"/>
              </w:rPr>
            </w:pPr>
            <w:r w:rsidRPr="008A1EBB">
              <w:rPr>
                <w:sz w:val="20"/>
                <w:szCs w:val="20"/>
              </w:rPr>
              <w:t>Отклонения</w:t>
            </w:r>
            <w:r w:rsidRPr="008A1EBB">
              <w:rPr>
                <w:sz w:val="20"/>
                <w:szCs w:val="20"/>
              </w:rPr>
              <w:br/>
              <w:t>(гр.3-гр.2)</w:t>
            </w:r>
          </w:p>
        </w:tc>
      </w:tr>
      <w:tr w:rsidR="009E26F4" w:rsidRPr="008A1EBB" w:rsidTr="008A1EBB">
        <w:trPr>
          <w:trHeight w:val="400"/>
          <w:tblHeader/>
        </w:trPr>
        <w:tc>
          <w:tcPr>
            <w:tcW w:w="5098" w:type="dxa"/>
            <w:vMerge/>
            <w:tcBorders>
              <w:top w:val="single" w:sz="4" w:space="0" w:color="auto"/>
              <w:left w:val="single" w:sz="4" w:space="0" w:color="auto"/>
              <w:bottom w:val="single" w:sz="4" w:space="0" w:color="auto"/>
              <w:right w:val="single" w:sz="4" w:space="0" w:color="auto"/>
            </w:tcBorders>
            <w:vAlign w:val="center"/>
            <w:hideMark/>
          </w:tcPr>
          <w:p w:rsidR="009E26F4" w:rsidRPr="008A1EBB" w:rsidRDefault="009E26F4" w:rsidP="00191861">
            <w:pPr>
              <w:rPr>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8A1EBB">
            <w:pPr>
              <w:ind w:left="-105" w:right="-105"/>
              <w:jc w:val="center"/>
              <w:rPr>
                <w:sz w:val="20"/>
                <w:szCs w:val="20"/>
              </w:rPr>
            </w:pPr>
            <w:r w:rsidRPr="008A1EBB">
              <w:rPr>
                <w:sz w:val="20"/>
                <w:szCs w:val="20"/>
              </w:rPr>
              <w:t xml:space="preserve">Законом </w:t>
            </w:r>
            <w:r w:rsidRPr="008A1EBB">
              <w:rPr>
                <w:sz w:val="20"/>
                <w:szCs w:val="20"/>
              </w:rPr>
              <w:br/>
              <w:t>об окружном бюджете</w:t>
            </w:r>
            <w:r w:rsidRPr="008A1EBB">
              <w:rPr>
                <w:sz w:val="20"/>
                <w:szCs w:val="20"/>
              </w:rPr>
              <w:br/>
              <w:t>(в ред. от 09.12.2021 г.)</w:t>
            </w:r>
          </w:p>
        </w:tc>
        <w:tc>
          <w:tcPr>
            <w:tcW w:w="1277"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center"/>
              <w:rPr>
                <w:sz w:val="20"/>
                <w:szCs w:val="20"/>
              </w:rPr>
            </w:pPr>
            <w:r w:rsidRPr="008A1EBB">
              <w:rPr>
                <w:sz w:val="20"/>
                <w:szCs w:val="20"/>
              </w:rPr>
              <w:t>сводной бюджетной росписью</w:t>
            </w:r>
          </w:p>
        </w:tc>
        <w:tc>
          <w:tcPr>
            <w:tcW w:w="1303" w:type="dxa"/>
            <w:vMerge/>
            <w:tcBorders>
              <w:top w:val="single" w:sz="4" w:space="0" w:color="auto"/>
              <w:left w:val="single" w:sz="4" w:space="0" w:color="auto"/>
              <w:bottom w:val="single" w:sz="4" w:space="0" w:color="auto"/>
              <w:right w:val="single" w:sz="4" w:space="0" w:color="auto"/>
            </w:tcBorders>
            <w:vAlign w:val="center"/>
            <w:hideMark/>
          </w:tcPr>
          <w:p w:rsidR="009E26F4" w:rsidRPr="008A1EBB" w:rsidRDefault="009E26F4" w:rsidP="00191861">
            <w:pPr>
              <w:rPr>
                <w:sz w:val="20"/>
                <w:szCs w:val="20"/>
              </w:rPr>
            </w:pPr>
          </w:p>
        </w:tc>
      </w:tr>
      <w:tr w:rsidR="009E26F4" w:rsidRPr="008A1EBB" w:rsidTr="008A1EBB">
        <w:trPr>
          <w:trHeight w:val="200"/>
          <w:tblHeader/>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9E26F4" w:rsidRPr="008A1EBB" w:rsidRDefault="009E26F4" w:rsidP="00191861">
            <w:pPr>
              <w:jc w:val="center"/>
              <w:rPr>
                <w:sz w:val="20"/>
                <w:szCs w:val="20"/>
              </w:rPr>
            </w:pPr>
            <w:r w:rsidRPr="008A1EBB">
              <w:rPr>
                <w:sz w:val="20"/>
                <w:szCs w:val="20"/>
              </w:rPr>
              <w:t>1</w:t>
            </w:r>
          </w:p>
        </w:tc>
        <w:tc>
          <w:tcPr>
            <w:tcW w:w="2268"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center"/>
              <w:rPr>
                <w:sz w:val="20"/>
                <w:szCs w:val="20"/>
              </w:rPr>
            </w:pPr>
            <w:r w:rsidRPr="008A1EBB">
              <w:rPr>
                <w:sz w:val="20"/>
                <w:szCs w:val="20"/>
              </w:rPr>
              <w:t>2</w:t>
            </w:r>
          </w:p>
        </w:tc>
        <w:tc>
          <w:tcPr>
            <w:tcW w:w="1277"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center"/>
              <w:rPr>
                <w:sz w:val="20"/>
                <w:szCs w:val="20"/>
              </w:rPr>
            </w:pPr>
            <w:r w:rsidRPr="008A1EBB">
              <w:rPr>
                <w:sz w:val="20"/>
                <w:szCs w:val="20"/>
              </w:rPr>
              <w:t>3</w:t>
            </w:r>
          </w:p>
        </w:tc>
        <w:tc>
          <w:tcPr>
            <w:tcW w:w="1303"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center"/>
              <w:rPr>
                <w:sz w:val="20"/>
                <w:szCs w:val="20"/>
              </w:rPr>
            </w:pPr>
            <w:r w:rsidRPr="008A1EBB">
              <w:rPr>
                <w:sz w:val="20"/>
                <w:szCs w:val="20"/>
              </w:rPr>
              <w:t>4</w:t>
            </w:r>
          </w:p>
        </w:tc>
      </w:tr>
      <w:tr w:rsidR="009E26F4" w:rsidRPr="008A1EBB" w:rsidTr="008A1EBB">
        <w:trPr>
          <w:trHeight w:val="2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9E26F4" w:rsidRPr="008A1EBB" w:rsidRDefault="009E26F4" w:rsidP="00191861">
            <w:pPr>
              <w:rPr>
                <w:b/>
                <w:bCs/>
                <w:sz w:val="20"/>
                <w:szCs w:val="20"/>
              </w:rPr>
            </w:pPr>
            <w:r w:rsidRPr="008A1EBB">
              <w:rPr>
                <w:b/>
                <w:bCs/>
                <w:sz w:val="20"/>
                <w:szCs w:val="20"/>
              </w:rPr>
              <w:t>Расходы бюджета - всего</w:t>
            </w:r>
          </w:p>
        </w:tc>
        <w:tc>
          <w:tcPr>
            <w:tcW w:w="2268"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b/>
                <w:bCs/>
                <w:sz w:val="20"/>
                <w:szCs w:val="20"/>
              </w:rPr>
            </w:pPr>
            <w:r w:rsidRPr="008A1EBB">
              <w:rPr>
                <w:b/>
                <w:bCs/>
                <w:sz w:val="20"/>
                <w:szCs w:val="20"/>
              </w:rPr>
              <w:t>56 048 951,7</w:t>
            </w:r>
          </w:p>
        </w:tc>
        <w:tc>
          <w:tcPr>
            <w:tcW w:w="1277"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b/>
                <w:bCs/>
                <w:sz w:val="20"/>
                <w:szCs w:val="20"/>
              </w:rPr>
            </w:pPr>
            <w:r w:rsidRPr="008A1EBB">
              <w:rPr>
                <w:b/>
                <w:bCs/>
                <w:sz w:val="20"/>
                <w:szCs w:val="20"/>
              </w:rPr>
              <w:t>56 151 343,9</w:t>
            </w:r>
          </w:p>
        </w:tc>
        <w:tc>
          <w:tcPr>
            <w:tcW w:w="1303"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b/>
                <w:bCs/>
                <w:sz w:val="20"/>
                <w:szCs w:val="20"/>
              </w:rPr>
            </w:pPr>
            <w:r w:rsidRPr="008A1EBB">
              <w:rPr>
                <w:b/>
                <w:bCs/>
                <w:sz w:val="20"/>
                <w:szCs w:val="20"/>
              </w:rPr>
              <w:t>102 392,2</w:t>
            </w:r>
          </w:p>
        </w:tc>
      </w:tr>
      <w:tr w:rsidR="009E26F4" w:rsidRPr="008A1EBB" w:rsidTr="008A1EBB">
        <w:trPr>
          <w:trHeight w:val="2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9E26F4" w:rsidRPr="008A1EBB" w:rsidRDefault="009E26F4" w:rsidP="00191861">
            <w:pPr>
              <w:rPr>
                <w:sz w:val="20"/>
                <w:szCs w:val="20"/>
              </w:rPr>
            </w:pPr>
            <w:r w:rsidRPr="008A1EBB">
              <w:rPr>
                <w:sz w:val="20"/>
                <w:szCs w:val="20"/>
              </w:rPr>
              <w:t>01 Общегосударственные расходы</w:t>
            </w:r>
          </w:p>
        </w:tc>
        <w:tc>
          <w:tcPr>
            <w:tcW w:w="2268"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1 370 351,2</w:t>
            </w:r>
          </w:p>
        </w:tc>
        <w:tc>
          <w:tcPr>
            <w:tcW w:w="1277"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1 326 779,3</w:t>
            </w:r>
          </w:p>
        </w:tc>
        <w:tc>
          <w:tcPr>
            <w:tcW w:w="1303"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-43 571,9</w:t>
            </w:r>
          </w:p>
        </w:tc>
      </w:tr>
      <w:tr w:rsidR="009E26F4" w:rsidRPr="008A1EBB" w:rsidTr="008A1EBB">
        <w:trPr>
          <w:trHeight w:val="2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9E26F4" w:rsidRPr="008A1EBB" w:rsidRDefault="009E26F4" w:rsidP="00191861">
            <w:pPr>
              <w:rPr>
                <w:sz w:val="20"/>
                <w:szCs w:val="20"/>
              </w:rPr>
            </w:pPr>
            <w:r w:rsidRPr="008A1EBB">
              <w:rPr>
                <w:sz w:val="20"/>
                <w:szCs w:val="20"/>
              </w:rPr>
              <w:t>02 Национальная оборона</w:t>
            </w:r>
          </w:p>
        </w:tc>
        <w:tc>
          <w:tcPr>
            <w:tcW w:w="2268"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5 973,0</w:t>
            </w:r>
          </w:p>
        </w:tc>
        <w:tc>
          <w:tcPr>
            <w:tcW w:w="1277"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5 973,0</w:t>
            </w:r>
          </w:p>
        </w:tc>
        <w:tc>
          <w:tcPr>
            <w:tcW w:w="1303"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w:t>
            </w:r>
          </w:p>
        </w:tc>
      </w:tr>
      <w:tr w:rsidR="009E26F4" w:rsidRPr="008A1EBB" w:rsidTr="008A1EBB">
        <w:trPr>
          <w:trHeight w:val="4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9E26F4" w:rsidRPr="008A1EBB" w:rsidRDefault="009E26F4" w:rsidP="00191861">
            <w:pPr>
              <w:rPr>
                <w:sz w:val="20"/>
                <w:szCs w:val="20"/>
              </w:rPr>
            </w:pPr>
            <w:r w:rsidRPr="008A1EBB">
              <w:rPr>
                <w:sz w:val="20"/>
                <w:szCs w:val="20"/>
              </w:rPr>
              <w:t>03 Национальная безопасность и правоохранительная деятельность</w:t>
            </w:r>
          </w:p>
        </w:tc>
        <w:tc>
          <w:tcPr>
            <w:tcW w:w="2268"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519 610,5</w:t>
            </w:r>
          </w:p>
        </w:tc>
        <w:tc>
          <w:tcPr>
            <w:tcW w:w="1277"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519 610,5</w:t>
            </w:r>
          </w:p>
        </w:tc>
        <w:tc>
          <w:tcPr>
            <w:tcW w:w="1303"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w:t>
            </w:r>
          </w:p>
        </w:tc>
      </w:tr>
      <w:tr w:rsidR="009E26F4" w:rsidRPr="008A1EBB" w:rsidTr="008A1EBB">
        <w:trPr>
          <w:trHeight w:val="2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9E26F4" w:rsidRPr="008A1EBB" w:rsidRDefault="009E26F4" w:rsidP="00191861">
            <w:pPr>
              <w:rPr>
                <w:sz w:val="20"/>
                <w:szCs w:val="20"/>
              </w:rPr>
            </w:pPr>
            <w:r w:rsidRPr="008A1EBB">
              <w:rPr>
                <w:sz w:val="20"/>
                <w:szCs w:val="20"/>
              </w:rPr>
              <w:t>04 Национальная экономика</w:t>
            </w:r>
          </w:p>
        </w:tc>
        <w:tc>
          <w:tcPr>
            <w:tcW w:w="2268"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11 892 150,5</w:t>
            </w:r>
          </w:p>
        </w:tc>
        <w:tc>
          <w:tcPr>
            <w:tcW w:w="1277"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11 958 217,6</w:t>
            </w:r>
          </w:p>
        </w:tc>
        <w:tc>
          <w:tcPr>
            <w:tcW w:w="1303"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66 067,1</w:t>
            </w:r>
          </w:p>
        </w:tc>
      </w:tr>
      <w:tr w:rsidR="009E26F4" w:rsidRPr="008A1EBB" w:rsidTr="008A1EBB">
        <w:trPr>
          <w:trHeight w:val="2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9E26F4" w:rsidRPr="008A1EBB" w:rsidRDefault="009E26F4" w:rsidP="00191861">
            <w:pPr>
              <w:rPr>
                <w:sz w:val="20"/>
                <w:szCs w:val="20"/>
              </w:rPr>
            </w:pPr>
            <w:r w:rsidRPr="008A1EBB">
              <w:rPr>
                <w:sz w:val="20"/>
                <w:szCs w:val="20"/>
              </w:rPr>
              <w:t>05 Жилищно-коммунальное хозяйство</w:t>
            </w:r>
          </w:p>
        </w:tc>
        <w:tc>
          <w:tcPr>
            <w:tcW w:w="2268"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20 453 900,3</w:t>
            </w:r>
          </w:p>
        </w:tc>
        <w:tc>
          <w:tcPr>
            <w:tcW w:w="1277"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20 445 971,0</w:t>
            </w:r>
          </w:p>
        </w:tc>
        <w:tc>
          <w:tcPr>
            <w:tcW w:w="1303"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-7 929,3</w:t>
            </w:r>
          </w:p>
        </w:tc>
      </w:tr>
      <w:tr w:rsidR="009E26F4" w:rsidRPr="008A1EBB" w:rsidTr="008A1EBB">
        <w:trPr>
          <w:trHeight w:val="2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9E26F4" w:rsidRPr="008A1EBB" w:rsidRDefault="009E26F4" w:rsidP="00191861">
            <w:pPr>
              <w:rPr>
                <w:sz w:val="20"/>
                <w:szCs w:val="20"/>
              </w:rPr>
            </w:pPr>
            <w:r w:rsidRPr="008A1EBB">
              <w:rPr>
                <w:sz w:val="20"/>
                <w:szCs w:val="20"/>
              </w:rPr>
              <w:t>06 Охрана окружающей среды</w:t>
            </w:r>
          </w:p>
        </w:tc>
        <w:tc>
          <w:tcPr>
            <w:tcW w:w="2268"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132 570,5</w:t>
            </w:r>
          </w:p>
        </w:tc>
        <w:tc>
          <w:tcPr>
            <w:tcW w:w="1277"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134 470,6</w:t>
            </w:r>
          </w:p>
        </w:tc>
        <w:tc>
          <w:tcPr>
            <w:tcW w:w="1303"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1 900,1</w:t>
            </w:r>
          </w:p>
        </w:tc>
      </w:tr>
      <w:tr w:rsidR="009E26F4" w:rsidRPr="008A1EBB" w:rsidTr="008A1EBB">
        <w:trPr>
          <w:trHeight w:val="2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9E26F4" w:rsidRPr="008A1EBB" w:rsidRDefault="009E26F4" w:rsidP="00191861">
            <w:pPr>
              <w:rPr>
                <w:sz w:val="20"/>
                <w:szCs w:val="20"/>
              </w:rPr>
            </w:pPr>
            <w:r w:rsidRPr="008A1EBB">
              <w:rPr>
                <w:sz w:val="20"/>
                <w:szCs w:val="20"/>
              </w:rPr>
              <w:t>07 Образование</w:t>
            </w:r>
          </w:p>
        </w:tc>
        <w:tc>
          <w:tcPr>
            <w:tcW w:w="2268"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7 383 183,4</w:t>
            </w:r>
          </w:p>
        </w:tc>
        <w:tc>
          <w:tcPr>
            <w:tcW w:w="1277"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7 383 028,8</w:t>
            </w:r>
          </w:p>
        </w:tc>
        <w:tc>
          <w:tcPr>
            <w:tcW w:w="1303"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-154,6</w:t>
            </w:r>
          </w:p>
        </w:tc>
      </w:tr>
      <w:tr w:rsidR="009E26F4" w:rsidRPr="008A1EBB" w:rsidTr="008A1EBB">
        <w:trPr>
          <w:trHeight w:val="2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9E26F4" w:rsidRPr="008A1EBB" w:rsidRDefault="009E26F4" w:rsidP="00191861">
            <w:pPr>
              <w:rPr>
                <w:sz w:val="20"/>
                <w:szCs w:val="20"/>
              </w:rPr>
            </w:pPr>
            <w:r w:rsidRPr="008A1EBB">
              <w:rPr>
                <w:sz w:val="20"/>
                <w:szCs w:val="20"/>
              </w:rPr>
              <w:t>08 Культура, кинематография</w:t>
            </w:r>
          </w:p>
        </w:tc>
        <w:tc>
          <w:tcPr>
            <w:tcW w:w="2268"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727 407,2</w:t>
            </w:r>
          </w:p>
        </w:tc>
        <w:tc>
          <w:tcPr>
            <w:tcW w:w="1277"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731 583,4</w:t>
            </w:r>
          </w:p>
        </w:tc>
        <w:tc>
          <w:tcPr>
            <w:tcW w:w="1303"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4 176,2</w:t>
            </w:r>
          </w:p>
        </w:tc>
      </w:tr>
      <w:tr w:rsidR="009E26F4" w:rsidRPr="008A1EBB" w:rsidTr="008A1EBB">
        <w:trPr>
          <w:trHeight w:val="2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9E26F4" w:rsidRPr="008A1EBB" w:rsidRDefault="009E26F4" w:rsidP="00191861">
            <w:pPr>
              <w:rPr>
                <w:sz w:val="20"/>
                <w:szCs w:val="20"/>
              </w:rPr>
            </w:pPr>
            <w:r w:rsidRPr="008A1EBB">
              <w:rPr>
                <w:sz w:val="20"/>
                <w:szCs w:val="20"/>
              </w:rPr>
              <w:t>09 Здравоохранение</w:t>
            </w:r>
          </w:p>
        </w:tc>
        <w:tc>
          <w:tcPr>
            <w:tcW w:w="2268"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3 755 791,4</w:t>
            </w:r>
          </w:p>
        </w:tc>
        <w:tc>
          <w:tcPr>
            <w:tcW w:w="1277"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3 823 931,6</w:t>
            </w:r>
          </w:p>
        </w:tc>
        <w:tc>
          <w:tcPr>
            <w:tcW w:w="1303"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68 140,2</w:t>
            </w:r>
          </w:p>
        </w:tc>
      </w:tr>
      <w:tr w:rsidR="009E26F4" w:rsidRPr="008A1EBB" w:rsidTr="008A1EBB">
        <w:trPr>
          <w:trHeight w:val="2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9E26F4" w:rsidRPr="008A1EBB" w:rsidRDefault="009E26F4" w:rsidP="00191861">
            <w:pPr>
              <w:rPr>
                <w:sz w:val="20"/>
                <w:szCs w:val="20"/>
              </w:rPr>
            </w:pPr>
            <w:r w:rsidRPr="008A1EBB">
              <w:rPr>
                <w:sz w:val="20"/>
                <w:szCs w:val="20"/>
              </w:rPr>
              <w:t>10 Социальная политика</w:t>
            </w:r>
          </w:p>
        </w:tc>
        <w:tc>
          <w:tcPr>
            <w:tcW w:w="2268"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3 298 855,9</w:t>
            </w:r>
          </w:p>
        </w:tc>
        <w:tc>
          <w:tcPr>
            <w:tcW w:w="1277"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3 305 020,3</w:t>
            </w:r>
          </w:p>
        </w:tc>
        <w:tc>
          <w:tcPr>
            <w:tcW w:w="1303"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6 164,4</w:t>
            </w:r>
          </w:p>
        </w:tc>
      </w:tr>
      <w:tr w:rsidR="009E26F4" w:rsidRPr="008A1EBB" w:rsidTr="008A1EBB">
        <w:trPr>
          <w:trHeight w:val="2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9E26F4" w:rsidRPr="008A1EBB" w:rsidRDefault="009E26F4" w:rsidP="00191861">
            <w:pPr>
              <w:rPr>
                <w:sz w:val="20"/>
                <w:szCs w:val="20"/>
              </w:rPr>
            </w:pPr>
            <w:r w:rsidRPr="008A1EBB">
              <w:rPr>
                <w:sz w:val="20"/>
                <w:szCs w:val="20"/>
              </w:rPr>
              <w:t>11 Физическая культура и спорт</w:t>
            </w:r>
          </w:p>
        </w:tc>
        <w:tc>
          <w:tcPr>
            <w:tcW w:w="2268"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184 814,1</w:t>
            </w:r>
          </w:p>
        </w:tc>
        <w:tc>
          <w:tcPr>
            <w:tcW w:w="1277"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184 414,1</w:t>
            </w:r>
          </w:p>
        </w:tc>
        <w:tc>
          <w:tcPr>
            <w:tcW w:w="1303"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-400,0</w:t>
            </w:r>
          </w:p>
        </w:tc>
      </w:tr>
      <w:tr w:rsidR="009E26F4" w:rsidRPr="008A1EBB" w:rsidTr="008A1EBB">
        <w:trPr>
          <w:trHeight w:val="2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9E26F4" w:rsidRPr="008A1EBB" w:rsidRDefault="009E26F4" w:rsidP="00191861">
            <w:pPr>
              <w:rPr>
                <w:sz w:val="20"/>
                <w:szCs w:val="20"/>
              </w:rPr>
            </w:pPr>
            <w:r w:rsidRPr="008A1EBB">
              <w:rPr>
                <w:sz w:val="20"/>
                <w:szCs w:val="20"/>
              </w:rPr>
              <w:t>12 Средства массовой информации</w:t>
            </w:r>
          </w:p>
        </w:tc>
        <w:tc>
          <w:tcPr>
            <w:tcW w:w="2268"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181 596,5</w:t>
            </w:r>
          </w:p>
        </w:tc>
        <w:tc>
          <w:tcPr>
            <w:tcW w:w="1277"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181 596,5</w:t>
            </w:r>
          </w:p>
        </w:tc>
        <w:tc>
          <w:tcPr>
            <w:tcW w:w="1303"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w:t>
            </w:r>
          </w:p>
        </w:tc>
      </w:tr>
      <w:tr w:rsidR="009E26F4" w:rsidRPr="008A1EBB" w:rsidTr="008A1EBB">
        <w:trPr>
          <w:trHeight w:val="2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9E26F4" w:rsidRPr="008A1EBB" w:rsidRDefault="009E26F4" w:rsidP="00191861">
            <w:pPr>
              <w:rPr>
                <w:sz w:val="20"/>
                <w:szCs w:val="20"/>
              </w:rPr>
            </w:pPr>
            <w:r w:rsidRPr="008A1EBB">
              <w:rPr>
                <w:sz w:val="20"/>
                <w:szCs w:val="20"/>
              </w:rPr>
              <w:t>13 Обслуживание государственного долга</w:t>
            </w:r>
          </w:p>
        </w:tc>
        <w:tc>
          <w:tcPr>
            <w:tcW w:w="2268"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8 359,8</w:t>
            </w:r>
          </w:p>
        </w:tc>
        <w:tc>
          <w:tcPr>
            <w:tcW w:w="1277"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8 359,8</w:t>
            </w:r>
          </w:p>
        </w:tc>
        <w:tc>
          <w:tcPr>
            <w:tcW w:w="1303"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w:t>
            </w:r>
          </w:p>
        </w:tc>
      </w:tr>
      <w:tr w:rsidR="009E26F4" w:rsidRPr="008A1EBB" w:rsidTr="008A1EBB">
        <w:trPr>
          <w:trHeight w:val="4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9E26F4" w:rsidRDefault="009E26F4" w:rsidP="00191861">
            <w:pPr>
              <w:rPr>
                <w:sz w:val="20"/>
                <w:szCs w:val="20"/>
              </w:rPr>
            </w:pPr>
            <w:r w:rsidRPr="008A1EBB">
              <w:rPr>
                <w:sz w:val="20"/>
                <w:szCs w:val="20"/>
              </w:rPr>
              <w:t>14 Межбюджетные трансферты общего характера бюджетам субъектов и муниципальных образований</w:t>
            </w:r>
          </w:p>
          <w:p w:rsidR="008A1EBB" w:rsidRPr="008A1EBB" w:rsidRDefault="008A1EBB" w:rsidP="00191861">
            <w:pPr>
              <w:rPr>
                <w:sz w:val="4"/>
                <w:szCs w:val="4"/>
              </w:rPr>
            </w:pPr>
          </w:p>
          <w:p w:rsidR="008A1EBB" w:rsidRPr="008A1EBB" w:rsidRDefault="008A1EBB" w:rsidP="00191861">
            <w:pPr>
              <w:rPr>
                <w:sz w:val="4"/>
                <w:szCs w:val="4"/>
              </w:rPr>
            </w:pPr>
          </w:p>
        </w:tc>
        <w:tc>
          <w:tcPr>
            <w:tcW w:w="2268"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6 134 387,4</w:t>
            </w:r>
          </w:p>
        </w:tc>
        <w:tc>
          <w:tcPr>
            <w:tcW w:w="1277"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6 142 387,4</w:t>
            </w:r>
          </w:p>
        </w:tc>
        <w:tc>
          <w:tcPr>
            <w:tcW w:w="1303"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8 000,0</w:t>
            </w:r>
          </w:p>
        </w:tc>
      </w:tr>
    </w:tbl>
    <w:p w:rsidR="009E26F4" w:rsidRPr="00467F9C" w:rsidRDefault="009E26F4" w:rsidP="00191861">
      <w:pPr>
        <w:autoSpaceDE w:val="0"/>
        <w:autoSpaceDN w:val="0"/>
        <w:adjustRightInd w:val="0"/>
        <w:spacing w:before="120"/>
        <w:ind w:firstLine="709"/>
        <w:jc w:val="both"/>
        <w:rPr>
          <w:sz w:val="28"/>
          <w:szCs w:val="28"/>
        </w:rPr>
      </w:pPr>
      <w:r w:rsidRPr="00467F9C">
        <w:rPr>
          <w:sz w:val="28"/>
          <w:szCs w:val="28"/>
        </w:rPr>
        <w:t>В разрезе 14 разделов бюджетной классификации расходов бюджета изменения коснулись 10 разделов.</w:t>
      </w:r>
    </w:p>
    <w:p w:rsidR="009E26F4" w:rsidRPr="00467F9C" w:rsidRDefault="009E26F4" w:rsidP="00191861">
      <w:pPr>
        <w:autoSpaceDE w:val="0"/>
        <w:autoSpaceDN w:val="0"/>
        <w:adjustRightInd w:val="0"/>
        <w:ind w:firstLine="709"/>
        <w:jc w:val="both"/>
        <w:rPr>
          <w:sz w:val="28"/>
          <w:szCs w:val="28"/>
        </w:rPr>
      </w:pPr>
      <w:r w:rsidRPr="00467F9C">
        <w:rPr>
          <w:sz w:val="28"/>
          <w:szCs w:val="28"/>
        </w:rPr>
        <w:t xml:space="preserve">Согласно данным отчета об исполнении окружного бюджета доходы составили 51 237 594,3 тыс. рублей, что на 1 236 186,0 тыс. рублей или 2,5% больше прогнозируемого показателя (50 001 408,3 тыс. рублей), установленного Законом об окружном бюджете, расходы – 54 604 715,7 тыс. рублей, что на 1 546 628,2 тыс. рублей или 2,8% меньше показателя сводной бюджетной росписи (56 151 343,9 тыс. рублей), дефицит – 3 367 121,4 тыс. рублей. </w:t>
      </w:r>
    </w:p>
    <w:p w:rsidR="009E26F4" w:rsidRPr="00467F9C" w:rsidRDefault="009E26F4" w:rsidP="00191861">
      <w:pPr>
        <w:autoSpaceDE w:val="0"/>
        <w:autoSpaceDN w:val="0"/>
        <w:adjustRightInd w:val="0"/>
        <w:ind w:firstLine="709"/>
        <w:jc w:val="both"/>
        <w:rPr>
          <w:sz w:val="28"/>
          <w:szCs w:val="28"/>
        </w:rPr>
      </w:pPr>
      <w:r w:rsidRPr="00467F9C">
        <w:rPr>
          <w:sz w:val="28"/>
          <w:szCs w:val="28"/>
        </w:rPr>
        <w:t>Характеристика исполнения окружного бюджета по итогам 2021 года представлена в таблице №5.</w:t>
      </w:r>
    </w:p>
    <w:p w:rsidR="009E26F4" w:rsidRPr="00467F9C" w:rsidRDefault="009E26F4" w:rsidP="00191861">
      <w:pPr>
        <w:ind w:firstLine="709"/>
        <w:jc w:val="right"/>
        <w:rPr>
          <w:sz w:val="28"/>
          <w:szCs w:val="28"/>
        </w:rPr>
      </w:pPr>
      <w:r w:rsidRPr="00467F9C">
        <w:rPr>
          <w:sz w:val="28"/>
          <w:szCs w:val="28"/>
        </w:rPr>
        <w:t>Таблица №5</w:t>
      </w:r>
    </w:p>
    <w:p w:rsidR="009E26F4" w:rsidRPr="00467F9C" w:rsidRDefault="009E26F4" w:rsidP="00191861">
      <w:pPr>
        <w:ind w:firstLine="709"/>
        <w:jc w:val="right"/>
        <w:rPr>
          <w:sz w:val="28"/>
          <w:szCs w:val="28"/>
        </w:rPr>
      </w:pPr>
      <w:r w:rsidRPr="00467F9C">
        <w:rPr>
          <w:sz w:val="28"/>
          <w:szCs w:val="28"/>
        </w:rPr>
        <w:t>(тыс. рублей)</w:t>
      </w:r>
    </w:p>
    <w:tbl>
      <w:tblPr>
        <w:tblW w:w="9949" w:type="dxa"/>
        <w:tblInd w:w="-5" w:type="dxa"/>
        <w:tblLook w:val="04A0" w:firstRow="1" w:lastRow="0" w:firstColumn="1" w:lastColumn="0" w:noHBand="0" w:noVBand="1"/>
      </w:tblPr>
      <w:tblGrid>
        <w:gridCol w:w="4976"/>
        <w:gridCol w:w="1717"/>
        <w:gridCol w:w="1554"/>
        <w:gridCol w:w="1702"/>
      </w:tblGrid>
      <w:tr w:rsidR="009E26F4" w:rsidRPr="008A1EBB" w:rsidTr="009E26F4">
        <w:trPr>
          <w:trHeight w:val="385"/>
          <w:tblHeader/>
        </w:trPr>
        <w:tc>
          <w:tcPr>
            <w:tcW w:w="4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6F4" w:rsidRDefault="009E26F4" w:rsidP="00191861">
            <w:pPr>
              <w:jc w:val="center"/>
              <w:rPr>
                <w:sz w:val="20"/>
                <w:szCs w:val="20"/>
              </w:rPr>
            </w:pPr>
            <w:r w:rsidRPr="008A1EBB">
              <w:rPr>
                <w:sz w:val="20"/>
                <w:szCs w:val="20"/>
              </w:rPr>
              <w:t xml:space="preserve">Наименование </w:t>
            </w:r>
            <w:r w:rsidRPr="008A1EBB">
              <w:rPr>
                <w:sz w:val="20"/>
                <w:szCs w:val="20"/>
              </w:rPr>
              <w:br/>
              <w:t>основных показателей бюджета</w:t>
            </w:r>
          </w:p>
          <w:p w:rsidR="00747B19" w:rsidRPr="00747B19" w:rsidRDefault="00747B19" w:rsidP="00191861">
            <w:pPr>
              <w:jc w:val="center"/>
              <w:rPr>
                <w:sz w:val="4"/>
                <w:szCs w:val="4"/>
              </w:rPr>
            </w:pP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9E26F4" w:rsidRPr="008A1EBB" w:rsidRDefault="009E26F4" w:rsidP="00191861">
            <w:pPr>
              <w:jc w:val="center"/>
              <w:rPr>
                <w:sz w:val="20"/>
                <w:szCs w:val="20"/>
              </w:rPr>
            </w:pPr>
            <w:r w:rsidRPr="008A1EBB">
              <w:rPr>
                <w:sz w:val="20"/>
                <w:szCs w:val="20"/>
              </w:rPr>
              <w:t>Утверждено</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rsidR="009E26F4" w:rsidRPr="008A1EBB" w:rsidRDefault="009E26F4" w:rsidP="00191861">
            <w:pPr>
              <w:jc w:val="center"/>
              <w:rPr>
                <w:sz w:val="20"/>
                <w:szCs w:val="20"/>
              </w:rPr>
            </w:pPr>
            <w:r w:rsidRPr="008A1EBB">
              <w:rPr>
                <w:sz w:val="20"/>
                <w:szCs w:val="20"/>
              </w:rPr>
              <w:t>Исполнено</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9E26F4" w:rsidRPr="008A1EBB" w:rsidRDefault="009E26F4" w:rsidP="00191861">
            <w:pPr>
              <w:jc w:val="center"/>
              <w:rPr>
                <w:sz w:val="20"/>
                <w:szCs w:val="20"/>
              </w:rPr>
            </w:pPr>
            <w:r w:rsidRPr="008A1EBB">
              <w:rPr>
                <w:sz w:val="20"/>
                <w:szCs w:val="20"/>
              </w:rPr>
              <w:t>Уровень исполнения, %</w:t>
            </w:r>
          </w:p>
        </w:tc>
      </w:tr>
      <w:tr w:rsidR="009E26F4" w:rsidRPr="008A1EBB" w:rsidTr="009E26F4">
        <w:trPr>
          <w:trHeight w:val="198"/>
          <w:tblHeader/>
        </w:trPr>
        <w:tc>
          <w:tcPr>
            <w:tcW w:w="4976" w:type="dxa"/>
            <w:tcBorders>
              <w:top w:val="nil"/>
              <w:left w:val="single" w:sz="4" w:space="0" w:color="auto"/>
              <w:bottom w:val="single" w:sz="4" w:space="0" w:color="auto"/>
              <w:right w:val="single" w:sz="4" w:space="0" w:color="auto"/>
            </w:tcBorders>
            <w:shd w:val="clear" w:color="auto" w:fill="auto"/>
            <w:vAlign w:val="center"/>
            <w:hideMark/>
          </w:tcPr>
          <w:p w:rsidR="009E26F4" w:rsidRPr="008A1EBB" w:rsidRDefault="009E26F4" w:rsidP="00191861">
            <w:pPr>
              <w:jc w:val="center"/>
              <w:rPr>
                <w:sz w:val="20"/>
                <w:szCs w:val="20"/>
              </w:rPr>
            </w:pPr>
            <w:r w:rsidRPr="008A1EBB">
              <w:rPr>
                <w:sz w:val="20"/>
                <w:szCs w:val="20"/>
              </w:rPr>
              <w:t>1</w:t>
            </w:r>
          </w:p>
        </w:tc>
        <w:tc>
          <w:tcPr>
            <w:tcW w:w="1717"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center"/>
              <w:rPr>
                <w:sz w:val="20"/>
                <w:szCs w:val="20"/>
              </w:rPr>
            </w:pPr>
            <w:r w:rsidRPr="008A1EBB">
              <w:rPr>
                <w:sz w:val="20"/>
                <w:szCs w:val="20"/>
              </w:rPr>
              <w:t>2</w:t>
            </w:r>
          </w:p>
        </w:tc>
        <w:tc>
          <w:tcPr>
            <w:tcW w:w="1554"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center"/>
              <w:rPr>
                <w:sz w:val="20"/>
                <w:szCs w:val="20"/>
              </w:rPr>
            </w:pPr>
            <w:r w:rsidRPr="008A1EBB">
              <w:rPr>
                <w:sz w:val="20"/>
                <w:szCs w:val="20"/>
              </w:rPr>
              <w:t>3</w:t>
            </w:r>
          </w:p>
        </w:tc>
        <w:tc>
          <w:tcPr>
            <w:tcW w:w="1702"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center"/>
              <w:rPr>
                <w:sz w:val="20"/>
                <w:szCs w:val="20"/>
              </w:rPr>
            </w:pPr>
            <w:r w:rsidRPr="008A1EBB">
              <w:rPr>
                <w:sz w:val="20"/>
                <w:szCs w:val="20"/>
              </w:rPr>
              <w:t>4 </w:t>
            </w:r>
          </w:p>
        </w:tc>
      </w:tr>
      <w:tr w:rsidR="009E26F4" w:rsidRPr="008A1EBB" w:rsidTr="003119CB">
        <w:trPr>
          <w:trHeight w:val="187"/>
        </w:trPr>
        <w:tc>
          <w:tcPr>
            <w:tcW w:w="4976" w:type="dxa"/>
            <w:tcBorders>
              <w:top w:val="nil"/>
              <w:left w:val="single" w:sz="4" w:space="0" w:color="auto"/>
              <w:bottom w:val="single" w:sz="4" w:space="0" w:color="auto"/>
              <w:right w:val="single" w:sz="4" w:space="0" w:color="auto"/>
            </w:tcBorders>
            <w:shd w:val="clear" w:color="auto" w:fill="auto"/>
            <w:noWrap/>
            <w:vAlign w:val="center"/>
            <w:hideMark/>
          </w:tcPr>
          <w:p w:rsidR="009E26F4" w:rsidRPr="008A1EBB" w:rsidRDefault="009E26F4" w:rsidP="00191861">
            <w:pPr>
              <w:rPr>
                <w:sz w:val="20"/>
                <w:szCs w:val="20"/>
              </w:rPr>
            </w:pPr>
            <w:r w:rsidRPr="008A1EBB">
              <w:rPr>
                <w:sz w:val="20"/>
                <w:szCs w:val="20"/>
              </w:rPr>
              <w:t>Доходы</w:t>
            </w:r>
          </w:p>
        </w:tc>
        <w:tc>
          <w:tcPr>
            <w:tcW w:w="1717" w:type="dxa"/>
            <w:tcBorders>
              <w:top w:val="nil"/>
              <w:left w:val="nil"/>
              <w:bottom w:val="single" w:sz="4" w:space="0" w:color="auto"/>
              <w:right w:val="single" w:sz="4" w:space="0" w:color="auto"/>
            </w:tcBorders>
            <w:shd w:val="clear" w:color="auto" w:fill="auto"/>
            <w:noWrap/>
            <w:vAlign w:val="center"/>
            <w:hideMark/>
          </w:tcPr>
          <w:p w:rsidR="009E26F4" w:rsidRPr="008A1EBB" w:rsidRDefault="009E26F4" w:rsidP="00191861">
            <w:pPr>
              <w:jc w:val="right"/>
              <w:rPr>
                <w:sz w:val="20"/>
                <w:szCs w:val="20"/>
              </w:rPr>
            </w:pPr>
            <w:r w:rsidRPr="008A1EBB">
              <w:rPr>
                <w:sz w:val="20"/>
                <w:szCs w:val="20"/>
              </w:rPr>
              <w:t>50 001 408,3</w:t>
            </w:r>
          </w:p>
        </w:tc>
        <w:tc>
          <w:tcPr>
            <w:tcW w:w="1554" w:type="dxa"/>
            <w:tcBorders>
              <w:top w:val="nil"/>
              <w:left w:val="nil"/>
              <w:bottom w:val="single" w:sz="4" w:space="0" w:color="auto"/>
              <w:right w:val="single" w:sz="4" w:space="0" w:color="auto"/>
            </w:tcBorders>
            <w:shd w:val="clear" w:color="auto" w:fill="auto"/>
            <w:noWrap/>
            <w:vAlign w:val="center"/>
            <w:hideMark/>
          </w:tcPr>
          <w:p w:rsidR="009E26F4" w:rsidRPr="008A1EBB" w:rsidRDefault="009E26F4" w:rsidP="00191861">
            <w:pPr>
              <w:jc w:val="right"/>
              <w:rPr>
                <w:sz w:val="20"/>
                <w:szCs w:val="20"/>
              </w:rPr>
            </w:pPr>
            <w:r w:rsidRPr="008A1EBB">
              <w:rPr>
                <w:sz w:val="20"/>
                <w:szCs w:val="20"/>
              </w:rPr>
              <w:t>51 237 594,3</w:t>
            </w:r>
          </w:p>
        </w:tc>
        <w:tc>
          <w:tcPr>
            <w:tcW w:w="1702" w:type="dxa"/>
            <w:tcBorders>
              <w:top w:val="nil"/>
              <w:left w:val="nil"/>
              <w:bottom w:val="single" w:sz="4" w:space="0" w:color="auto"/>
              <w:right w:val="single" w:sz="4" w:space="0" w:color="auto"/>
            </w:tcBorders>
            <w:shd w:val="clear" w:color="auto" w:fill="auto"/>
            <w:noWrap/>
            <w:vAlign w:val="center"/>
            <w:hideMark/>
          </w:tcPr>
          <w:p w:rsidR="009E26F4" w:rsidRPr="008A1EBB" w:rsidRDefault="009E26F4" w:rsidP="00191861">
            <w:pPr>
              <w:jc w:val="center"/>
              <w:rPr>
                <w:sz w:val="20"/>
                <w:szCs w:val="20"/>
              </w:rPr>
            </w:pPr>
            <w:r w:rsidRPr="008A1EBB">
              <w:rPr>
                <w:sz w:val="20"/>
                <w:szCs w:val="20"/>
              </w:rPr>
              <w:t>102,5</w:t>
            </w:r>
          </w:p>
        </w:tc>
      </w:tr>
      <w:tr w:rsidR="009E26F4" w:rsidRPr="008A1EBB" w:rsidTr="003119CB">
        <w:trPr>
          <w:trHeight w:val="278"/>
        </w:trPr>
        <w:tc>
          <w:tcPr>
            <w:tcW w:w="4976" w:type="dxa"/>
            <w:tcBorders>
              <w:top w:val="nil"/>
              <w:left w:val="single" w:sz="4" w:space="0" w:color="auto"/>
              <w:bottom w:val="single" w:sz="4" w:space="0" w:color="auto"/>
              <w:right w:val="single" w:sz="4" w:space="0" w:color="auto"/>
            </w:tcBorders>
            <w:shd w:val="clear" w:color="auto" w:fill="auto"/>
            <w:noWrap/>
            <w:vAlign w:val="center"/>
            <w:hideMark/>
          </w:tcPr>
          <w:p w:rsidR="009E26F4" w:rsidRPr="008A1EBB" w:rsidRDefault="009E26F4" w:rsidP="00191861">
            <w:pPr>
              <w:rPr>
                <w:sz w:val="20"/>
                <w:szCs w:val="20"/>
              </w:rPr>
            </w:pPr>
            <w:r w:rsidRPr="008A1EBB">
              <w:rPr>
                <w:sz w:val="20"/>
                <w:szCs w:val="20"/>
              </w:rPr>
              <w:t>Расходы</w:t>
            </w:r>
          </w:p>
        </w:tc>
        <w:tc>
          <w:tcPr>
            <w:tcW w:w="1717" w:type="dxa"/>
            <w:tcBorders>
              <w:top w:val="nil"/>
              <w:left w:val="nil"/>
              <w:bottom w:val="single" w:sz="4" w:space="0" w:color="auto"/>
              <w:right w:val="single" w:sz="4" w:space="0" w:color="auto"/>
            </w:tcBorders>
            <w:shd w:val="clear" w:color="auto" w:fill="auto"/>
            <w:noWrap/>
            <w:vAlign w:val="center"/>
            <w:hideMark/>
          </w:tcPr>
          <w:p w:rsidR="009E26F4" w:rsidRPr="008A1EBB" w:rsidRDefault="009E26F4" w:rsidP="00191861">
            <w:pPr>
              <w:jc w:val="right"/>
              <w:rPr>
                <w:sz w:val="20"/>
                <w:szCs w:val="20"/>
              </w:rPr>
            </w:pPr>
            <w:r w:rsidRPr="008A1EBB">
              <w:rPr>
                <w:sz w:val="20"/>
                <w:szCs w:val="20"/>
              </w:rPr>
              <w:t>56 151 343,9</w:t>
            </w:r>
            <w:r w:rsidRPr="008A1EBB">
              <w:rPr>
                <w:rStyle w:val="ab"/>
                <w:sz w:val="20"/>
                <w:szCs w:val="20"/>
              </w:rPr>
              <w:footnoteReference w:id="54"/>
            </w:r>
          </w:p>
        </w:tc>
        <w:tc>
          <w:tcPr>
            <w:tcW w:w="1554" w:type="dxa"/>
            <w:tcBorders>
              <w:top w:val="nil"/>
              <w:left w:val="nil"/>
              <w:bottom w:val="single" w:sz="4" w:space="0" w:color="auto"/>
              <w:right w:val="single" w:sz="4" w:space="0" w:color="auto"/>
            </w:tcBorders>
            <w:shd w:val="clear" w:color="auto" w:fill="auto"/>
            <w:noWrap/>
            <w:vAlign w:val="center"/>
            <w:hideMark/>
          </w:tcPr>
          <w:p w:rsidR="009E26F4" w:rsidRPr="008A1EBB" w:rsidRDefault="009E26F4" w:rsidP="00191861">
            <w:pPr>
              <w:jc w:val="right"/>
              <w:rPr>
                <w:sz w:val="20"/>
                <w:szCs w:val="20"/>
              </w:rPr>
            </w:pPr>
            <w:r w:rsidRPr="008A1EBB">
              <w:rPr>
                <w:sz w:val="20"/>
                <w:szCs w:val="20"/>
              </w:rPr>
              <w:t>54 604 715,7</w:t>
            </w:r>
          </w:p>
        </w:tc>
        <w:tc>
          <w:tcPr>
            <w:tcW w:w="1702" w:type="dxa"/>
            <w:tcBorders>
              <w:top w:val="nil"/>
              <w:left w:val="nil"/>
              <w:bottom w:val="single" w:sz="4" w:space="0" w:color="auto"/>
              <w:right w:val="single" w:sz="4" w:space="0" w:color="auto"/>
            </w:tcBorders>
            <w:shd w:val="clear" w:color="auto" w:fill="auto"/>
            <w:noWrap/>
            <w:vAlign w:val="center"/>
            <w:hideMark/>
          </w:tcPr>
          <w:p w:rsidR="009E26F4" w:rsidRPr="008A1EBB" w:rsidRDefault="009E26F4" w:rsidP="00191861">
            <w:pPr>
              <w:jc w:val="center"/>
              <w:rPr>
                <w:sz w:val="20"/>
                <w:szCs w:val="20"/>
              </w:rPr>
            </w:pPr>
            <w:r w:rsidRPr="008A1EBB">
              <w:rPr>
                <w:sz w:val="20"/>
                <w:szCs w:val="20"/>
              </w:rPr>
              <w:t>97,2</w:t>
            </w:r>
          </w:p>
        </w:tc>
      </w:tr>
      <w:tr w:rsidR="009E26F4" w:rsidRPr="008A1EBB" w:rsidTr="003119CB">
        <w:trPr>
          <w:trHeight w:val="269"/>
        </w:trPr>
        <w:tc>
          <w:tcPr>
            <w:tcW w:w="4976" w:type="dxa"/>
            <w:tcBorders>
              <w:top w:val="nil"/>
              <w:left w:val="single" w:sz="4" w:space="0" w:color="auto"/>
              <w:bottom w:val="single" w:sz="4" w:space="0" w:color="auto"/>
              <w:right w:val="single" w:sz="4" w:space="0" w:color="auto"/>
            </w:tcBorders>
            <w:shd w:val="clear" w:color="auto" w:fill="auto"/>
            <w:noWrap/>
            <w:vAlign w:val="center"/>
            <w:hideMark/>
          </w:tcPr>
          <w:p w:rsidR="009E26F4" w:rsidRPr="008A1EBB" w:rsidRDefault="009E26F4" w:rsidP="00191861">
            <w:pPr>
              <w:rPr>
                <w:sz w:val="20"/>
                <w:szCs w:val="20"/>
              </w:rPr>
            </w:pPr>
            <w:r w:rsidRPr="008A1EBB">
              <w:rPr>
                <w:sz w:val="20"/>
                <w:szCs w:val="20"/>
              </w:rPr>
              <w:t>Дефицит (-), профицит (+)</w:t>
            </w:r>
          </w:p>
        </w:tc>
        <w:tc>
          <w:tcPr>
            <w:tcW w:w="1717" w:type="dxa"/>
            <w:tcBorders>
              <w:top w:val="nil"/>
              <w:left w:val="nil"/>
              <w:bottom w:val="single" w:sz="4" w:space="0" w:color="auto"/>
              <w:right w:val="single" w:sz="4" w:space="0" w:color="auto"/>
            </w:tcBorders>
            <w:shd w:val="clear" w:color="auto" w:fill="auto"/>
            <w:noWrap/>
            <w:vAlign w:val="center"/>
            <w:hideMark/>
          </w:tcPr>
          <w:p w:rsidR="009E26F4" w:rsidRPr="008A1EBB" w:rsidRDefault="009E26F4" w:rsidP="00191861">
            <w:pPr>
              <w:jc w:val="right"/>
              <w:rPr>
                <w:sz w:val="20"/>
                <w:szCs w:val="20"/>
              </w:rPr>
            </w:pPr>
            <w:r w:rsidRPr="008A1EBB">
              <w:rPr>
                <w:sz w:val="20"/>
                <w:szCs w:val="20"/>
              </w:rPr>
              <w:t>-</w:t>
            </w:r>
            <w:bookmarkStart w:id="27" w:name="_Hlk102726650"/>
            <w:r w:rsidRPr="008A1EBB">
              <w:rPr>
                <w:sz w:val="20"/>
                <w:szCs w:val="20"/>
              </w:rPr>
              <w:t>6 149 935,6</w:t>
            </w:r>
            <w:bookmarkEnd w:id="27"/>
          </w:p>
        </w:tc>
        <w:tc>
          <w:tcPr>
            <w:tcW w:w="1554" w:type="dxa"/>
            <w:tcBorders>
              <w:top w:val="nil"/>
              <w:left w:val="nil"/>
              <w:bottom w:val="single" w:sz="4" w:space="0" w:color="auto"/>
              <w:right w:val="single" w:sz="4" w:space="0" w:color="auto"/>
            </w:tcBorders>
            <w:shd w:val="clear" w:color="auto" w:fill="auto"/>
            <w:noWrap/>
            <w:vAlign w:val="center"/>
            <w:hideMark/>
          </w:tcPr>
          <w:p w:rsidR="009E26F4" w:rsidRPr="008A1EBB" w:rsidRDefault="009E26F4" w:rsidP="00191861">
            <w:pPr>
              <w:jc w:val="right"/>
              <w:rPr>
                <w:sz w:val="20"/>
                <w:szCs w:val="20"/>
              </w:rPr>
            </w:pPr>
            <w:r w:rsidRPr="008A1EBB">
              <w:rPr>
                <w:sz w:val="20"/>
                <w:szCs w:val="20"/>
              </w:rPr>
              <w:t>-3 367 121,4</w:t>
            </w:r>
          </w:p>
        </w:tc>
        <w:tc>
          <w:tcPr>
            <w:tcW w:w="1702" w:type="dxa"/>
            <w:tcBorders>
              <w:top w:val="nil"/>
              <w:left w:val="nil"/>
              <w:bottom w:val="single" w:sz="4" w:space="0" w:color="auto"/>
              <w:right w:val="single" w:sz="4" w:space="0" w:color="auto"/>
            </w:tcBorders>
            <w:shd w:val="clear" w:color="auto" w:fill="auto"/>
            <w:noWrap/>
            <w:vAlign w:val="center"/>
            <w:hideMark/>
          </w:tcPr>
          <w:p w:rsidR="009E26F4" w:rsidRPr="008A1EBB" w:rsidRDefault="009E26F4" w:rsidP="00191861">
            <w:pPr>
              <w:jc w:val="center"/>
              <w:rPr>
                <w:sz w:val="20"/>
                <w:szCs w:val="20"/>
              </w:rPr>
            </w:pPr>
            <w:r w:rsidRPr="008A1EBB">
              <w:rPr>
                <w:sz w:val="20"/>
                <w:szCs w:val="20"/>
              </w:rPr>
              <w:t>х</w:t>
            </w:r>
          </w:p>
        </w:tc>
      </w:tr>
    </w:tbl>
    <w:p w:rsidR="009E26F4" w:rsidRPr="00467F9C" w:rsidRDefault="009E26F4" w:rsidP="00191861">
      <w:pPr>
        <w:pStyle w:val="aff1"/>
        <w:spacing w:before="120" w:after="0" w:line="240" w:lineRule="auto"/>
        <w:ind w:firstLine="709"/>
        <w:jc w:val="both"/>
        <w:rPr>
          <w:sz w:val="28"/>
          <w:szCs w:val="28"/>
        </w:rPr>
      </w:pPr>
      <w:r w:rsidRPr="00467F9C">
        <w:rPr>
          <w:sz w:val="28"/>
          <w:szCs w:val="28"/>
        </w:rPr>
        <w:lastRenderedPageBreak/>
        <w:t>По состоянию на 1 января 2022 года на едином счете окружного бюджета остаток денежных средств составил 4 881 477,7 тыс. рублей, из них целевые средства федерального бюджета – 188,9 тыс. рублей.</w:t>
      </w:r>
    </w:p>
    <w:p w:rsidR="009E26F4" w:rsidRPr="00467F9C" w:rsidRDefault="009E26F4" w:rsidP="00191861">
      <w:pPr>
        <w:pStyle w:val="aff1"/>
        <w:spacing w:after="0" w:line="240" w:lineRule="auto"/>
        <w:ind w:firstLine="709"/>
        <w:jc w:val="both"/>
        <w:rPr>
          <w:sz w:val="28"/>
          <w:szCs w:val="28"/>
        </w:rPr>
      </w:pPr>
      <w:r w:rsidRPr="00467F9C">
        <w:rPr>
          <w:sz w:val="28"/>
          <w:szCs w:val="28"/>
        </w:rPr>
        <w:t>Информация об остатках средств на счетах окружного бюджета в отчетном периоде приведена в таблице №6.</w:t>
      </w:r>
    </w:p>
    <w:p w:rsidR="009E26F4" w:rsidRPr="00467F9C" w:rsidRDefault="009E26F4" w:rsidP="00191861">
      <w:pPr>
        <w:pStyle w:val="aff1"/>
        <w:spacing w:after="0" w:line="240" w:lineRule="auto"/>
        <w:ind w:firstLine="709"/>
        <w:jc w:val="right"/>
        <w:rPr>
          <w:sz w:val="28"/>
          <w:szCs w:val="28"/>
        </w:rPr>
      </w:pPr>
      <w:r w:rsidRPr="00467F9C">
        <w:rPr>
          <w:sz w:val="28"/>
          <w:szCs w:val="28"/>
        </w:rPr>
        <w:t>Таблица №6</w:t>
      </w:r>
    </w:p>
    <w:p w:rsidR="009E26F4" w:rsidRPr="00467F9C" w:rsidRDefault="009E26F4" w:rsidP="00191861">
      <w:pPr>
        <w:ind w:firstLine="709"/>
        <w:jc w:val="right"/>
        <w:rPr>
          <w:sz w:val="28"/>
          <w:szCs w:val="28"/>
        </w:rPr>
      </w:pPr>
      <w:r w:rsidRPr="00467F9C">
        <w:rPr>
          <w:sz w:val="28"/>
          <w:szCs w:val="28"/>
        </w:rPr>
        <w:t>(тыс. рублей)</w:t>
      </w:r>
    </w:p>
    <w:tbl>
      <w:tblPr>
        <w:tblW w:w="9810" w:type="dxa"/>
        <w:tblInd w:w="108" w:type="dxa"/>
        <w:tblLook w:val="04A0" w:firstRow="1" w:lastRow="0" w:firstColumn="1" w:lastColumn="0" w:noHBand="0" w:noVBand="1"/>
      </w:tblPr>
      <w:tblGrid>
        <w:gridCol w:w="5132"/>
        <w:gridCol w:w="2268"/>
        <w:gridCol w:w="2410"/>
      </w:tblGrid>
      <w:tr w:rsidR="009E26F4" w:rsidRPr="008A1EBB" w:rsidTr="009E26F4">
        <w:trPr>
          <w:cantSplit/>
          <w:trHeight w:val="259"/>
          <w:tblHeader/>
        </w:trPr>
        <w:tc>
          <w:tcPr>
            <w:tcW w:w="51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26F4" w:rsidRPr="008A1EBB" w:rsidRDefault="009E26F4" w:rsidP="00191861">
            <w:pPr>
              <w:jc w:val="center"/>
              <w:rPr>
                <w:sz w:val="20"/>
                <w:szCs w:val="20"/>
              </w:rPr>
            </w:pPr>
            <w:r w:rsidRPr="008A1EBB">
              <w:rPr>
                <w:sz w:val="20"/>
                <w:szCs w:val="20"/>
              </w:rPr>
              <w:t>Наименование показателя</w:t>
            </w:r>
          </w:p>
        </w:tc>
        <w:tc>
          <w:tcPr>
            <w:tcW w:w="4678" w:type="dxa"/>
            <w:gridSpan w:val="2"/>
            <w:tcBorders>
              <w:top w:val="single" w:sz="4" w:space="0" w:color="auto"/>
              <w:left w:val="nil"/>
              <w:bottom w:val="single" w:sz="4" w:space="0" w:color="auto"/>
              <w:right w:val="single" w:sz="4" w:space="0" w:color="000000"/>
            </w:tcBorders>
            <w:shd w:val="clear" w:color="auto" w:fill="auto"/>
            <w:vAlign w:val="center"/>
            <w:hideMark/>
          </w:tcPr>
          <w:p w:rsidR="009E26F4" w:rsidRPr="008A1EBB" w:rsidRDefault="009E26F4" w:rsidP="00191861">
            <w:pPr>
              <w:jc w:val="center"/>
              <w:rPr>
                <w:sz w:val="20"/>
                <w:szCs w:val="20"/>
              </w:rPr>
            </w:pPr>
            <w:r w:rsidRPr="008A1EBB">
              <w:rPr>
                <w:sz w:val="20"/>
                <w:szCs w:val="20"/>
              </w:rPr>
              <w:t>Остаток</w:t>
            </w:r>
          </w:p>
        </w:tc>
      </w:tr>
      <w:tr w:rsidR="009E26F4" w:rsidRPr="008A1EBB" w:rsidTr="009E26F4">
        <w:trPr>
          <w:trHeight w:val="54"/>
          <w:tblHeader/>
        </w:trPr>
        <w:tc>
          <w:tcPr>
            <w:tcW w:w="5132" w:type="dxa"/>
            <w:vMerge/>
            <w:tcBorders>
              <w:top w:val="single" w:sz="4" w:space="0" w:color="auto"/>
              <w:left w:val="single" w:sz="4" w:space="0" w:color="auto"/>
              <w:bottom w:val="single" w:sz="4" w:space="0" w:color="auto"/>
              <w:right w:val="single" w:sz="4" w:space="0" w:color="auto"/>
            </w:tcBorders>
            <w:vAlign w:val="center"/>
            <w:hideMark/>
          </w:tcPr>
          <w:p w:rsidR="009E26F4" w:rsidRPr="008A1EBB" w:rsidRDefault="009E26F4" w:rsidP="00191861">
            <w:pPr>
              <w:rPr>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center"/>
              <w:rPr>
                <w:sz w:val="20"/>
                <w:szCs w:val="20"/>
              </w:rPr>
            </w:pPr>
            <w:r w:rsidRPr="008A1EBB">
              <w:rPr>
                <w:sz w:val="20"/>
                <w:szCs w:val="20"/>
              </w:rPr>
              <w:t>на 1 января 2021 года</w:t>
            </w:r>
          </w:p>
        </w:tc>
        <w:tc>
          <w:tcPr>
            <w:tcW w:w="2410"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center"/>
              <w:rPr>
                <w:sz w:val="20"/>
                <w:szCs w:val="20"/>
              </w:rPr>
            </w:pPr>
            <w:r w:rsidRPr="008A1EBB">
              <w:rPr>
                <w:sz w:val="20"/>
                <w:szCs w:val="20"/>
              </w:rPr>
              <w:t>на 1 января 2022 года</w:t>
            </w:r>
          </w:p>
        </w:tc>
      </w:tr>
      <w:tr w:rsidR="009E26F4" w:rsidRPr="008A1EBB" w:rsidTr="009E26F4">
        <w:trPr>
          <w:trHeight w:val="54"/>
          <w:tblHeader/>
        </w:trPr>
        <w:tc>
          <w:tcPr>
            <w:tcW w:w="5132" w:type="dxa"/>
            <w:tcBorders>
              <w:top w:val="nil"/>
              <w:left w:val="single" w:sz="4" w:space="0" w:color="auto"/>
              <w:bottom w:val="single" w:sz="4" w:space="0" w:color="auto"/>
              <w:right w:val="single" w:sz="4" w:space="0" w:color="auto"/>
            </w:tcBorders>
            <w:shd w:val="clear" w:color="auto" w:fill="auto"/>
            <w:vAlign w:val="center"/>
            <w:hideMark/>
          </w:tcPr>
          <w:p w:rsidR="009E26F4" w:rsidRPr="008A1EBB" w:rsidRDefault="009E26F4" w:rsidP="00191861">
            <w:pPr>
              <w:jc w:val="center"/>
              <w:rPr>
                <w:sz w:val="20"/>
                <w:szCs w:val="20"/>
              </w:rPr>
            </w:pPr>
            <w:r w:rsidRPr="008A1EBB">
              <w:rPr>
                <w:sz w:val="20"/>
                <w:szCs w:val="20"/>
              </w:rPr>
              <w:t>1</w:t>
            </w:r>
          </w:p>
        </w:tc>
        <w:tc>
          <w:tcPr>
            <w:tcW w:w="2268"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center"/>
              <w:rPr>
                <w:sz w:val="20"/>
                <w:szCs w:val="20"/>
              </w:rPr>
            </w:pPr>
            <w:r w:rsidRPr="008A1EBB">
              <w:rPr>
                <w:sz w:val="20"/>
                <w:szCs w:val="20"/>
              </w:rPr>
              <w:t>2</w:t>
            </w:r>
          </w:p>
        </w:tc>
        <w:tc>
          <w:tcPr>
            <w:tcW w:w="2410" w:type="dxa"/>
            <w:tcBorders>
              <w:top w:val="nil"/>
              <w:left w:val="nil"/>
              <w:bottom w:val="single" w:sz="4" w:space="0" w:color="auto"/>
              <w:right w:val="single" w:sz="4" w:space="0" w:color="auto"/>
            </w:tcBorders>
            <w:shd w:val="clear" w:color="auto" w:fill="auto"/>
            <w:noWrap/>
            <w:vAlign w:val="bottom"/>
            <w:hideMark/>
          </w:tcPr>
          <w:p w:rsidR="009E26F4" w:rsidRPr="008A1EBB" w:rsidRDefault="009E26F4" w:rsidP="00191861">
            <w:pPr>
              <w:jc w:val="center"/>
              <w:rPr>
                <w:sz w:val="20"/>
                <w:szCs w:val="20"/>
              </w:rPr>
            </w:pPr>
            <w:r w:rsidRPr="008A1EBB">
              <w:rPr>
                <w:sz w:val="20"/>
                <w:szCs w:val="20"/>
              </w:rPr>
              <w:t>3</w:t>
            </w:r>
          </w:p>
        </w:tc>
      </w:tr>
      <w:tr w:rsidR="009E26F4" w:rsidRPr="008A1EBB" w:rsidTr="009E26F4">
        <w:trPr>
          <w:trHeight w:val="259"/>
        </w:trPr>
        <w:tc>
          <w:tcPr>
            <w:tcW w:w="5132" w:type="dxa"/>
            <w:tcBorders>
              <w:top w:val="nil"/>
              <w:left w:val="single" w:sz="4" w:space="0" w:color="auto"/>
              <w:bottom w:val="single" w:sz="4" w:space="0" w:color="auto"/>
              <w:right w:val="single" w:sz="4" w:space="0" w:color="auto"/>
            </w:tcBorders>
            <w:shd w:val="clear" w:color="auto" w:fill="auto"/>
            <w:vAlign w:val="center"/>
            <w:hideMark/>
          </w:tcPr>
          <w:p w:rsidR="009E26F4" w:rsidRPr="008A1EBB" w:rsidRDefault="009E26F4" w:rsidP="00191861">
            <w:pPr>
              <w:rPr>
                <w:b/>
                <w:bCs/>
                <w:sz w:val="20"/>
                <w:szCs w:val="20"/>
              </w:rPr>
            </w:pPr>
            <w:r w:rsidRPr="008A1EBB">
              <w:rPr>
                <w:b/>
                <w:bCs/>
                <w:sz w:val="20"/>
                <w:szCs w:val="20"/>
              </w:rPr>
              <w:t>Всего, в том числе:</w:t>
            </w:r>
          </w:p>
        </w:tc>
        <w:tc>
          <w:tcPr>
            <w:tcW w:w="2268"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b/>
                <w:bCs/>
                <w:sz w:val="20"/>
                <w:szCs w:val="20"/>
              </w:rPr>
            </w:pPr>
            <w:r w:rsidRPr="008A1EBB">
              <w:rPr>
                <w:b/>
                <w:bCs/>
                <w:sz w:val="20"/>
                <w:szCs w:val="20"/>
              </w:rPr>
              <w:t>3 811 105,0</w:t>
            </w:r>
          </w:p>
        </w:tc>
        <w:tc>
          <w:tcPr>
            <w:tcW w:w="2410" w:type="dxa"/>
            <w:tcBorders>
              <w:top w:val="nil"/>
              <w:left w:val="nil"/>
              <w:bottom w:val="single" w:sz="4" w:space="0" w:color="auto"/>
              <w:right w:val="single" w:sz="4" w:space="0" w:color="auto"/>
            </w:tcBorders>
            <w:shd w:val="clear" w:color="auto" w:fill="auto"/>
            <w:noWrap/>
            <w:vAlign w:val="center"/>
            <w:hideMark/>
          </w:tcPr>
          <w:p w:rsidR="009E26F4" w:rsidRPr="008A1EBB" w:rsidRDefault="009E26F4" w:rsidP="00191861">
            <w:pPr>
              <w:jc w:val="right"/>
              <w:rPr>
                <w:b/>
                <w:bCs/>
                <w:sz w:val="20"/>
                <w:szCs w:val="20"/>
              </w:rPr>
            </w:pPr>
            <w:r w:rsidRPr="008A1EBB">
              <w:rPr>
                <w:b/>
                <w:bCs/>
                <w:sz w:val="20"/>
                <w:szCs w:val="20"/>
              </w:rPr>
              <w:t>4 881 477,7</w:t>
            </w:r>
          </w:p>
        </w:tc>
      </w:tr>
      <w:tr w:rsidR="009E26F4" w:rsidRPr="008A1EBB" w:rsidTr="009E26F4">
        <w:trPr>
          <w:trHeight w:val="259"/>
        </w:trPr>
        <w:tc>
          <w:tcPr>
            <w:tcW w:w="5132" w:type="dxa"/>
            <w:tcBorders>
              <w:top w:val="nil"/>
              <w:left w:val="single" w:sz="4" w:space="0" w:color="auto"/>
              <w:bottom w:val="single" w:sz="4" w:space="0" w:color="auto"/>
              <w:right w:val="single" w:sz="4" w:space="0" w:color="auto"/>
            </w:tcBorders>
            <w:shd w:val="clear" w:color="auto" w:fill="auto"/>
            <w:vAlign w:val="center"/>
            <w:hideMark/>
          </w:tcPr>
          <w:p w:rsidR="009E26F4" w:rsidRPr="008A1EBB" w:rsidRDefault="009E26F4" w:rsidP="00191861">
            <w:pPr>
              <w:rPr>
                <w:sz w:val="20"/>
                <w:szCs w:val="20"/>
              </w:rPr>
            </w:pPr>
            <w:r w:rsidRPr="008A1EBB">
              <w:rPr>
                <w:sz w:val="20"/>
                <w:szCs w:val="20"/>
              </w:rPr>
              <w:t>Средства окружного бюджета</w:t>
            </w:r>
          </w:p>
        </w:tc>
        <w:tc>
          <w:tcPr>
            <w:tcW w:w="2268"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3 810 800,3</w:t>
            </w:r>
          </w:p>
        </w:tc>
        <w:tc>
          <w:tcPr>
            <w:tcW w:w="2410" w:type="dxa"/>
            <w:tcBorders>
              <w:top w:val="nil"/>
              <w:left w:val="nil"/>
              <w:bottom w:val="single" w:sz="4" w:space="0" w:color="auto"/>
              <w:right w:val="single" w:sz="4" w:space="0" w:color="auto"/>
            </w:tcBorders>
            <w:shd w:val="clear" w:color="auto" w:fill="auto"/>
            <w:noWrap/>
            <w:vAlign w:val="center"/>
            <w:hideMark/>
          </w:tcPr>
          <w:p w:rsidR="009E26F4" w:rsidRPr="008A1EBB" w:rsidRDefault="009E26F4" w:rsidP="00191861">
            <w:pPr>
              <w:jc w:val="right"/>
              <w:rPr>
                <w:sz w:val="20"/>
                <w:szCs w:val="20"/>
              </w:rPr>
            </w:pPr>
            <w:r w:rsidRPr="008A1EBB">
              <w:rPr>
                <w:sz w:val="20"/>
                <w:szCs w:val="20"/>
              </w:rPr>
              <w:t>4 881 288,8</w:t>
            </w:r>
          </w:p>
        </w:tc>
      </w:tr>
      <w:tr w:rsidR="009E26F4" w:rsidRPr="008A1EBB" w:rsidTr="009E26F4">
        <w:trPr>
          <w:trHeight w:val="259"/>
        </w:trPr>
        <w:tc>
          <w:tcPr>
            <w:tcW w:w="5132" w:type="dxa"/>
            <w:tcBorders>
              <w:top w:val="nil"/>
              <w:left w:val="single" w:sz="4" w:space="0" w:color="auto"/>
              <w:bottom w:val="single" w:sz="4" w:space="0" w:color="auto"/>
              <w:right w:val="single" w:sz="4" w:space="0" w:color="auto"/>
            </w:tcBorders>
            <w:shd w:val="clear" w:color="auto" w:fill="auto"/>
            <w:vAlign w:val="center"/>
            <w:hideMark/>
          </w:tcPr>
          <w:p w:rsidR="009E26F4" w:rsidRPr="008A1EBB" w:rsidRDefault="009E26F4" w:rsidP="00191861">
            <w:pPr>
              <w:rPr>
                <w:sz w:val="20"/>
                <w:szCs w:val="20"/>
              </w:rPr>
            </w:pPr>
            <w:r w:rsidRPr="008A1EBB">
              <w:rPr>
                <w:sz w:val="20"/>
                <w:szCs w:val="20"/>
              </w:rPr>
              <w:t>Средства федерального бюджета</w:t>
            </w:r>
          </w:p>
        </w:tc>
        <w:tc>
          <w:tcPr>
            <w:tcW w:w="2268" w:type="dxa"/>
            <w:tcBorders>
              <w:top w:val="nil"/>
              <w:left w:val="nil"/>
              <w:bottom w:val="single" w:sz="4" w:space="0" w:color="auto"/>
              <w:right w:val="single" w:sz="4" w:space="0" w:color="auto"/>
            </w:tcBorders>
            <w:shd w:val="clear" w:color="auto" w:fill="auto"/>
            <w:vAlign w:val="center"/>
            <w:hideMark/>
          </w:tcPr>
          <w:p w:rsidR="009E26F4" w:rsidRPr="008A1EBB" w:rsidRDefault="009E26F4" w:rsidP="00191861">
            <w:pPr>
              <w:jc w:val="right"/>
              <w:rPr>
                <w:sz w:val="20"/>
                <w:szCs w:val="20"/>
              </w:rPr>
            </w:pPr>
            <w:r w:rsidRPr="008A1EBB">
              <w:rPr>
                <w:sz w:val="20"/>
                <w:szCs w:val="20"/>
              </w:rPr>
              <w:t>304,7</w:t>
            </w:r>
          </w:p>
        </w:tc>
        <w:tc>
          <w:tcPr>
            <w:tcW w:w="2410" w:type="dxa"/>
            <w:tcBorders>
              <w:top w:val="nil"/>
              <w:left w:val="nil"/>
              <w:bottom w:val="single" w:sz="4" w:space="0" w:color="auto"/>
              <w:right w:val="single" w:sz="4" w:space="0" w:color="auto"/>
            </w:tcBorders>
            <w:shd w:val="clear" w:color="auto" w:fill="auto"/>
            <w:noWrap/>
            <w:vAlign w:val="center"/>
            <w:hideMark/>
          </w:tcPr>
          <w:p w:rsidR="009E26F4" w:rsidRPr="008A1EBB" w:rsidRDefault="009E26F4" w:rsidP="00191861">
            <w:pPr>
              <w:jc w:val="right"/>
              <w:rPr>
                <w:sz w:val="20"/>
                <w:szCs w:val="20"/>
              </w:rPr>
            </w:pPr>
            <w:r w:rsidRPr="008A1EBB">
              <w:rPr>
                <w:sz w:val="20"/>
                <w:szCs w:val="20"/>
              </w:rPr>
              <w:t>188,9</w:t>
            </w:r>
          </w:p>
        </w:tc>
      </w:tr>
    </w:tbl>
    <w:p w:rsidR="009E26F4" w:rsidRPr="00467F9C" w:rsidRDefault="009E26F4" w:rsidP="00191861">
      <w:pPr>
        <w:spacing w:before="120"/>
        <w:ind w:firstLine="851"/>
        <w:jc w:val="both"/>
        <w:rPr>
          <w:sz w:val="28"/>
          <w:szCs w:val="28"/>
        </w:rPr>
      </w:pPr>
      <w:bookmarkStart w:id="28" w:name="_Hlk103000918"/>
      <w:r w:rsidRPr="00467F9C">
        <w:rPr>
          <w:sz w:val="28"/>
          <w:szCs w:val="28"/>
        </w:rPr>
        <w:t xml:space="preserve">В январе 2022 года неиспользованные остатки межбюджетных трансфертов в полном объеме возвращены в доход федерального бюджета (188,9 тыс. рублей), в том числе: </w:t>
      </w:r>
    </w:p>
    <w:p w:rsidR="009E26F4" w:rsidRPr="00467F9C" w:rsidRDefault="009E26F4" w:rsidP="00191861">
      <w:pPr>
        <w:ind w:firstLine="851"/>
        <w:jc w:val="both"/>
        <w:rPr>
          <w:sz w:val="28"/>
          <w:szCs w:val="28"/>
        </w:rPr>
      </w:pPr>
      <w:r w:rsidRPr="00467F9C">
        <w:rPr>
          <w:sz w:val="28"/>
          <w:szCs w:val="28"/>
        </w:rPr>
        <w:t>- 0,5 тыс. рублей – единая субвенция из бюджетов субъектов Российской Федерации;</w:t>
      </w:r>
    </w:p>
    <w:p w:rsidR="009E26F4" w:rsidRPr="00467F9C" w:rsidRDefault="009E26F4" w:rsidP="00191861">
      <w:pPr>
        <w:ind w:firstLine="851"/>
        <w:jc w:val="both"/>
        <w:rPr>
          <w:sz w:val="28"/>
          <w:szCs w:val="28"/>
        </w:rPr>
      </w:pPr>
      <w:r w:rsidRPr="00467F9C">
        <w:rPr>
          <w:sz w:val="28"/>
          <w:szCs w:val="28"/>
        </w:rPr>
        <w:t xml:space="preserve">- 2,4 тыс. рублей – субсидия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w:t>
      </w:r>
    </w:p>
    <w:p w:rsidR="009E26F4" w:rsidRPr="00467F9C" w:rsidRDefault="009E26F4" w:rsidP="00191861">
      <w:pPr>
        <w:ind w:firstLine="851"/>
        <w:jc w:val="both"/>
        <w:rPr>
          <w:sz w:val="28"/>
          <w:szCs w:val="28"/>
        </w:rPr>
      </w:pPr>
      <w:r w:rsidRPr="00467F9C">
        <w:rPr>
          <w:sz w:val="28"/>
          <w:szCs w:val="28"/>
        </w:rPr>
        <w:t>- 2,5 тыс. рублей – субвенция на оплату жилищно-коммунальных услуг отдельным категориям граждан;</w:t>
      </w:r>
    </w:p>
    <w:p w:rsidR="009E26F4" w:rsidRPr="00467F9C" w:rsidRDefault="009E26F4" w:rsidP="00191861">
      <w:pPr>
        <w:ind w:firstLine="851"/>
        <w:jc w:val="both"/>
        <w:rPr>
          <w:sz w:val="28"/>
          <w:szCs w:val="28"/>
        </w:rPr>
      </w:pPr>
      <w:r w:rsidRPr="00467F9C">
        <w:rPr>
          <w:sz w:val="28"/>
          <w:szCs w:val="28"/>
        </w:rPr>
        <w:t xml:space="preserve">- 20,2 тыс. рублей – субсидия на поддержку сельскохозяйственного производства по отдельным подотраслям растениеводства и животноводства; </w:t>
      </w:r>
    </w:p>
    <w:p w:rsidR="009E26F4" w:rsidRPr="00467F9C" w:rsidRDefault="009E26F4" w:rsidP="00191861">
      <w:pPr>
        <w:ind w:firstLine="851"/>
        <w:jc w:val="both"/>
        <w:rPr>
          <w:sz w:val="28"/>
          <w:szCs w:val="28"/>
        </w:rPr>
      </w:pPr>
      <w:r w:rsidRPr="00467F9C">
        <w:rPr>
          <w:sz w:val="28"/>
          <w:szCs w:val="28"/>
        </w:rPr>
        <w:t>- 163,3 тыс. рублей – субвенция на осуществление первичного воинского учета органами местного самоуправления.</w:t>
      </w:r>
    </w:p>
    <w:bookmarkEnd w:id="28"/>
    <w:p w:rsidR="009E26F4" w:rsidRPr="00467F9C" w:rsidRDefault="009E26F4" w:rsidP="00191861">
      <w:pPr>
        <w:pStyle w:val="Default"/>
        <w:spacing w:before="240" w:after="120"/>
        <w:jc w:val="center"/>
        <w:rPr>
          <w:b/>
          <w:color w:val="auto"/>
          <w:sz w:val="28"/>
          <w:szCs w:val="28"/>
        </w:rPr>
      </w:pPr>
      <w:r w:rsidRPr="00467F9C">
        <w:rPr>
          <w:b/>
          <w:color w:val="auto"/>
          <w:sz w:val="28"/>
          <w:szCs w:val="28"/>
        </w:rPr>
        <w:t>4. Исполнение окружного бюджета по доходам</w:t>
      </w:r>
    </w:p>
    <w:p w:rsidR="009E26F4" w:rsidRPr="00467F9C" w:rsidRDefault="009E26F4" w:rsidP="00191861">
      <w:pPr>
        <w:ind w:firstLine="709"/>
        <w:jc w:val="both"/>
        <w:rPr>
          <w:sz w:val="28"/>
          <w:szCs w:val="28"/>
        </w:rPr>
      </w:pPr>
      <w:r w:rsidRPr="00467F9C">
        <w:rPr>
          <w:sz w:val="28"/>
          <w:szCs w:val="28"/>
        </w:rPr>
        <w:t>Исполнение доходов окружного бюджета в 2021 году обеспечивали 23 главных администратора доходов (из них 7 – территориальные органы (подразделения) федеральных органов государственной власти в соответствии с законодательством Российской Федерации), установленные Законом об окружном бюджете.</w:t>
      </w:r>
    </w:p>
    <w:p w:rsidR="009E26F4" w:rsidRPr="00467F9C" w:rsidRDefault="009E26F4" w:rsidP="00191861">
      <w:pPr>
        <w:ind w:firstLine="709"/>
        <w:jc w:val="both"/>
        <w:rPr>
          <w:sz w:val="28"/>
          <w:szCs w:val="28"/>
        </w:rPr>
      </w:pPr>
      <w:r w:rsidRPr="00467F9C">
        <w:rPr>
          <w:sz w:val="28"/>
          <w:szCs w:val="28"/>
        </w:rPr>
        <w:t xml:space="preserve">Исполнение показателей доходов окружного бюджета за 2021 год отражено в таблице №7. </w:t>
      </w:r>
    </w:p>
    <w:p w:rsidR="009E26F4" w:rsidRPr="00467F9C" w:rsidRDefault="009E26F4" w:rsidP="00191861">
      <w:pPr>
        <w:autoSpaceDE w:val="0"/>
        <w:autoSpaceDN w:val="0"/>
        <w:adjustRightInd w:val="0"/>
        <w:ind w:firstLine="851"/>
        <w:jc w:val="right"/>
        <w:rPr>
          <w:sz w:val="28"/>
          <w:szCs w:val="28"/>
        </w:rPr>
      </w:pPr>
      <w:r w:rsidRPr="00467F9C">
        <w:rPr>
          <w:sz w:val="28"/>
          <w:szCs w:val="28"/>
        </w:rPr>
        <w:t>Таблица №7</w:t>
      </w:r>
    </w:p>
    <w:p w:rsidR="009E26F4" w:rsidRPr="00467F9C" w:rsidRDefault="009E26F4" w:rsidP="00191861">
      <w:pPr>
        <w:autoSpaceDE w:val="0"/>
        <w:autoSpaceDN w:val="0"/>
        <w:adjustRightInd w:val="0"/>
        <w:ind w:firstLine="851"/>
        <w:jc w:val="right"/>
        <w:outlineLvl w:val="3"/>
        <w:rPr>
          <w:sz w:val="28"/>
          <w:szCs w:val="28"/>
        </w:rPr>
      </w:pPr>
      <w:r w:rsidRPr="00467F9C">
        <w:rPr>
          <w:sz w:val="28"/>
          <w:szCs w:val="28"/>
        </w:rPr>
        <w:t>(тыс. рублей)</w:t>
      </w:r>
    </w:p>
    <w:tbl>
      <w:tblPr>
        <w:tblW w:w="9950" w:type="dxa"/>
        <w:tblLook w:val="04A0" w:firstRow="1" w:lastRow="0" w:firstColumn="1" w:lastColumn="0" w:noHBand="0" w:noVBand="1"/>
      </w:tblPr>
      <w:tblGrid>
        <w:gridCol w:w="3114"/>
        <w:gridCol w:w="1417"/>
        <w:gridCol w:w="1399"/>
        <w:gridCol w:w="1389"/>
        <w:gridCol w:w="1543"/>
        <w:gridCol w:w="1088"/>
      </w:tblGrid>
      <w:tr w:rsidR="009E26F4" w:rsidRPr="007278C9" w:rsidTr="009E26F4">
        <w:trPr>
          <w:trHeight w:val="369"/>
          <w:tblHeader/>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Наименование показателя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 xml:space="preserve">Утверждено </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Исполнено</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 xml:space="preserve">Отклонение (гр.3-гр.2) </w:t>
            </w:r>
          </w:p>
        </w:tc>
        <w:tc>
          <w:tcPr>
            <w:tcW w:w="1543"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Уровень исполнения, %</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Удельный вес, %</w:t>
            </w:r>
          </w:p>
        </w:tc>
      </w:tr>
      <w:tr w:rsidR="009E26F4" w:rsidRPr="007278C9" w:rsidTr="009E26F4">
        <w:trPr>
          <w:trHeight w:val="217"/>
          <w:tblHeader/>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2</w:t>
            </w:r>
          </w:p>
        </w:tc>
        <w:tc>
          <w:tcPr>
            <w:tcW w:w="1399"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3</w:t>
            </w:r>
          </w:p>
        </w:tc>
        <w:tc>
          <w:tcPr>
            <w:tcW w:w="1389"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4</w:t>
            </w:r>
          </w:p>
        </w:tc>
        <w:tc>
          <w:tcPr>
            <w:tcW w:w="1543"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5</w:t>
            </w:r>
          </w:p>
        </w:tc>
        <w:tc>
          <w:tcPr>
            <w:tcW w:w="108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6</w:t>
            </w:r>
          </w:p>
        </w:tc>
      </w:tr>
      <w:tr w:rsidR="009E26F4" w:rsidRPr="007278C9" w:rsidTr="009E26F4">
        <w:trPr>
          <w:trHeight w:val="293"/>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b/>
                <w:bCs/>
                <w:sz w:val="20"/>
                <w:szCs w:val="20"/>
              </w:rPr>
            </w:pPr>
            <w:r w:rsidRPr="007278C9">
              <w:rPr>
                <w:b/>
                <w:bCs/>
                <w:sz w:val="20"/>
                <w:szCs w:val="20"/>
              </w:rPr>
              <w:t xml:space="preserve">Доходы бюджета - всего </w:t>
            </w:r>
          </w:p>
        </w:tc>
        <w:tc>
          <w:tcPr>
            <w:tcW w:w="1417"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right"/>
              <w:rPr>
                <w:b/>
                <w:bCs/>
                <w:sz w:val="20"/>
                <w:szCs w:val="20"/>
              </w:rPr>
            </w:pPr>
            <w:r w:rsidRPr="007278C9">
              <w:rPr>
                <w:b/>
                <w:bCs/>
                <w:sz w:val="20"/>
                <w:szCs w:val="20"/>
              </w:rPr>
              <w:t>50 001 408,3</w:t>
            </w:r>
          </w:p>
        </w:tc>
        <w:tc>
          <w:tcPr>
            <w:tcW w:w="1399"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right"/>
              <w:rPr>
                <w:b/>
                <w:bCs/>
                <w:sz w:val="20"/>
                <w:szCs w:val="20"/>
              </w:rPr>
            </w:pPr>
            <w:r w:rsidRPr="007278C9">
              <w:rPr>
                <w:b/>
                <w:bCs/>
                <w:sz w:val="20"/>
                <w:szCs w:val="20"/>
              </w:rPr>
              <w:t>51 237 594,3</w:t>
            </w:r>
          </w:p>
        </w:tc>
        <w:tc>
          <w:tcPr>
            <w:tcW w:w="1389"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right"/>
              <w:rPr>
                <w:b/>
                <w:bCs/>
                <w:sz w:val="20"/>
                <w:szCs w:val="20"/>
              </w:rPr>
            </w:pPr>
            <w:r w:rsidRPr="007278C9">
              <w:rPr>
                <w:b/>
                <w:bCs/>
                <w:sz w:val="20"/>
                <w:szCs w:val="20"/>
              </w:rPr>
              <w:t>1 236 186,0</w:t>
            </w:r>
          </w:p>
        </w:tc>
        <w:tc>
          <w:tcPr>
            <w:tcW w:w="1543"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center"/>
              <w:rPr>
                <w:b/>
                <w:bCs/>
                <w:sz w:val="20"/>
                <w:szCs w:val="20"/>
              </w:rPr>
            </w:pPr>
            <w:r w:rsidRPr="007278C9">
              <w:rPr>
                <w:b/>
                <w:bCs/>
                <w:sz w:val="20"/>
                <w:szCs w:val="20"/>
              </w:rPr>
              <w:t>102,5</w:t>
            </w:r>
          </w:p>
        </w:tc>
        <w:tc>
          <w:tcPr>
            <w:tcW w:w="1088"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center"/>
              <w:rPr>
                <w:b/>
                <w:bCs/>
                <w:sz w:val="20"/>
                <w:szCs w:val="20"/>
              </w:rPr>
            </w:pPr>
            <w:r w:rsidRPr="007278C9">
              <w:rPr>
                <w:b/>
                <w:bCs/>
                <w:sz w:val="20"/>
                <w:szCs w:val="20"/>
              </w:rPr>
              <w:t>100,0</w:t>
            </w:r>
          </w:p>
        </w:tc>
      </w:tr>
      <w:tr w:rsidR="009E26F4" w:rsidRPr="007278C9" w:rsidTr="009E26F4">
        <w:trPr>
          <w:trHeight w:val="284"/>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jc w:val="both"/>
              <w:rPr>
                <w:bCs/>
                <w:sz w:val="20"/>
                <w:szCs w:val="20"/>
              </w:rPr>
            </w:pPr>
            <w:r w:rsidRPr="007278C9">
              <w:rPr>
                <w:bCs/>
                <w:sz w:val="20"/>
                <w:szCs w:val="20"/>
              </w:rPr>
              <w:t>Налоговые доходы</w:t>
            </w:r>
          </w:p>
        </w:tc>
        <w:tc>
          <w:tcPr>
            <w:tcW w:w="1417"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right"/>
              <w:rPr>
                <w:bCs/>
                <w:sz w:val="20"/>
                <w:szCs w:val="20"/>
              </w:rPr>
            </w:pPr>
            <w:r w:rsidRPr="007278C9">
              <w:rPr>
                <w:bCs/>
                <w:sz w:val="20"/>
                <w:szCs w:val="20"/>
              </w:rPr>
              <w:t>18 388 180,6</w:t>
            </w:r>
          </w:p>
        </w:tc>
        <w:tc>
          <w:tcPr>
            <w:tcW w:w="1399"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right"/>
              <w:rPr>
                <w:bCs/>
                <w:sz w:val="20"/>
                <w:szCs w:val="20"/>
              </w:rPr>
            </w:pPr>
            <w:r w:rsidRPr="007278C9">
              <w:rPr>
                <w:bCs/>
                <w:sz w:val="20"/>
                <w:szCs w:val="20"/>
              </w:rPr>
              <w:t>19 513 913,8</w:t>
            </w:r>
          </w:p>
        </w:tc>
        <w:tc>
          <w:tcPr>
            <w:tcW w:w="1389"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right"/>
              <w:rPr>
                <w:bCs/>
                <w:sz w:val="20"/>
                <w:szCs w:val="20"/>
              </w:rPr>
            </w:pPr>
            <w:r w:rsidRPr="007278C9">
              <w:rPr>
                <w:bCs/>
                <w:sz w:val="20"/>
                <w:szCs w:val="20"/>
              </w:rPr>
              <w:t>1 125 733,2</w:t>
            </w:r>
          </w:p>
        </w:tc>
        <w:tc>
          <w:tcPr>
            <w:tcW w:w="1543"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center"/>
              <w:rPr>
                <w:bCs/>
                <w:sz w:val="20"/>
                <w:szCs w:val="20"/>
              </w:rPr>
            </w:pPr>
            <w:r w:rsidRPr="007278C9">
              <w:rPr>
                <w:bCs/>
                <w:sz w:val="20"/>
                <w:szCs w:val="20"/>
              </w:rPr>
              <w:t>106,1</w:t>
            </w:r>
          </w:p>
        </w:tc>
        <w:tc>
          <w:tcPr>
            <w:tcW w:w="1088"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center"/>
              <w:rPr>
                <w:bCs/>
                <w:sz w:val="20"/>
                <w:szCs w:val="20"/>
              </w:rPr>
            </w:pPr>
            <w:r w:rsidRPr="007278C9">
              <w:rPr>
                <w:bCs/>
                <w:sz w:val="20"/>
                <w:szCs w:val="20"/>
              </w:rPr>
              <w:t>38,1</w:t>
            </w:r>
          </w:p>
        </w:tc>
      </w:tr>
      <w:tr w:rsidR="009E26F4" w:rsidRPr="007278C9" w:rsidTr="009E26F4">
        <w:trPr>
          <w:trHeight w:val="259"/>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jc w:val="both"/>
              <w:rPr>
                <w:bCs/>
                <w:sz w:val="20"/>
                <w:szCs w:val="20"/>
              </w:rPr>
            </w:pPr>
            <w:r w:rsidRPr="007278C9">
              <w:rPr>
                <w:bCs/>
                <w:sz w:val="20"/>
                <w:szCs w:val="20"/>
              </w:rPr>
              <w:t>Неналоговые доходы</w:t>
            </w:r>
          </w:p>
        </w:tc>
        <w:tc>
          <w:tcPr>
            <w:tcW w:w="1417"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right"/>
              <w:rPr>
                <w:bCs/>
                <w:sz w:val="20"/>
                <w:szCs w:val="20"/>
              </w:rPr>
            </w:pPr>
            <w:r w:rsidRPr="007278C9">
              <w:rPr>
                <w:bCs/>
                <w:sz w:val="20"/>
                <w:szCs w:val="20"/>
              </w:rPr>
              <w:t>438 753,9</w:t>
            </w:r>
          </w:p>
        </w:tc>
        <w:tc>
          <w:tcPr>
            <w:tcW w:w="1399"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right"/>
              <w:rPr>
                <w:bCs/>
                <w:sz w:val="20"/>
                <w:szCs w:val="20"/>
              </w:rPr>
            </w:pPr>
            <w:r w:rsidRPr="007278C9">
              <w:rPr>
                <w:bCs/>
                <w:sz w:val="20"/>
                <w:szCs w:val="20"/>
              </w:rPr>
              <w:t>717 521,7</w:t>
            </w:r>
          </w:p>
        </w:tc>
        <w:tc>
          <w:tcPr>
            <w:tcW w:w="1389"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right"/>
              <w:rPr>
                <w:bCs/>
                <w:sz w:val="20"/>
                <w:szCs w:val="20"/>
              </w:rPr>
            </w:pPr>
            <w:r w:rsidRPr="007278C9">
              <w:rPr>
                <w:bCs/>
                <w:sz w:val="20"/>
                <w:szCs w:val="20"/>
              </w:rPr>
              <w:t>278 767,8</w:t>
            </w:r>
          </w:p>
        </w:tc>
        <w:tc>
          <w:tcPr>
            <w:tcW w:w="1543"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center"/>
              <w:rPr>
                <w:bCs/>
                <w:sz w:val="20"/>
                <w:szCs w:val="20"/>
              </w:rPr>
            </w:pPr>
            <w:r w:rsidRPr="007278C9">
              <w:rPr>
                <w:bCs/>
                <w:sz w:val="20"/>
                <w:szCs w:val="20"/>
              </w:rPr>
              <w:t>163,5</w:t>
            </w:r>
          </w:p>
        </w:tc>
        <w:tc>
          <w:tcPr>
            <w:tcW w:w="1088"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center"/>
              <w:rPr>
                <w:bCs/>
                <w:sz w:val="20"/>
                <w:szCs w:val="20"/>
              </w:rPr>
            </w:pPr>
            <w:r w:rsidRPr="007278C9">
              <w:rPr>
                <w:bCs/>
                <w:sz w:val="20"/>
                <w:szCs w:val="20"/>
              </w:rPr>
              <w:t>1,4</w:t>
            </w:r>
          </w:p>
        </w:tc>
      </w:tr>
      <w:tr w:rsidR="009E26F4" w:rsidRPr="007278C9" w:rsidTr="009E26F4">
        <w:trPr>
          <w:trHeight w:val="292"/>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jc w:val="both"/>
              <w:rPr>
                <w:bCs/>
                <w:sz w:val="20"/>
                <w:szCs w:val="20"/>
              </w:rPr>
            </w:pPr>
            <w:r w:rsidRPr="007278C9">
              <w:rPr>
                <w:bCs/>
                <w:sz w:val="20"/>
                <w:szCs w:val="20"/>
              </w:rPr>
              <w:t>Безвозмездные поступления</w:t>
            </w:r>
          </w:p>
        </w:tc>
        <w:tc>
          <w:tcPr>
            <w:tcW w:w="1417"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right"/>
              <w:rPr>
                <w:bCs/>
                <w:sz w:val="20"/>
                <w:szCs w:val="20"/>
              </w:rPr>
            </w:pPr>
            <w:r w:rsidRPr="007278C9">
              <w:rPr>
                <w:bCs/>
                <w:sz w:val="20"/>
                <w:szCs w:val="20"/>
              </w:rPr>
              <w:t>31 174 473,8</w:t>
            </w:r>
          </w:p>
        </w:tc>
        <w:tc>
          <w:tcPr>
            <w:tcW w:w="1399"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right"/>
              <w:rPr>
                <w:bCs/>
                <w:sz w:val="20"/>
                <w:szCs w:val="20"/>
              </w:rPr>
            </w:pPr>
            <w:r w:rsidRPr="007278C9">
              <w:rPr>
                <w:bCs/>
                <w:sz w:val="20"/>
                <w:szCs w:val="20"/>
              </w:rPr>
              <w:t>31 006 158,8</w:t>
            </w:r>
          </w:p>
        </w:tc>
        <w:tc>
          <w:tcPr>
            <w:tcW w:w="1389"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right"/>
              <w:rPr>
                <w:bCs/>
                <w:sz w:val="20"/>
                <w:szCs w:val="20"/>
              </w:rPr>
            </w:pPr>
            <w:r w:rsidRPr="007278C9">
              <w:rPr>
                <w:bCs/>
                <w:sz w:val="20"/>
                <w:szCs w:val="20"/>
              </w:rPr>
              <w:t>-168 315,0</w:t>
            </w:r>
          </w:p>
        </w:tc>
        <w:tc>
          <w:tcPr>
            <w:tcW w:w="1543"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center"/>
              <w:rPr>
                <w:bCs/>
                <w:sz w:val="20"/>
                <w:szCs w:val="20"/>
              </w:rPr>
            </w:pPr>
            <w:r w:rsidRPr="007278C9">
              <w:rPr>
                <w:bCs/>
                <w:sz w:val="20"/>
                <w:szCs w:val="20"/>
              </w:rPr>
              <w:t>99,5</w:t>
            </w:r>
          </w:p>
        </w:tc>
        <w:tc>
          <w:tcPr>
            <w:tcW w:w="1088"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center"/>
              <w:rPr>
                <w:bCs/>
                <w:sz w:val="20"/>
                <w:szCs w:val="20"/>
              </w:rPr>
            </w:pPr>
            <w:r w:rsidRPr="007278C9">
              <w:rPr>
                <w:bCs/>
                <w:sz w:val="20"/>
                <w:szCs w:val="20"/>
              </w:rPr>
              <w:t>60,5</w:t>
            </w:r>
          </w:p>
        </w:tc>
      </w:tr>
    </w:tbl>
    <w:p w:rsidR="009E26F4" w:rsidRPr="00467F9C" w:rsidRDefault="009E26F4" w:rsidP="00191861">
      <w:pPr>
        <w:spacing w:before="120"/>
        <w:ind w:firstLine="709"/>
        <w:jc w:val="both"/>
        <w:rPr>
          <w:sz w:val="28"/>
          <w:szCs w:val="28"/>
        </w:rPr>
      </w:pPr>
      <w:r w:rsidRPr="00467F9C">
        <w:rPr>
          <w:sz w:val="28"/>
          <w:szCs w:val="28"/>
        </w:rPr>
        <w:lastRenderedPageBreak/>
        <w:t xml:space="preserve">В структуре доходов окружного бюджета, полученных в 2021 году, наибольший удельный вес, как и в прошлые годы, составляют безвозмездные поступления – 60,5%, налоговые доходы – 38,1% и неналоговые доходы – 1,4%. </w:t>
      </w:r>
    </w:p>
    <w:p w:rsidR="009E26F4" w:rsidRPr="00467F9C" w:rsidRDefault="009E26F4" w:rsidP="00191861">
      <w:pPr>
        <w:ind w:firstLine="709"/>
        <w:jc w:val="both"/>
        <w:rPr>
          <w:sz w:val="28"/>
          <w:szCs w:val="28"/>
        </w:rPr>
      </w:pPr>
      <w:r w:rsidRPr="00467F9C">
        <w:rPr>
          <w:sz w:val="28"/>
          <w:szCs w:val="28"/>
        </w:rPr>
        <w:t>Исполнение окружного бюджета по видам доходов за 2021 год отражено в Приложении №1 к настоящему Заключению.</w:t>
      </w:r>
    </w:p>
    <w:p w:rsidR="009E26F4" w:rsidRPr="00467F9C" w:rsidRDefault="009E26F4" w:rsidP="00191861">
      <w:pPr>
        <w:spacing w:before="240" w:after="120"/>
        <w:jc w:val="center"/>
        <w:rPr>
          <w:b/>
          <w:sz w:val="28"/>
          <w:szCs w:val="28"/>
        </w:rPr>
      </w:pPr>
      <w:r w:rsidRPr="00467F9C">
        <w:rPr>
          <w:b/>
          <w:sz w:val="28"/>
          <w:szCs w:val="28"/>
        </w:rPr>
        <w:t>4.1. Налоговые доходы</w:t>
      </w:r>
    </w:p>
    <w:p w:rsidR="009E26F4" w:rsidRPr="00467F9C" w:rsidRDefault="009E26F4" w:rsidP="00191861">
      <w:pPr>
        <w:ind w:firstLine="709"/>
        <w:jc w:val="both"/>
        <w:rPr>
          <w:sz w:val="28"/>
          <w:szCs w:val="28"/>
        </w:rPr>
      </w:pPr>
      <w:r w:rsidRPr="00467F9C">
        <w:rPr>
          <w:sz w:val="28"/>
          <w:szCs w:val="28"/>
        </w:rPr>
        <w:t xml:space="preserve">В 2021 году объем налоговых поступлений в окружной бюджет составил 19 513 913,8 тыс. рублей или 106,1% плановых назначений (18 388 180,6 тыс. рублей). </w:t>
      </w:r>
    </w:p>
    <w:p w:rsidR="009E26F4" w:rsidRPr="00467F9C" w:rsidRDefault="009E26F4" w:rsidP="00191861">
      <w:pPr>
        <w:ind w:firstLine="709"/>
        <w:jc w:val="both"/>
        <w:rPr>
          <w:sz w:val="28"/>
          <w:szCs w:val="28"/>
        </w:rPr>
      </w:pPr>
      <w:r w:rsidRPr="00467F9C">
        <w:rPr>
          <w:sz w:val="28"/>
          <w:szCs w:val="28"/>
        </w:rPr>
        <w:t>В отчетном периоде налоговые доходы сформированы, в основном, за счет налога на прибыль организаций на 48,4%, налога на доходы физических лиц – 23,2%, налога на добычу полезных ископаемых – 18% и налога на имущество – 7,9%.</w:t>
      </w:r>
    </w:p>
    <w:p w:rsidR="009E26F4" w:rsidRPr="00467F9C" w:rsidRDefault="009E26F4" w:rsidP="00191861">
      <w:pPr>
        <w:autoSpaceDE w:val="0"/>
        <w:autoSpaceDN w:val="0"/>
        <w:adjustRightInd w:val="0"/>
        <w:ind w:firstLine="709"/>
        <w:jc w:val="both"/>
        <w:rPr>
          <w:sz w:val="28"/>
          <w:szCs w:val="28"/>
        </w:rPr>
      </w:pPr>
      <w:r w:rsidRPr="00467F9C">
        <w:rPr>
          <w:sz w:val="28"/>
          <w:szCs w:val="28"/>
        </w:rPr>
        <w:t xml:space="preserve">Наибольшее </w:t>
      </w:r>
      <w:r w:rsidRPr="00467F9C">
        <w:rPr>
          <w:bCs/>
          <w:sz w:val="28"/>
          <w:szCs w:val="28"/>
        </w:rPr>
        <w:t xml:space="preserve">недопоступление </w:t>
      </w:r>
      <w:r w:rsidRPr="00467F9C">
        <w:rPr>
          <w:sz w:val="28"/>
          <w:szCs w:val="28"/>
        </w:rPr>
        <w:t xml:space="preserve">по 5 видам налоговых доходов: </w:t>
      </w:r>
    </w:p>
    <w:p w:rsidR="009E26F4" w:rsidRPr="00467F9C" w:rsidRDefault="009E26F4" w:rsidP="00191861">
      <w:pPr>
        <w:autoSpaceDE w:val="0"/>
        <w:autoSpaceDN w:val="0"/>
        <w:adjustRightInd w:val="0"/>
        <w:ind w:firstLine="709"/>
        <w:jc w:val="both"/>
        <w:rPr>
          <w:sz w:val="28"/>
          <w:szCs w:val="28"/>
        </w:rPr>
      </w:pPr>
      <w:r w:rsidRPr="00467F9C">
        <w:rPr>
          <w:b/>
          <w:sz w:val="28"/>
          <w:szCs w:val="28"/>
        </w:rPr>
        <w:t>по налогу на прибыль организаций</w:t>
      </w:r>
      <w:r w:rsidRPr="00467F9C">
        <w:rPr>
          <w:sz w:val="28"/>
          <w:szCs w:val="28"/>
        </w:rPr>
        <w:t xml:space="preserve"> (за исключением консолидированных групп налогоплательщиков), зачисляемый в бюджеты субъектов Российской Федерации – на 27 346,3 тыс. рублей;</w:t>
      </w:r>
    </w:p>
    <w:p w:rsidR="009E26F4" w:rsidRPr="00467F9C" w:rsidRDefault="009E26F4" w:rsidP="00191861">
      <w:pPr>
        <w:autoSpaceDE w:val="0"/>
        <w:autoSpaceDN w:val="0"/>
        <w:adjustRightInd w:val="0"/>
        <w:ind w:firstLine="709"/>
        <w:jc w:val="both"/>
        <w:rPr>
          <w:sz w:val="28"/>
          <w:szCs w:val="28"/>
        </w:rPr>
      </w:pPr>
      <w:r w:rsidRPr="00467F9C">
        <w:rPr>
          <w:b/>
          <w:sz w:val="28"/>
          <w:szCs w:val="28"/>
        </w:rPr>
        <w:t>по налогу на имущество организаций</w:t>
      </w:r>
      <w:r w:rsidRPr="00467F9C">
        <w:rPr>
          <w:sz w:val="28"/>
          <w:szCs w:val="28"/>
        </w:rPr>
        <w:t xml:space="preserve"> по имуществу, не входящему в Единую систему газоснабжения – на 20 405,1 тыс. рублей;</w:t>
      </w:r>
    </w:p>
    <w:p w:rsidR="009E26F4" w:rsidRPr="00467F9C" w:rsidRDefault="009E26F4" w:rsidP="00191861">
      <w:pPr>
        <w:autoSpaceDE w:val="0"/>
        <w:autoSpaceDN w:val="0"/>
        <w:adjustRightInd w:val="0"/>
        <w:ind w:firstLine="709"/>
        <w:jc w:val="both"/>
        <w:rPr>
          <w:sz w:val="28"/>
          <w:szCs w:val="28"/>
        </w:rPr>
      </w:pPr>
      <w:r w:rsidRPr="00467F9C">
        <w:rPr>
          <w:b/>
          <w:sz w:val="28"/>
          <w:szCs w:val="28"/>
        </w:rPr>
        <w:t>по сбору за пользование объектами животного мира</w:t>
      </w:r>
      <w:r w:rsidRPr="00467F9C">
        <w:rPr>
          <w:sz w:val="28"/>
          <w:szCs w:val="28"/>
        </w:rPr>
        <w:t xml:space="preserve"> и за пользование объектами водных биологических ресурсов – на 15 918,4 тыс. рублей;</w:t>
      </w:r>
    </w:p>
    <w:p w:rsidR="009E26F4" w:rsidRPr="00467F9C" w:rsidRDefault="009E26F4" w:rsidP="00191861">
      <w:pPr>
        <w:autoSpaceDE w:val="0"/>
        <w:autoSpaceDN w:val="0"/>
        <w:adjustRightInd w:val="0"/>
        <w:ind w:firstLine="709"/>
        <w:jc w:val="both"/>
        <w:rPr>
          <w:sz w:val="28"/>
          <w:szCs w:val="28"/>
        </w:rPr>
      </w:pPr>
      <w:r w:rsidRPr="00467F9C">
        <w:rPr>
          <w:b/>
          <w:sz w:val="28"/>
          <w:szCs w:val="28"/>
        </w:rPr>
        <w:t>по доходам от уплаты акцизов на алкогольную продукцию</w:t>
      </w:r>
      <w:r w:rsidRPr="00467F9C">
        <w:rPr>
          <w:sz w:val="28"/>
          <w:szCs w:val="28"/>
        </w:rPr>
        <w:t xml:space="preserve"> с объемной долей этилового спирта свыше 9%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распределению в бюджеты субъектов Российской Федерации – на 8 844,6 тыс. рублей;</w:t>
      </w:r>
    </w:p>
    <w:p w:rsidR="009E26F4" w:rsidRPr="00467F9C" w:rsidRDefault="009E26F4" w:rsidP="00191861">
      <w:pPr>
        <w:autoSpaceDE w:val="0"/>
        <w:autoSpaceDN w:val="0"/>
        <w:adjustRightInd w:val="0"/>
        <w:ind w:firstLine="709"/>
        <w:jc w:val="both"/>
        <w:rPr>
          <w:sz w:val="28"/>
          <w:szCs w:val="28"/>
        </w:rPr>
      </w:pPr>
      <w:r w:rsidRPr="00467F9C">
        <w:rPr>
          <w:b/>
          <w:sz w:val="28"/>
          <w:szCs w:val="28"/>
        </w:rPr>
        <w:t>по доходам от уплаты акцизов</w:t>
      </w:r>
      <w:r w:rsidRPr="00467F9C">
        <w:rPr>
          <w:sz w:val="28"/>
          <w:szCs w:val="28"/>
        </w:rPr>
        <w:t xml:space="preserve">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4 744,8 тыс. рублей.</w:t>
      </w:r>
    </w:p>
    <w:p w:rsidR="009E26F4" w:rsidRPr="00467F9C" w:rsidRDefault="009E26F4" w:rsidP="00191861">
      <w:pPr>
        <w:pStyle w:val="aff1"/>
        <w:spacing w:after="0" w:line="240" w:lineRule="auto"/>
        <w:ind w:firstLine="709"/>
        <w:jc w:val="both"/>
        <w:rPr>
          <w:sz w:val="28"/>
          <w:szCs w:val="28"/>
        </w:rPr>
      </w:pPr>
      <w:r w:rsidRPr="00467F9C">
        <w:rPr>
          <w:sz w:val="28"/>
          <w:szCs w:val="28"/>
        </w:rPr>
        <w:t>Исполнение превышает плановые показатели по следующим налоговым источникам:</w:t>
      </w:r>
    </w:p>
    <w:p w:rsidR="009E26F4" w:rsidRPr="00467F9C" w:rsidRDefault="009E26F4" w:rsidP="00191861">
      <w:pPr>
        <w:pStyle w:val="aff1"/>
        <w:spacing w:after="0" w:line="240" w:lineRule="auto"/>
        <w:ind w:firstLine="709"/>
        <w:jc w:val="both"/>
        <w:rPr>
          <w:sz w:val="28"/>
          <w:szCs w:val="28"/>
        </w:rPr>
      </w:pPr>
      <w:r w:rsidRPr="00467F9C">
        <w:rPr>
          <w:b/>
          <w:sz w:val="28"/>
          <w:szCs w:val="28"/>
        </w:rPr>
        <w:t>по налогу на доходы физических лиц</w:t>
      </w:r>
      <w:r w:rsidRPr="00467F9C">
        <w:rPr>
          <w:sz w:val="28"/>
          <w:szCs w:val="28"/>
        </w:rPr>
        <w:t xml:space="preserve">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w:t>
      </w:r>
      <w:r w:rsidRPr="00467F9C">
        <w:rPr>
          <w:rStyle w:val="ab"/>
          <w:sz w:val="28"/>
          <w:szCs w:val="28"/>
        </w:rPr>
        <w:footnoteReference w:id="55"/>
      </w:r>
      <w:r w:rsidRPr="00467F9C">
        <w:rPr>
          <w:sz w:val="28"/>
          <w:szCs w:val="28"/>
        </w:rPr>
        <w:t xml:space="preserve"> – на 623 586,3 тыс. рублей;</w:t>
      </w:r>
    </w:p>
    <w:p w:rsidR="009E26F4" w:rsidRPr="00467F9C" w:rsidRDefault="009E26F4" w:rsidP="00191861">
      <w:pPr>
        <w:pStyle w:val="aff1"/>
        <w:spacing w:after="0" w:line="240" w:lineRule="auto"/>
        <w:ind w:firstLine="709"/>
        <w:jc w:val="both"/>
        <w:rPr>
          <w:sz w:val="28"/>
          <w:szCs w:val="28"/>
        </w:rPr>
      </w:pPr>
      <w:r w:rsidRPr="00467F9C">
        <w:rPr>
          <w:b/>
          <w:sz w:val="28"/>
          <w:szCs w:val="28"/>
        </w:rPr>
        <w:t>по налогу на добычу прочих полезных ископаемых</w:t>
      </w:r>
      <w:r w:rsidRPr="00467F9C">
        <w:rPr>
          <w:sz w:val="28"/>
          <w:szCs w:val="28"/>
        </w:rPr>
        <w:t xml:space="preserve">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 на 446 671,1 тыс. рублей;</w:t>
      </w:r>
    </w:p>
    <w:p w:rsidR="009E26F4" w:rsidRPr="00467F9C" w:rsidRDefault="009E26F4" w:rsidP="00191861">
      <w:pPr>
        <w:pStyle w:val="aff1"/>
        <w:spacing w:after="0" w:line="240" w:lineRule="auto"/>
        <w:ind w:firstLine="709"/>
        <w:jc w:val="both"/>
        <w:rPr>
          <w:sz w:val="28"/>
          <w:szCs w:val="28"/>
        </w:rPr>
      </w:pPr>
      <w:r w:rsidRPr="00467F9C">
        <w:rPr>
          <w:b/>
          <w:sz w:val="28"/>
          <w:szCs w:val="28"/>
        </w:rPr>
        <w:lastRenderedPageBreak/>
        <w:t>по налогу на доходы физических лиц</w:t>
      </w:r>
      <w:r w:rsidRPr="00467F9C">
        <w:rPr>
          <w:sz w:val="28"/>
          <w:szCs w:val="28"/>
        </w:rPr>
        <w:t xml:space="preserve"> в части суммы налога, превышающей 650,0 тыс. рублей, относящейся к части налоговой базы, превышающей 5 000,0 тыс.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 на 85 243,9 тыс. рублей.</w:t>
      </w:r>
    </w:p>
    <w:p w:rsidR="009E26F4" w:rsidRPr="00467F9C" w:rsidRDefault="009E26F4" w:rsidP="00191861">
      <w:pPr>
        <w:autoSpaceDE w:val="0"/>
        <w:autoSpaceDN w:val="0"/>
        <w:adjustRightInd w:val="0"/>
        <w:spacing w:before="120"/>
        <w:ind w:firstLine="709"/>
        <w:jc w:val="both"/>
        <w:rPr>
          <w:sz w:val="28"/>
          <w:szCs w:val="28"/>
        </w:rPr>
      </w:pPr>
      <w:r w:rsidRPr="00467F9C">
        <w:rPr>
          <w:rFonts w:eastAsia="Calibri"/>
          <w:sz w:val="28"/>
          <w:szCs w:val="28"/>
        </w:rPr>
        <w:t xml:space="preserve">Федеральным законодательством определены территории Чукотского автономного округа, на которых </w:t>
      </w:r>
      <w:r w:rsidRPr="00467F9C">
        <w:rPr>
          <w:sz w:val="28"/>
          <w:szCs w:val="28"/>
        </w:rPr>
        <w:t xml:space="preserve">устанавливаются </w:t>
      </w:r>
      <w:r w:rsidRPr="00467F9C">
        <w:rPr>
          <w:b/>
          <w:sz w:val="28"/>
          <w:szCs w:val="28"/>
        </w:rPr>
        <w:t>меры государственной поддержки</w:t>
      </w:r>
      <w:r w:rsidRPr="00467F9C">
        <w:rPr>
          <w:sz w:val="28"/>
          <w:szCs w:val="28"/>
        </w:rPr>
        <w:t xml:space="preserve"> предпринимательской деятельности:</w:t>
      </w:r>
    </w:p>
    <w:p w:rsidR="009E26F4" w:rsidRPr="00467F9C" w:rsidRDefault="009E26F4" w:rsidP="00191861">
      <w:pPr>
        <w:autoSpaceDE w:val="0"/>
        <w:autoSpaceDN w:val="0"/>
        <w:adjustRightInd w:val="0"/>
        <w:ind w:firstLine="709"/>
        <w:jc w:val="both"/>
        <w:rPr>
          <w:rFonts w:eastAsia="Calibri"/>
          <w:sz w:val="28"/>
          <w:szCs w:val="28"/>
        </w:rPr>
      </w:pPr>
      <w:r w:rsidRPr="00467F9C">
        <w:rPr>
          <w:rFonts w:eastAsia="Calibri"/>
          <w:sz w:val="28"/>
          <w:szCs w:val="28"/>
        </w:rPr>
        <w:t xml:space="preserve">- муниципальные образования Анадырский и </w:t>
      </w:r>
      <w:proofErr w:type="spellStart"/>
      <w:r w:rsidRPr="00467F9C">
        <w:rPr>
          <w:rFonts w:eastAsia="Calibri"/>
          <w:sz w:val="28"/>
          <w:szCs w:val="28"/>
        </w:rPr>
        <w:t>Билибинский</w:t>
      </w:r>
      <w:proofErr w:type="spellEnd"/>
      <w:r w:rsidRPr="00467F9C">
        <w:rPr>
          <w:rFonts w:eastAsia="Calibri"/>
          <w:sz w:val="28"/>
          <w:szCs w:val="28"/>
        </w:rPr>
        <w:t xml:space="preserve"> муниципальные районы и городской округ Анадырь с 2017 года отнесены к территории опережающего социально-экономического развития «Чукотка»</w:t>
      </w:r>
      <w:r w:rsidRPr="00467F9C">
        <w:rPr>
          <w:rStyle w:val="ab"/>
          <w:rFonts w:eastAsia="Calibri"/>
          <w:sz w:val="28"/>
          <w:szCs w:val="28"/>
        </w:rPr>
        <w:footnoteReference w:id="56"/>
      </w:r>
      <w:r w:rsidRPr="00467F9C">
        <w:rPr>
          <w:rFonts w:eastAsia="Calibri"/>
          <w:sz w:val="28"/>
          <w:szCs w:val="28"/>
        </w:rPr>
        <w:t xml:space="preserve"> (далее – ТОСЭР «Чукотка»); </w:t>
      </w:r>
    </w:p>
    <w:p w:rsidR="009E26F4" w:rsidRPr="00467F9C" w:rsidRDefault="009E26F4" w:rsidP="00191861">
      <w:pPr>
        <w:autoSpaceDE w:val="0"/>
        <w:autoSpaceDN w:val="0"/>
        <w:adjustRightInd w:val="0"/>
        <w:ind w:firstLine="709"/>
        <w:jc w:val="both"/>
        <w:rPr>
          <w:rFonts w:eastAsia="Calibri"/>
          <w:sz w:val="28"/>
          <w:szCs w:val="28"/>
        </w:rPr>
      </w:pPr>
      <w:r w:rsidRPr="00467F9C">
        <w:rPr>
          <w:rFonts w:eastAsia="Calibri"/>
          <w:sz w:val="28"/>
          <w:szCs w:val="28"/>
        </w:rPr>
        <w:t xml:space="preserve">- муниципальное образование городской округ </w:t>
      </w:r>
      <w:proofErr w:type="spellStart"/>
      <w:r w:rsidRPr="00467F9C">
        <w:rPr>
          <w:rFonts w:eastAsia="Calibri"/>
          <w:sz w:val="28"/>
          <w:szCs w:val="28"/>
        </w:rPr>
        <w:t>Певек</w:t>
      </w:r>
      <w:proofErr w:type="spellEnd"/>
      <w:r w:rsidRPr="00467F9C">
        <w:rPr>
          <w:rFonts w:eastAsia="Calibri"/>
          <w:sz w:val="28"/>
          <w:szCs w:val="28"/>
        </w:rPr>
        <w:t xml:space="preserve"> относится к территории особого режима таможенного налогового и административного регулирования «Свободный порт Владивосток» (далее – СПВ)</w:t>
      </w:r>
      <w:r w:rsidRPr="00467F9C">
        <w:rPr>
          <w:rStyle w:val="ab"/>
          <w:rFonts w:eastAsia="Calibri"/>
          <w:sz w:val="28"/>
          <w:szCs w:val="28"/>
        </w:rPr>
        <w:footnoteReference w:id="57"/>
      </w:r>
      <w:r w:rsidRPr="00467F9C">
        <w:rPr>
          <w:rFonts w:eastAsia="Calibri"/>
          <w:sz w:val="28"/>
          <w:szCs w:val="28"/>
        </w:rPr>
        <w:t>;</w:t>
      </w:r>
    </w:p>
    <w:p w:rsidR="009E26F4" w:rsidRPr="00467F9C" w:rsidRDefault="009E26F4" w:rsidP="00191861">
      <w:pPr>
        <w:autoSpaceDE w:val="0"/>
        <w:autoSpaceDN w:val="0"/>
        <w:adjustRightInd w:val="0"/>
        <w:ind w:firstLine="709"/>
        <w:jc w:val="both"/>
        <w:rPr>
          <w:rFonts w:eastAsia="Calibri"/>
          <w:sz w:val="28"/>
          <w:szCs w:val="28"/>
        </w:rPr>
      </w:pPr>
      <w:r w:rsidRPr="00467F9C">
        <w:rPr>
          <w:rFonts w:eastAsia="Calibri"/>
          <w:sz w:val="28"/>
          <w:szCs w:val="28"/>
        </w:rPr>
        <w:t>- территория Чукотского автономного округа отнесена к свободной экономической зоне поддержке предпринимателей «Арктическая зона Российской Федерации» (далее – АЗРФ)</w:t>
      </w:r>
      <w:r w:rsidRPr="00467F9C">
        <w:rPr>
          <w:rStyle w:val="ab"/>
          <w:rFonts w:eastAsia="Calibri"/>
          <w:sz w:val="28"/>
          <w:szCs w:val="28"/>
        </w:rPr>
        <w:footnoteReference w:id="58"/>
      </w:r>
      <w:r w:rsidRPr="00467F9C">
        <w:rPr>
          <w:rFonts w:eastAsia="Calibri"/>
          <w:sz w:val="28"/>
          <w:szCs w:val="28"/>
        </w:rPr>
        <w:t>.</w:t>
      </w:r>
    </w:p>
    <w:p w:rsidR="009E26F4" w:rsidRPr="00467F9C" w:rsidRDefault="009E26F4" w:rsidP="00191861">
      <w:pPr>
        <w:autoSpaceDE w:val="0"/>
        <w:autoSpaceDN w:val="0"/>
        <w:adjustRightInd w:val="0"/>
        <w:ind w:firstLine="709"/>
        <w:jc w:val="both"/>
        <w:outlineLvl w:val="0"/>
        <w:rPr>
          <w:rFonts w:eastAsia="Calibri"/>
          <w:sz w:val="28"/>
          <w:szCs w:val="28"/>
        </w:rPr>
      </w:pPr>
      <w:r w:rsidRPr="00467F9C">
        <w:rPr>
          <w:rFonts w:eastAsia="Calibri"/>
          <w:sz w:val="28"/>
          <w:szCs w:val="28"/>
        </w:rPr>
        <w:t>Функции управляющей компании для режимов ТОСЭР «Чукотка», СПВ и АЗРФ выполняет Акционерное общество «Корпорация по развитию Дальнего Востока», а также 11 управляющих компаний в форме обществ с ограниченной ответственностью, являющихся дочерними организациями Акционерного общества «Корпорация по развитию Дальнего Востока».</w:t>
      </w:r>
    </w:p>
    <w:p w:rsidR="009E26F4" w:rsidRPr="00467F9C" w:rsidRDefault="009E26F4" w:rsidP="00191861">
      <w:pPr>
        <w:autoSpaceDE w:val="0"/>
        <w:autoSpaceDN w:val="0"/>
        <w:adjustRightInd w:val="0"/>
        <w:ind w:firstLine="709"/>
        <w:jc w:val="both"/>
        <w:outlineLvl w:val="0"/>
        <w:rPr>
          <w:rFonts w:eastAsia="Calibri"/>
          <w:sz w:val="28"/>
          <w:szCs w:val="28"/>
        </w:rPr>
      </w:pPr>
      <w:r w:rsidRPr="00467F9C">
        <w:rPr>
          <w:rFonts w:eastAsia="Calibri"/>
          <w:sz w:val="28"/>
          <w:szCs w:val="28"/>
        </w:rPr>
        <w:t>Федеральным законодательством, а также Законом Чукотского автономного округа от 18 мая 2015 года №47-ОЗ «О некоторых вопросах налогового регулирования в Чукотском автономном округе» для</w:t>
      </w:r>
      <w:r w:rsidRPr="00467F9C">
        <w:rPr>
          <w:sz w:val="28"/>
          <w:szCs w:val="28"/>
        </w:rPr>
        <w:t xml:space="preserve"> </w:t>
      </w:r>
      <w:r w:rsidRPr="00467F9C">
        <w:rPr>
          <w:rFonts w:eastAsia="Calibri"/>
          <w:sz w:val="28"/>
          <w:szCs w:val="28"/>
        </w:rPr>
        <w:t>организаций, получивших статус резидентов ТОСЭР «Чукотка», СПВ и АЗРФ</w:t>
      </w:r>
      <w:r w:rsidRPr="00467F9C">
        <w:rPr>
          <w:sz w:val="28"/>
          <w:szCs w:val="28"/>
        </w:rPr>
        <w:t xml:space="preserve"> установлены меры государственной поддержки, в том числе преференции. </w:t>
      </w:r>
      <w:r w:rsidRPr="00467F9C">
        <w:rPr>
          <w:rFonts w:eastAsia="Calibri"/>
          <w:sz w:val="28"/>
          <w:szCs w:val="28"/>
        </w:rPr>
        <w:t>Перечень применяемых мер государственной поддержки по видам преференциальных режимов представлен в Приложении №2 к настоящему Заключению.</w:t>
      </w:r>
    </w:p>
    <w:p w:rsidR="009E26F4" w:rsidRPr="00467F9C" w:rsidRDefault="009E26F4" w:rsidP="00191861">
      <w:pPr>
        <w:autoSpaceDE w:val="0"/>
        <w:autoSpaceDN w:val="0"/>
        <w:adjustRightInd w:val="0"/>
        <w:ind w:firstLine="709"/>
        <w:jc w:val="both"/>
        <w:rPr>
          <w:rFonts w:eastAsia="Calibri"/>
          <w:sz w:val="28"/>
          <w:szCs w:val="28"/>
        </w:rPr>
      </w:pPr>
      <w:r w:rsidRPr="00467F9C">
        <w:rPr>
          <w:rFonts w:eastAsia="Calibri"/>
          <w:sz w:val="28"/>
          <w:szCs w:val="28"/>
        </w:rPr>
        <w:t>Согласно представленной Управлением Федеральной налоговой службы России по Чукотскому автономному округу информации, по состоянию на 1 января 2022 года объем выпадающих доходов окружного бюджета в отношении резидентов ТОСЭР «Чукотка», СПВ и АЗРФ по налогам, зачисляемым в окружной бюджет за 2021 год, составил 621 764,0 тыс. рублей, что превышает показатели 2020 года в 3,9 раз.</w:t>
      </w:r>
    </w:p>
    <w:p w:rsidR="009E26F4" w:rsidRPr="00467F9C" w:rsidRDefault="009E26F4" w:rsidP="00191861">
      <w:pPr>
        <w:autoSpaceDE w:val="0"/>
        <w:autoSpaceDN w:val="0"/>
        <w:adjustRightInd w:val="0"/>
        <w:ind w:firstLine="709"/>
        <w:jc w:val="both"/>
        <w:rPr>
          <w:sz w:val="28"/>
          <w:szCs w:val="28"/>
        </w:rPr>
      </w:pPr>
      <w:r w:rsidRPr="00467F9C">
        <w:rPr>
          <w:rFonts w:eastAsia="Calibri"/>
          <w:sz w:val="28"/>
          <w:szCs w:val="28"/>
        </w:rPr>
        <w:t xml:space="preserve">Информация об объемах предоставленных налоговых льгот </w:t>
      </w:r>
      <w:r w:rsidRPr="00467F9C">
        <w:rPr>
          <w:rFonts w:eastAsia="Calibri"/>
          <w:sz w:val="28"/>
          <w:szCs w:val="28"/>
        </w:rPr>
        <w:br/>
        <w:t xml:space="preserve">за 2017-2021 годы в разрезе видов налогов приведена в Приложении №3 </w:t>
      </w:r>
      <w:r w:rsidRPr="00467F9C">
        <w:rPr>
          <w:sz w:val="28"/>
          <w:szCs w:val="28"/>
        </w:rPr>
        <w:t>к настоящему Заключению</w:t>
      </w:r>
      <w:r w:rsidRPr="00467F9C">
        <w:rPr>
          <w:rFonts w:eastAsia="Calibri"/>
          <w:sz w:val="28"/>
          <w:szCs w:val="28"/>
        </w:rPr>
        <w:t>.</w:t>
      </w:r>
    </w:p>
    <w:p w:rsidR="009E26F4" w:rsidRPr="00467F9C" w:rsidRDefault="009E26F4" w:rsidP="00191861">
      <w:pPr>
        <w:pStyle w:val="aff1"/>
        <w:spacing w:before="240" w:line="240" w:lineRule="auto"/>
        <w:rPr>
          <w:b/>
          <w:sz w:val="28"/>
          <w:szCs w:val="28"/>
        </w:rPr>
      </w:pPr>
      <w:r w:rsidRPr="00467F9C">
        <w:rPr>
          <w:b/>
          <w:sz w:val="28"/>
          <w:szCs w:val="28"/>
        </w:rPr>
        <w:lastRenderedPageBreak/>
        <w:t>4.2. Неналоговые доходы</w:t>
      </w:r>
    </w:p>
    <w:p w:rsidR="009E26F4" w:rsidRPr="00467F9C" w:rsidRDefault="009E26F4" w:rsidP="00191861">
      <w:pPr>
        <w:ind w:firstLine="709"/>
        <w:jc w:val="both"/>
        <w:rPr>
          <w:sz w:val="28"/>
          <w:szCs w:val="28"/>
        </w:rPr>
      </w:pPr>
      <w:r w:rsidRPr="00467F9C">
        <w:rPr>
          <w:sz w:val="28"/>
          <w:szCs w:val="28"/>
        </w:rPr>
        <w:t>Неналоговые доходы поступили в сумме 717 521,7 тыс. рублей или 163,5% плановых назначений (438 753,9 тыс. рублей).</w:t>
      </w:r>
    </w:p>
    <w:p w:rsidR="009E26F4" w:rsidRPr="00467F9C" w:rsidRDefault="009E26F4" w:rsidP="00191861">
      <w:pPr>
        <w:autoSpaceDE w:val="0"/>
        <w:autoSpaceDN w:val="0"/>
        <w:adjustRightInd w:val="0"/>
        <w:ind w:firstLine="709"/>
        <w:jc w:val="both"/>
        <w:rPr>
          <w:sz w:val="28"/>
          <w:szCs w:val="28"/>
        </w:rPr>
      </w:pPr>
      <w:r w:rsidRPr="00467F9C">
        <w:rPr>
          <w:sz w:val="28"/>
          <w:szCs w:val="28"/>
        </w:rPr>
        <w:t xml:space="preserve">По состоянию на 1 января 2022 года в окружной собственности находились 22 учреждения (13 автономных и 9 бюджетных) и три государственных предприятия, акции девяти акционерных обществ, также округ являлся участником одного акционерного общества и семи обществ с ограниченной ответственностью. </w:t>
      </w:r>
    </w:p>
    <w:p w:rsidR="009E26F4" w:rsidRPr="00467F9C" w:rsidRDefault="009E26F4" w:rsidP="00191861">
      <w:pPr>
        <w:autoSpaceDE w:val="0"/>
        <w:autoSpaceDN w:val="0"/>
        <w:adjustRightInd w:val="0"/>
        <w:ind w:firstLine="709"/>
        <w:jc w:val="both"/>
        <w:rPr>
          <w:sz w:val="28"/>
          <w:szCs w:val="28"/>
        </w:rPr>
      </w:pPr>
      <w:r w:rsidRPr="00467F9C">
        <w:rPr>
          <w:sz w:val="28"/>
          <w:szCs w:val="28"/>
        </w:rPr>
        <w:t>В 2021 году в окружной бюджет поступила часть прибыли от пяти хозяйствующих субъектов с государственным участием в капитале и составила 116 036,0 тыс. рублей, в том числе:</w:t>
      </w:r>
    </w:p>
    <w:p w:rsidR="009E26F4" w:rsidRPr="00467F9C" w:rsidRDefault="009E26F4" w:rsidP="00191861">
      <w:pPr>
        <w:autoSpaceDE w:val="0"/>
        <w:autoSpaceDN w:val="0"/>
        <w:adjustRightInd w:val="0"/>
        <w:ind w:firstLine="709"/>
        <w:jc w:val="both"/>
        <w:rPr>
          <w:sz w:val="28"/>
          <w:szCs w:val="28"/>
        </w:rPr>
      </w:pPr>
      <w:r w:rsidRPr="00467F9C">
        <w:rPr>
          <w:sz w:val="28"/>
          <w:szCs w:val="28"/>
        </w:rPr>
        <w:t>- ГП ЧАО «Птицефабрика «Северная» – 535,6 тыс. рублей;</w:t>
      </w:r>
    </w:p>
    <w:p w:rsidR="009E26F4" w:rsidRPr="00467F9C" w:rsidRDefault="009E26F4" w:rsidP="00191861">
      <w:pPr>
        <w:autoSpaceDE w:val="0"/>
        <w:autoSpaceDN w:val="0"/>
        <w:adjustRightInd w:val="0"/>
        <w:ind w:firstLine="709"/>
        <w:jc w:val="both"/>
        <w:rPr>
          <w:sz w:val="28"/>
          <w:szCs w:val="28"/>
        </w:rPr>
      </w:pPr>
      <w:r w:rsidRPr="00467F9C">
        <w:rPr>
          <w:sz w:val="28"/>
          <w:szCs w:val="28"/>
        </w:rPr>
        <w:t>- АО «Профессиональный Регистрационный центр» – 318,6 тыс. рублей;</w:t>
      </w:r>
    </w:p>
    <w:p w:rsidR="009E26F4" w:rsidRPr="00467F9C" w:rsidRDefault="009E26F4" w:rsidP="00191861">
      <w:pPr>
        <w:autoSpaceDE w:val="0"/>
        <w:autoSpaceDN w:val="0"/>
        <w:adjustRightInd w:val="0"/>
        <w:ind w:firstLine="709"/>
        <w:jc w:val="both"/>
        <w:rPr>
          <w:sz w:val="28"/>
          <w:szCs w:val="28"/>
        </w:rPr>
      </w:pPr>
      <w:r w:rsidRPr="00467F9C">
        <w:rPr>
          <w:sz w:val="28"/>
          <w:szCs w:val="28"/>
        </w:rPr>
        <w:t>- ЗАО «ВТБ Регистратор» – 1 256,6 тыс. рублей;</w:t>
      </w:r>
    </w:p>
    <w:p w:rsidR="009E26F4" w:rsidRPr="00467F9C" w:rsidRDefault="009E26F4" w:rsidP="00191861">
      <w:pPr>
        <w:autoSpaceDE w:val="0"/>
        <w:autoSpaceDN w:val="0"/>
        <w:adjustRightInd w:val="0"/>
        <w:ind w:firstLine="709"/>
        <w:jc w:val="both"/>
        <w:rPr>
          <w:sz w:val="28"/>
          <w:szCs w:val="28"/>
        </w:rPr>
      </w:pPr>
      <w:r w:rsidRPr="00467F9C">
        <w:rPr>
          <w:sz w:val="28"/>
          <w:szCs w:val="28"/>
        </w:rPr>
        <w:t>- ОАО «</w:t>
      </w:r>
      <w:proofErr w:type="spellStart"/>
      <w:r w:rsidRPr="00467F9C">
        <w:rPr>
          <w:sz w:val="28"/>
          <w:szCs w:val="28"/>
        </w:rPr>
        <w:t>Чукотрыбпромхоз</w:t>
      </w:r>
      <w:proofErr w:type="spellEnd"/>
      <w:r w:rsidRPr="00467F9C">
        <w:rPr>
          <w:sz w:val="28"/>
          <w:szCs w:val="28"/>
        </w:rPr>
        <w:t>» – 110 000,0 тыс. рублей;</w:t>
      </w:r>
    </w:p>
    <w:p w:rsidR="009E26F4" w:rsidRPr="00467F9C" w:rsidRDefault="009E26F4" w:rsidP="00191861">
      <w:pPr>
        <w:autoSpaceDE w:val="0"/>
        <w:autoSpaceDN w:val="0"/>
        <w:adjustRightInd w:val="0"/>
        <w:ind w:firstLine="709"/>
        <w:jc w:val="both"/>
        <w:rPr>
          <w:sz w:val="28"/>
          <w:szCs w:val="28"/>
        </w:rPr>
      </w:pPr>
      <w:r w:rsidRPr="00467F9C">
        <w:rPr>
          <w:sz w:val="28"/>
          <w:szCs w:val="28"/>
        </w:rPr>
        <w:t>- АО «</w:t>
      </w:r>
      <w:proofErr w:type="spellStart"/>
      <w:r w:rsidRPr="00467F9C">
        <w:rPr>
          <w:sz w:val="28"/>
          <w:szCs w:val="28"/>
        </w:rPr>
        <w:t>Чукотснаб</w:t>
      </w:r>
      <w:proofErr w:type="spellEnd"/>
      <w:r w:rsidRPr="00467F9C">
        <w:rPr>
          <w:sz w:val="28"/>
          <w:szCs w:val="28"/>
        </w:rPr>
        <w:t>» – 3 925,2 тыс. рублей.</w:t>
      </w:r>
    </w:p>
    <w:p w:rsidR="009E26F4" w:rsidRPr="00467F9C" w:rsidRDefault="009E26F4" w:rsidP="00191861">
      <w:pPr>
        <w:autoSpaceDE w:val="0"/>
        <w:autoSpaceDN w:val="0"/>
        <w:adjustRightInd w:val="0"/>
        <w:ind w:firstLine="709"/>
        <w:jc w:val="both"/>
        <w:rPr>
          <w:sz w:val="28"/>
          <w:szCs w:val="28"/>
        </w:rPr>
      </w:pPr>
      <w:r w:rsidRPr="00467F9C">
        <w:rPr>
          <w:sz w:val="28"/>
          <w:szCs w:val="28"/>
        </w:rPr>
        <w:t>Доходы от операций по управлению остатками средств на едином казначейском счете составили 469 735,7 тыс. рублей при прогнозном показателе 213 400,0 тыс. рублей.</w:t>
      </w:r>
    </w:p>
    <w:p w:rsidR="009E26F4" w:rsidRPr="00467F9C" w:rsidRDefault="009E26F4" w:rsidP="00191861">
      <w:pPr>
        <w:widowControl w:val="0"/>
        <w:autoSpaceDE w:val="0"/>
        <w:autoSpaceDN w:val="0"/>
        <w:adjustRightInd w:val="0"/>
        <w:ind w:firstLine="709"/>
        <w:jc w:val="both"/>
        <w:rPr>
          <w:sz w:val="28"/>
          <w:szCs w:val="28"/>
        </w:rPr>
      </w:pPr>
      <w:r w:rsidRPr="00467F9C">
        <w:rPr>
          <w:sz w:val="28"/>
          <w:szCs w:val="28"/>
        </w:rPr>
        <w:t xml:space="preserve">Объем поступлений в окружной бюджет от сдачи в аренду земли и имущества составил в 2021 году – 20 964,4 тыс. рублей или 107,3% плановых значений (19 536,2 тыс. рублей). </w:t>
      </w:r>
    </w:p>
    <w:p w:rsidR="009E26F4" w:rsidRPr="00467F9C" w:rsidRDefault="009E26F4" w:rsidP="00191861">
      <w:pPr>
        <w:widowControl w:val="0"/>
        <w:autoSpaceDE w:val="0"/>
        <w:autoSpaceDN w:val="0"/>
        <w:adjustRightInd w:val="0"/>
        <w:ind w:firstLine="709"/>
        <w:jc w:val="both"/>
        <w:rPr>
          <w:sz w:val="28"/>
          <w:szCs w:val="28"/>
        </w:rPr>
      </w:pPr>
      <w:r w:rsidRPr="00467F9C">
        <w:rPr>
          <w:sz w:val="28"/>
          <w:szCs w:val="28"/>
        </w:rPr>
        <w:t xml:space="preserve">Проценты от предоставления бюджетных кредитов поступили в сумме 25 085,7 тыс. рублей или 102,4%. </w:t>
      </w:r>
    </w:p>
    <w:p w:rsidR="009E26F4" w:rsidRPr="00467F9C" w:rsidRDefault="009E26F4" w:rsidP="00191861">
      <w:pPr>
        <w:pStyle w:val="24"/>
        <w:spacing w:before="240"/>
        <w:rPr>
          <w:b/>
          <w:sz w:val="28"/>
          <w:szCs w:val="28"/>
        </w:rPr>
      </w:pPr>
      <w:r w:rsidRPr="00467F9C">
        <w:rPr>
          <w:b/>
          <w:sz w:val="28"/>
          <w:szCs w:val="28"/>
        </w:rPr>
        <w:t>4.3. Безвозмездные поступления</w:t>
      </w:r>
    </w:p>
    <w:p w:rsidR="009E26F4" w:rsidRPr="00467F9C" w:rsidRDefault="009E26F4" w:rsidP="00191861">
      <w:pPr>
        <w:ind w:firstLine="709"/>
        <w:jc w:val="both"/>
        <w:rPr>
          <w:sz w:val="28"/>
          <w:szCs w:val="28"/>
        </w:rPr>
      </w:pPr>
      <w:r w:rsidRPr="00467F9C">
        <w:rPr>
          <w:sz w:val="28"/>
          <w:szCs w:val="28"/>
        </w:rPr>
        <w:t>В 2021 году безвозмездные поступления составили 31 006 158,8 тыс. рублей, что меньше утвержденных назначений на 168 315,0 тыс. рублей или на 0,5% (план 31 174 473,8 тыс. рублей).</w:t>
      </w:r>
    </w:p>
    <w:p w:rsidR="009E26F4" w:rsidRPr="00467F9C" w:rsidRDefault="009E26F4" w:rsidP="00191861">
      <w:pPr>
        <w:ind w:firstLine="709"/>
        <w:jc w:val="both"/>
        <w:rPr>
          <w:sz w:val="28"/>
          <w:szCs w:val="28"/>
        </w:rPr>
      </w:pPr>
      <w:r w:rsidRPr="00467F9C">
        <w:rPr>
          <w:sz w:val="28"/>
          <w:szCs w:val="28"/>
        </w:rPr>
        <w:t xml:space="preserve">Из федерального бюджета в окружной бюджет поступило 22 068 750,3 тыс. рублей, что меньше плановых назначений на 219 946,1 тыс. рублей или на 1%. </w:t>
      </w:r>
    </w:p>
    <w:p w:rsidR="009E26F4" w:rsidRPr="00467F9C" w:rsidRDefault="009E26F4" w:rsidP="00191861">
      <w:pPr>
        <w:pStyle w:val="24"/>
        <w:ind w:firstLine="709"/>
        <w:jc w:val="both"/>
        <w:rPr>
          <w:sz w:val="28"/>
          <w:szCs w:val="28"/>
        </w:rPr>
      </w:pPr>
      <w:r w:rsidRPr="00467F9C">
        <w:rPr>
          <w:sz w:val="28"/>
          <w:szCs w:val="28"/>
        </w:rPr>
        <w:t xml:space="preserve">В отчетном периоде поступили </w:t>
      </w:r>
      <w:r w:rsidRPr="00467F9C">
        <w:rPr>
          <w:b/>
          <w:sz w:val="28"/>
          <w:szCs w:val="28"/>
        </w:rPr>
        <w:t>дотации</w:t>
      </w:r>
      <w:r w:rsidRPr="00467F9C">
        <w:rPr>
          <w:sz w:val="28"/>
          <w:szCs w:val="28"/>
        </w:rPr>
        <w:t xml:space="preserve"> в объеме 13 664 599,4 тыс. рублей, в том числе: дотации на выравнивание бюджетной обеспеченности – 12 782 544,1 тыс. рублей, на обеспечение сбалансированности бюджетов – 500 000,0 тыс. рублей, на частичную компенсацию дополнительных расходов на повышение оплаты труда работников бюджетной сферы и иные цели – 175 749,0 тыс. рублей, за достижение показателей деятельности органов исполнительной власти субъектов Российской Федерации – 199 603,8 тыс. рублей, на финансовое обеспечение мероприятий по борьбе с новой </w:t>
      </w:r>
      <w:proofErr w:type="spellStart"/>
      <w:r w:rsidRPr="00467F9C">
        <w:rPr>
          <w:sz w:val="28"/>
          <w:szCs w:val="28"/>
        </w:rPr>
        <w:t>коронавирусной</w:t>
      </w:r>
      <w:proofErr w:type="spellEnd"/>
      <w:r w:rsidRPr="00467F9C">
        <w:rPr>
          <w:sz w:val="28"/>
          <w:szCs w:val="28"/>
        </w:rPr>
        <w:t xml:space="preserve"> инфекцией (COVID-19) – 6 702,5 тыс. рублей.</w:t>
      </w:r>
    </w:p>
    <w:p w:rsidR="009E26F4" w:rsidRPr="00467F9C" w:rsidRDefault="009E26F4" w:rsidP="00191861">
      <w:pPr>
        <w:ind w:firstLine="709"/>
        <w:jc w:val="both"/>
        <w:rPr>
          <w:sz w:val="28"/>
          <w:szCs w:val="28"/>
        </w:rPr>
      </w:pPr>
      <w:r w:rsidRPr="00467F9C">
        <w:rPr>
          <w:sz w:val="28"/>
          <w:szCs w:val="28"/>
        </w:rPr>
        <w:t>Не в полном объеме поступили из федерального бюджета:</w:t>
      </w:r>
    </w:p>
    <w:p w:rsidR="009E26F4" w:rsidRPr="00467F9C" w:rsidRDefault="009E26F4" w:rsidP="00C32325">
      <w:pPr>
        <w:pStyle w:val="affc"/>
      </w:pPr>
      <w:r w:rsidRPr="00467F9C">
        <w:t xml:space="preserve">- субсидии бюджетам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(на 2 921,9 тыс. рублей ниже плановых назначений), на создание центров цифрового образования детей (на 6 547,8 тыс. рублей ниже плановых </w:t>
      </w:r>
      <w:r w:rsidRPr="00467F9C">
        <w:lastRenderedPageBreak/>
        <w:t xml:space="preserve">назначений); на создание новых мест в общеобразовательных организациях, расположенных в сельской местности и поселках городского типа (на 44 095,4 тыс. рублей ниже плановых назначений);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(на 198 285,9 тыс. рублей ниже плановых назначений);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(на 9 179,7 тыс. рублей ниже плановых назначений); на </w:t>
      </w:r>
      <w:proofErr w:type="spellStart"/>
      <w:r w:rsidRPr="00467F9C">
        <w:t>софинансирование</w:t>
      </w:r>
      <w:proofErr w:type="spellEnd"/>
      <w:r w:rsidRPr="00467F9C">
        <w:t xml:space="preserve"> расходных обязательств субъектов Российской Федерации, возникающих при реализации региональных программ модернизации первичного звена здравоохранения (на 5 378,8 тыс. рублей ниже плановых назначений); на 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 (на 3 251,4 тыс. рублей ниже плановых назначений);</w:t>
      </w:r>
    </w:p>
    <w:p w:rsidR="009E26F4" w:rsidRPr="00467F9C" w:rsidRDefault="009E26F4" w:rsidP="00C32325">
      <w:pPr>
        <w:pStyle w:val="affc"/>
      </w:pPr>
      <w:r w:rsidRPr="00467F9C">
        <w:t>- иные межбюджетные трансферты (на 6 417,5 тыс. рублей ниже плановых назначений).</w:t>
      </w:r>
    </w:p>
    <w:p w:rsidR="009E26F4" w:rsidRPr="00467F9C" w:rsidRDefault="009E26F4" w:rsidP="00C32325">
      <w:pPr>
        <w:pStyle w:val="affc"/>
        <w:rPr>
          <w:rFonts w:eastAsia="DejaVu Sans"/>
          <w:kern w:val="1"/>
          <w:lang w:eastAsia="ar-SA"/>
        </w:rPr>
      </w:pPr>
      <w:r w:rsidRPr="00467F9C">
        <w:rPr>
          <w:rFonts w:eastAsia="DejaVu Sans"/>
          <w:b/>
          <w:kern w:val="1"/>
          <w:lang w:eastAsia="ar-SA"/>
        </w:rPr>
        <w:t xml:space="preserve">Безвозмездные поступления </w:t>
      </w:r>
      <w:r w:rsidRPr="00467F9C">
        <w:rPr>
          <w:rFonts w:eastAsia="DejaVu Sans"/>
          <w:kern w:val="1"/>
          <w:lang w:eastAsia="ar-SA"/>
        </w:rPr>
        <w:t>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составили 185 426,2 тыс. рублей или 100% утвержденных показателей.</w:t>
      </w:r>
    </w:p>
    <w:p w:rsidR="009E26F4" w:rsidRPr="00467F9C" w:rsidRDefault="009E26F4" w:rsidP="00C32325">
      <w:pPr>
        <w:pStyle w:val="affc"/>
        <w:rPr>
          <w:rFonts w:eastAsia="DejaVu Sans"/>
          <w:kern w:val="1"/>
          <w:lang w:eastAsia="ar-SA"/>
        </w:rPr>
      </w:pPr>
      <w:r w:rsidRPr="00467F9C">
        <w:rPr>
          <w:rFonts w:eastAsia="DejaVu Sans"/>
          <w:b/>
          <w:kern w:val="1"/>
          <w:lang w:eastAsia="ar-SA"/>
        </w:rPr>
        <w:t>Прочие безвозмездные поступления</w:t>
      </w:r>
      <w:r w:rsidRPr="00467F9C">
        <w:rPr>
          <w:rFonts w:eastAsia="DejaVu Sans"/>
          <w:kern w:val="1"/>
          <w:lang w:eastAsia="ar-SA"/>
        </w:rPr>
        <w:t xml:space="preserve"> составили 8 444 369,9 тыс. рублей –целевые взносы ПАО «Федеральная гидрогенерирующая компания – РусГидро», в соответствии с Распоряжением Правительства Российской Федерации от 31 декабря 2019 года №3259-р, в связи с доведением цен (тарифов) на электрическую энергию (мощность) до базовых уровней. </w:t>
      </w:r>
    </w:p>
    <w:p w:rsidR="009E26F4" w:rsidRPr="00467F9C" w:rsidRDefault="009E26F4" w:rsidP="00C32325">
      <w:pPr>
        <w:pStyle w:val="affc"/>
      </w:pPr>
      <w:r w:rsidRPr="00467F9C">
        <w:rPr>
          <w:b/>
        </w:rPr>
        <w:t>Доходы окружного бюджета от возврата остатков</w:t>
      </w:r>
      <w:r w:rsidRPr="00467F9C">
        <w:t xml:space="preserve"> целевых средств (субвенций, субсидий и иных межбюджетных трансфертов) составили 315 995,4 тыс. рублей или 120,1% плана.</w:t>
      </w:r>
    </w:p>
    <w:p w:rsidR="009E26F4" w:rsidRPr="00467F9C" w:rsidRDefault="009E26F4" w:rsidP="00C32325">
      <w:pPr>
        <w:pStyle w:val="affc"/>
      </w:pPr>
      <w:r w:rsidRPr="00467F9C">
        <w:rPr>
          <w:rFonts w:eastAsia="MS Mincho"/>
          <w:b/>
          <w:i/>
        </w:rPr>
        <w:t xml:space="preserve">Из окружного бюджета произведен </w:t>
      </w:r>
      <w:r w:rsidRPr="00467F9C">
        <w:rPr>
          <w:rFonts w:eastAsia="MS Mincho"/>
          <w:i/>
        </w:rPr>
        <w:t>возврат остатков межбюджетных трансфертов</w:t>
      </w:r>
      <w:r w:rsidRPr="00467F9C">
        <w:rPr>
          <w:rFonts w:eastAsia="MS Mincho"/>
          <w:b/>
          <w:i/>
        </w:rPr>
        <w:t xml:space="preserve">, полученных в форме субвенций, субсидий и иных межбюджетных трансфертов, имеющих целевое назначение, не использованных в отчетном финансовом году, </w:t>
      </w:r>
      <w:r w:rsidRPr="00467F9C">
        <w:rPr>
          <w:b/>
          <w:i/>
        </w:rPr>
        <w:t>в сумме 8 383,0 тыс. рублей.</w:t>
      </w:r>
    </w:p>
    <w:p w:rsidR="009E26F4" w:rsidRPr="00467F9C" w:rsidRDefault="009E26F4" w:rsidP="00191861">
      <w:pPr>
        <w:pStyle w:val="Default"/>
        <w:spacing w:before="240" w:after="120"/>
        <w:jc w:val="center"/>
        <w:rPr>
          <w:b/>
          <w:color w:val="auto"/>
          <w:sz w:val="28"/>
          <w:szCs w:val="28"/>
        </w:rPr>
      </w:pPr>
      <w:r w:rsidRPr="00467F9C">
        <w:rPr>
          <w:b/>
          <w:color w:val="auto"/>
          <w:sz w:val="28"/>
          <w:szCs w:val="28"/>
        </w:rPr>
        <w:t>5. Исполнение окружного бюджета по расходам</w:t>
      </w:r>
    </w:p>
    <w:p w:rsidR="009E26F4" w:rsidRPr="00467F9C" w:rsidRDefault="009E26F4" w:rsidP="00191861">
      <w:pPr>
        <w:tabs>
          <w:tab w:val="left" w:pos="284"/>
        </w:tabs>
        <w:suppressAutoHyphens/>
        <w:ind w:firstLine="709"/>
        <w:jc w:val="both"/>
        <w:rPr>
          <w:sz w:val="28"/>
          <w:szCs w:val="28"/>
        </w:rPr>
      </w:pPr>
      <w:r w:rsidRPr="00467F9C">
        <w:rPr>
          <w:sz w:val="28"/>
          <w:szCs w:val="20"/>
        </w:rPr>
        <w:t xml:space="preserve">В </w:t>
      </w:r>
      <w:r w:rsidRPr="00467F9C">
        <w:rPr>
          <w:sz w:val="28"/>
          <w:szCs w:val="28"/>
        </w:rPr>
        <w:t>2021 году окружной бюджет по расходам исполнен в объеме 54 604 715,7 тыс. рублей, или 97,2% утвержденных сводной бюджетной росписью ассигнований</w:t>
      </w:r>
      <w:r w:rsidRPr="00467F9C">
        <w:rPr>
          <w:rStyle w:val="ab"/>
          <w:sz w:val="28"/>
          <w:szCs w:val="28"/>
        </w:rPr>
        <w:footnoteReference w:id="59"/>
      </w:r>
      <w:r w:rsidRPr="00467F9C">
        <w:rPr>
          <w:sz w:val="28"/>
          <w:szCs w:val="28"/>
        </w:rPr>
        <w:t xml:space="preserve">. </w:t>
      </w:r>
    </w:p>
    <w:p w:rsidR="009E26F4" w:rsidRPr="00467F9C" w:rsidRDefault="009E26F4" w:rsidP="00191861">
      <w:pPr>
        <w:ind w:firstLine="709"/>
        <w:jc w:val="both"/>
        <w:rPr>
          <w:sz w:val="28"/>
          <w:szCs w:val="28"/>
        </w:rPr>
      </w:pPr>
      <w:r w:rsidRPr="00467F9C">
        <w:rPr>
          <w:sz w:val="28"/>
          <w:szCs w:val="28"/>
        </w:rPr>
        <w:lastRenderedPageBreak/>
        <w:t xml:space="preserve">Неисполненные назначения составили 1 546 628,2 тыс. рублей. Не выполнены бюджетные обязательства всеми администраторами бюджетных средств, что связано с осуществлением финансирования согласно заявленной потребности, экономией по результатам проведения закупок товаров, работ, услуг для обеспечения государственных нужд, переносом на следующий отчетный период реализации программных мероприятий, не распределением средств резервного фонда Правительства Чукотского автономного округа на непредвиденные расходы. </w:t>
      </w:r>
    </w:p>
    <w:p w:rsidR="009E26F4" w:rsidRPr="00467F9C" w:rsidRDefault="009E26F4" w:rsidP="00191861">
      <w:pPr>
        <w:pStyle w:val="af"/>
        <w:spacing w:before="240" w:after="120" w:line="240" w:lineRule="auto"/>
        <w:ind w:left="0"/>
        <w:jc w:val="center"/>
        <w:rPr>
          <w:rFonts w:ascii="Times New Roman" w:hAnsi="Times New Roman" w:cs="Times New Roman"/>
          <w:b/>
          <w:sz w:val="28"/>
          <w:szCs w:val="28"/>
        </w:rPr>
      </w:pPr>
      <w:r w:rsidRPr="00467F9C">
        <w:rPr>
          <w:rFonts w:ascii="Times New Roman" w:hAnsi="Times New Roman" w:cs="Times New Roman"/>
          <w:b/>
          <w:sz w:val="28"/>
          <w:szCs w:val="28"/>
        </w:rPr>
        <w:t xml:space="preserve">5.1. Исполнение окружного бюджета </w:t>
      </w:r>
      <w:r w:rsidRPr="00467F9C">
        <w:rPr>
          <w:rFonts w:ascii="Times New Roman" w:hAnsi="Times New Roman" w:cs="Times New Roman"/>
          <w:b/>
          <w:sz w:val="28"/>
          <w:szCs w:val="28"/>
        </w:rPr>
        <w:br/>
        <w:t>в разрезе разделов и подразделов классификации расходов бюджета</w:t>
      </w:r>
    </w:p>
    <w:p w:rsidR="009E26F4" w:rsidRPr="00467F9C" w:rsidRDefault="009E26F4" w:rsidP="00191861">
      <w:pPr>
        <w:autoSpaceDE w:val="0"/>
        <w:autoSpaceDN w:val="0"/>
        <w:adjustRightInd w:val="0"/>
        <w:ind w:firstLine="709"/>
        <w:jc w:val="both"/>
        <w:rPr>
          <w:sz w:val="28"/>
          <w:szCs w:val="28"/>
        </w:rPr>
      </w:pPr>
      <w:r w:rsidRPr="00467F9C">
        <w:rPr>
          <w:sz w:val="28"/>
          <w:szCs w:val="28"/>
        </w:rPr>
        <w:t>Информация об исполнении окружного бюджета в 2021 году по расходам в разрезе разделов функциональной классификации расходов бюджетов представлена в таблице №8.</w:t>
      </w:r>
    </w:p>
    <w:p w:rsidR="009E26F4" w:rsidRPr="00467F9C" w:rsidRDefault="009E26F4" w:rsidP="00191861">
      <w:pPr>
        <w:autoSpaceDE w:val="0"/>
        <w:autoSpaceDN w:val="0"/>
        <w:adjustRightInd w:val="0"/>
        <w:ind w:firstLine="709"/>
        <w:jc w:val="right"/>
        <w:rPr>
          <w:rFonts w:eastAsia="Calibri"/>
          <w:sz w:val="28"/>
          <w:szCs w:val="28"/>
        </w:rPr>
      </w:pPr>
      <w:r w:rsidRPr="00467F9C">
        <w:rPr>
          <w:rFonts w:eastAsia="Calibri"/>
          <w:sz w:val="28"/>
          <w:szCs w:val="28"/>
        </w:rPr>
        <w:t>Таблица №8</w:t>
      </w:r>
    </w:p>
    <w:p w:rsidR="009E26F4" w:rsidRPr="00467F9C" w:rsidRDefault="009E26F4" w:rsidP="00191861">
      <w:pPr>
        <w:autoSpaceDE w:val="0"/>
        <w:autoSpaceDN w:val="0"/>
        <w:adjustRightInd w:val="0"/>
        <w:ind w:firstLine="708"/>
        <w:jc w:val="right"/>
        <w:rPr>
          <w:rFonts w:eastAsia="Calibri"/>
          <w:sz w:val="28"/>
          <w:szCs w:val="28"/>
        </w:rPr>
      </w:pPr>
      <w:r w:rsidRPr="00467F9C">
        <w:rPr>
          <w:rFonts w:eastAsia="Calibri"/>
          <w:sz w:val="28"/>
          <w:szCs w:val="28"/>
        </w:rPr>
        <w:t>тыс. рублей</w:t>
      </w:r>
    </w:p>
    <w:tbl>
      <w:tblPr>
        <w:tblW w:w="9915" w:type="dxa"/>
        <w:tblLook w:val="04A0" w:firstRow="1" w:lastRow="0" w:firstColumn="1" w:lastColumn="0" w:noHBand="0" w:noVBand="1"/>
      </w:tblPr>
      <w:tblGrid>
        <w:gridCol w:w="3964"/>
        <w:gridCol w:w="1658"/>
        <w:gridCol w:w="1418"/>
        <w:gridCol w:w="1634"/>
        <w:gridCol w:w="1241"/>
      </w:tblGrid>
      <w:tr w:rsidR="009E26F4" w:rsidRPr="007278C9" w:rsidTr="008524D5">
        <w:trPr>
          <w:trHeight w:val="200"/>
          <w:tblHead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Наименование раздела</w:t>
            </w:r>
          </w:p>
        </w:tc>
        <w:tc>
          <w:tcPr>
            <w:tcW w:w="1658"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8524D5">
            <w:pPr>
              <w:ind w:left="-150" w:right="-114"/>
              <w:jc w:val="center"/>
              <w:rPr>
                <w:sz w:val="20"/>
                <w:szCs w:val="20"/>
              </w:rPr>
            </w:pPr>
            <w:r w:rsidRPr="007278C9">
              <w:rPr>
                <w:sz w:val="20"/>
                <w:szCs w:val="20"/>
              </w:rPr>
              <w:t>Утверждено (СБР)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Исполнено</w:t>
            </w:r>
          </w:p>
        </w:tc>
        <w:tc>
          <w:tcPr>
            <w:tcW w:w="1634"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Уровень исполнения, %</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Удельный вес, %</w:t>
            </w:r>
          </w:p>
        </w:tc>
      </w:tr>
      <w:tr w:rsidR="009E26F4" w:rsidRPr="007278C9" w:rsidTr="008524D5">
        <w:trPr>
          <w:trHeight w:val="56"/>
          <w:tblHeader/>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1</w:t>
            </w:r>
          </w:p>
        </w:tc>
        <w:tc>
          <w:tcPr>
            <w:tcW w:w="16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2</w:t>
            </w:r>
          </w:p>
        </w:tc>
        <w:tc>
          <w:tcPr>
            <w:tcW w:w="141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3</w:t>
            </w:r>
          </w:p>
        </w:tc>
        <w:tc>
          <w:tcPr>
            <w:tcW w:w="163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4</w:t>
            </w:r>
          </w:p>
        </w:tc>
        <w:tc>
          <w:tcPr>
            <w:tcW w:w="12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5</w:t>
            </w:r>
          </w:p>
        </w:tc>
      </w:tr>
      <w:tr w:rsidR="009E26F4" w:rsidRPr="007278C9" w:rsidTr="008524D5">
        <w:trPr>
          <w:trHeight w:val="56"/>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b/>
                <w:sz w:val="20"/>
                <w:szCs w:val="20"/>
              </w:rPr>
            </w:pPr>
            <w:r w:rsidRPr="007278C9">
              <w:rPr>
                <w:b/>
                <w:sz w:val="20"/>
                <w:szCs w:val="20"/>
              </w:rPr>
              <w:t>Расходы бюджета – всего</w:t>
            </w:r>
          </w:p>
        </w:tc>
        <w:tc>
          <w:tcPr>
            <w:tcW w:w="16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b/>
                <w:sz w:val="20"/>
                <w:szCs w:val="20"/>
              </w:rPr>
            </w:pPr>
            <w:r w:rsidRPr="007278C9">
              <w:rPr>
                <w:b/>
                <w:sz w:val="20"/>
                <w:szCs w:val="20"/>
              </w:rPr>
              <w:t>56 151 343,9</w:t>
            </w:r>
          </w:p>
        </w:tc>
        <w:tc>
          <w:tcPr>
            <w:tcW w:w="141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b/>
                <w:sz w:val="20"/>
                <w:szCs w:val="20"/>
              </w:rPr>
            </w:pPr>
            <w:r w:rsidRPr="007278C9">
              <w:rPr>
                <w:b/>
                <w:sz w:val="20"/>
                <w:szCs w:val="20"/>
              </w:rPr>
              <w:t>54 604 715,7</w:t>
            </w:r>
          </w:p>
        </w:tc>
        <w:tc>
          <w:tcPr>
            <w:tcW w:w="163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b/>
                <w:sz w:val="20"/>
                <w:szCs w:val="20"/>
              </w:rPr>
            </w:pPr>
            <w:r w:rsidRPr="007278C9">
              <w:rPr>
                <w:b/>
                <w:sz w:val="20"/>
                <w:szCs w:val="20"/>
              </w:rPr>
              <w:t>97,2</w:t>
            </w:r>
          </w:p>
        </w:tc>
        <w:tc>
          <w:tcPr>
            <w:tcW w:w="12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b/>
                <w:sz w:val="20"/>
                <w:szCs w:val="20"/>
              </w:rPr>
            </w:pPr>
            <w:r w:rsidRPr="007278C9">
              <w:rPr>
                <w:b/>
                <w:sz w:val="20"/>
                <w:szCs w:val="20"/>
              </w:rPr>
              <w:t>100,0</w:t>
            </w:r>
          </w:p>
        </w:tc>
      </w:tr>
      <w:tr w:rsidR="009E26F4" w:rsidRPr="007278C9" w:rsidTr="008524D5">
        <w:trPr>
          <w:trHeight w:val="56"/>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01 Общегосударственные вопросы</w:t>
            </w:r>
          </w:p>
        </w:tc>
        <w:tc>
          <w:tcPr>
            <w:tcW w:w="16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1 326 779,3</w:t>
            </w:r>
          </w:p>
        </w:tc>
        <w:tc>
          <w:tcPr>
            <w:tcW w:w="141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1 291 416,6</w:t>
            </w:r>
          </w:p>
        </w:tc>
        <w:tc>
          <w:tcPr>
            <w:tcW w:w="163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97,3</w:t>
            </w:r>
          </w:p>
        </w:tc>
        <w:tc>
          <w:tcPr>
            <w:tcW w:w="12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2,5</w:t>
            </w:r>
          </w:p>
        </w:tc>
      </w:tr>
      <w:tr w:rsidR="009E26F4" w:rsidRPr="007278C9" w:rsidTr="008524D5">
        <w:trPr>
          <w:trHeight w:val="56"/>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02 Национальная оборона</w:t>
            </w:r>
          </w:p>
        </w:tc>
        <w:tc>
          <w:tcPr>
            <w:tcW w:w="16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5 973,0</w:t>
            </w:r>
          </w:p>
        </w:tc>
        <w:tc>
          <w:tcPr>
            <w:tcW w:w="141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5 962,5</w:t>
            </w:r>
          </w:p>
        </w:tc>
        <w:tc>
          <w:tcPr>
            <w:tcW w:w="163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99,8</w:t>
            </w:r>
          </w:p>
        </w:tc>
        <w:tc>
          <w:tcPr>
            <w:tcW w:w="12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менее 0,1</w:t>
            </w:r>
          </w:p>
        </w:tc>
      </w:tr>
      <w:tr w:rsidR="009E26F4" w:rsidRPr="007278C9" w:rsidTr="008524D5">
        <w:trPr>
          <w:trHeight w:val="56"/>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03 Национальная безопасность и правоохранительная деятельность</w:t>
            </w:r>
          </w:p>
        </w:tc>
        <w:tc>
          <w:tcPr>
            <w:tcW w:w="16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519 610,5</w:t>
            </w:r>
          </w:p>
        </w:tc>
        <w:tc>
          <w:tcPr>
            <w:tcW w:w="141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505 566,0</w:t>
            </w:r>
          </w:p>
        </w:tc>
        <w:tc>
          <w:tcPr>
            <w:tcW w:w="163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97,3</w:t>
            </w:r>
          </w:p>
        </w:tc>
        <w:tc>
          <w:tcPr>
            <w:tcW w:w="12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0,9</w:t>
            </w:r>
          </w:p>
        </w:tc>
      </w:tr>
      <w:tr w:rsidR="009E26F4" w:rsidRPr="007278C9" w:rsidTr="008524D5">
        <w:trPr>
          <w:trHeight w:val="56"/>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04 Национальная экономика</w:t>
            </w:r>
          </w:p>
        </w:tc>
        <w:tc>
          <w:tcPr>
            <w:tcW w:w="16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11 958 217,6</w:t>
            </w:r>
          </w:p>
        </w:tc>
        <w:tc>
          <w:tcPr>
            <w:tcW w:w="141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11 763 103,3</w:t>
            </w:r>
          </w:p>
        </w:tc>
        <w:tc>
          <w:tcPr>
            <w:tcW w:w="163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98,4</w:t>
            </w:r>
          </w:p>
        </w:tc>
        <w:tc>
          <w:tcPr>
            <w:tcW w:w="12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21,6</w:t>
            </w:r>
          </w:p>
        </w:tc>
      </w:tr>
      <w:tr w:rsidR="009E26F4" w:rsidRPr="007278C9" w:rsidTr="008524D5">
        <w:trPr>
          <w:trHeight w:val="56"/>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05 Жилищно-коммунальное хозяйство</w:t>
            </w:r>
          </w:p>
        </w:tc>
        <w:tc>
          <w:tcPr>
            <w:tcW w:w="16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20 445 971,0</w:t>
            </w:r>
          </w:p>
        </w:tc>
        <w:tc>
          <w:tcPr>
            <w:tcW w:w="141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19 887 659,5</w:t>
            </w:r>
          </w:p>
        </w:tc>
        <w:tc>
          <w:tcPr>
            <w:tcW w:w="163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97,3</w:t>
            </w:r>
          </w:p>
        </w:tc>
        <w:tc>
          <w:tcPr>
            <w:tcW w:w="12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36,4</w:t>
            </w:r>
          </w:p>
        </w:tc>
      </w:tr>
      <w:tr w:rsidR="009E26F4" w:rsidRPr="007278C9" w:rsidTr="008524D5">
        <w:trPr>
          <w:trHeight w:val="56"/>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06 Охрана окружающей среды</w:t>
            </w:r>
          </w:p>
        </w:tc>
        <w:tc>
          <w:tcPr>
            <w:tcW w:w="16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134 470,6</w:t>
            </w:r>
          </w:p>
        </w:tc>
        <w:tc>
          <w:tcPr>
            <w:tcW w:w="141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128 380,9</w:t>
            </w:r>
          </w:p>
        </w:tc>
        <w:tc>
          <w:tcPr>
            <w:tcW w:w="163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95,5</w:t>
            </w:r>
          </w:p>
        </w:tc>
        <w:tc>
          <w:tcPr>
            <w:tcW w:w="12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0,2</w:t>
            </w:r>
          </w:p>
        </w:tc>
      </w:tr>
      <w:tr w:rsidR="009E26F4" w:rsidRPr="007278C9" w:rsidTr="008524D5">
        <w:trPr>
          <w:trHeight w:val="56"/>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07 Образование</w:t>
            </w:r>
          </w:p>
        </w:tc>
        <w:tc>
          <w:tcPr>
            <w:tcW w:w="16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7 383 028,8</w:t>
            </w:r>
          </w:p>
        </w:tc>
        <w:tc>
          <w:tcPr>
            <w:tcW w:w="141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6 902 097,5</w:t>
            </w:r>
          </w:p>
        </w:tc>
        <w:tc>
          <w:tcPr>
            <w:tcW w:w="163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93,5</w:t>
            </w:r>
          </w:p>
        </w:tc>
        <w:tc>
          <w:tcPr>
            <w:tcW w:w="12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12,6</w:t>
            </w:r>
          </w:p>
        </w:tc>
      </w:tr>
      <w:tr w:rsidR="009E26F4" w:rsidRPr="007278C9" w:rsidTr="008524D5">
        <w:trPr>
          <w:trHeight w:val="56"/>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08 Культура, кинематография</w:t>
            </w:r>
          </w:p>
        </w:tc>
        <w:tc>
          <w:tcPr>
            <w:tcW w:w="16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731 583,4</w:t>
            </w:r>
          </w:p>
        </w:tc>
        <w:tc>
          <w:tcPr>
            <w:tcW w:w="141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710 991,9</w:t>
            </w:r>
          </w:p>
        </w:tc>
        <w:tc>
          <w:tcPr>
            <w:tcW w:w="163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97,2</w:t>
            </w:r>
          </w:p>
        </w:tc>
        <w:tc>
          <w:tcPr>
            <w:tcW w:w="12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1,3</w:t>
            </w:r>
          </w:p>
        </w:tc>
      </w:tr>
      <w:tr w:rsidR="009E26F4" w:rsidRPr="007278C9" w:rsidTr="008524D5">
        <w:trPr>
          <w:trHeight w:val="56"/>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09 Здравоохранение</w:t>
            </w:r>
          </w:p>
        </w:tc>
        <w:tc>
          <w:tcPr>
            <w:tcW w:w="16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3 823 931,6</w:t>
            </w:r>
          </w:p>
        </w:tc>
        <w:tc>
          <w:tcPr>
            <w:tcW w:w="141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3 739 960,6</w:t>
            </w:r>
          </w:p>
        </w:tc>
        <w:tc>
          <w:tcPr>
            <w:tcW w:w="163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97,8</w:t>
            </w:r>
          </w:p>
        </w:tc>
        <w:tc>
          <w:tcPr>
            <w:tcW w:w="12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6,8</w:t>
            </w:r>
          </w:p>
        </w:tc>
      </w:tr>
      <w:tr w:rsidR="009E26F4" w:rsidRPr="007278C9" w:rsidTr="008524D5">
        <w:trPr>
          <w:trHeight w:val="56"/>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10 Социальная политика</w:t>
            </w:r>
          </w:p>
        </w:tc>
        <w:tc>
          <w:tcPr>
            <w:tcW w:w="16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3 305 020,3</w:t>
            </w:r>
          </w:p>
        </w:tc>
        <w:tc>
          <w:tcPr>
            <w:tcW w:w="141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3 191 639,8</w:t>
            </w:r>
          </w:p>
        </w:tc>
        <w:tc>
          <w:tcPr>
            <w:tcW w:w="163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96,6</w:t>
            </w:r>
          </w:p>
        </w:tc>
        <w:tc>
          <w:tcPr>
            <w:tcW w:w="12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5,9</w:t>
            </w:r>
          </w:p>
        </w:tc>
      </w:tr>
      <w:tr w:rsidR="009E26F4" w:rsidRPr="007278C9" w:rsidTr="008524D5">
        <w:trPr>
          <w:trHeight w:val="56"/>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11 Физическая культура и спорт</w:t>
            </w:r>
          </w:p>
        </w:tc>
        <w:tc>
          <w:tcPr>
            <w:tcW w:w="16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184 414,1</w:t>
            </w:r>
          </w:p>
        </w:tc>
        <w:tc>
          <w:tcPr>
            <w:tcW w:w="141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169 091,8</w:t>
            </w:r>
          </w:p>
        </w:tc>
        <w:tc>
          <w:tcPr>
            <w:tcW w:w="163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91,7</w:t>
            </w:r>
          </w:p>
        </w:tc>
        <w:tc>
          <w:tcPr>
            <w:tcW w:w="12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0,3</w:t>
            </w:r>
          </w:p>
        </w:tc>
      </w:tr>
      <w:tr w:rsidR="009E26F4" w:rsidRPr="007278C9" w:rsidTr="008524D5">
        <w:trPr>
          <w:trHeight w:val="56"/>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12 Средства массовой информации</w:t>
            </w:r>
          </w:p>
        </w:tc>
        <w:tc>
          <w:tcPr>
            <w:tcW w:w="16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181 596,5</w:t>
            </w:r>
          </w:p>
        </w:tc>
        <w:tc>
          <w:tcPr>
            <w:tcW w:w="141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181 596,5</w:t>
            </w:r>
          </w:p>
        </w:tc>
        <w:tc>
          <w:tcPr>
            <w:tcW w:w="163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100,0</w:t>
            </w:r>
          </w:p>
        </w:tc>
        <w:tc>
          <w:tcPr>
            <w:tcW w:w="12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0,3</w:t>
            </w:r>
          </w:p>
        </w:tc>
      </w:tr>
      <w:tr w:rsidR="009E26F4" w:rsidRPr="007278C9" w:rsidTr="008524D5">
        <w:trPr>
          <w:trHeight w:val="56"/>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13 Обслуживание государственного долга</w:t>
            </w:r>
          </w:p>
        </w:tc>
        <w:tc>
          <w:tcPr>
            <w:tcW w:w="16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8 359,8</w:t>
            </w:r>
          </w:p>
        </w:tc>
        <w:tc>
          <w:tcPr>
            <w:tcW w:w="141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8 359,7</w:t>
            </w:r>
          </w:p>
        </w:tc>
        <w:tc>
          <w:tcPr>
            <w:tcW w:w="163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99,9</w:t>
            </w:r>
          </w:p>
        </w:tc>
        <w:tc>
          <w:tcPr>
            <w:tcW w:w="12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менее 0,1</w:t>
            </w:r>
          </w:p>
        </w:tc>
      </w:tr>
      <w:tr w:rsidR="009E26F4" w:rsidRPr="007278C9" w:rsidTr="008524D5">
        <w:trPr>
          <w:trHeight w:val="56"/>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E26F4" w:rsidRDefault="009E26F4" w:rsidP="00191861">
            <w:pPr>
              <w:rPr>
                <w:sz w:val="20"/>
                <w:szCs w:val="20"/>
              </w:rPr>
            </w:pPr>
            <w:r w:rsidRPr="007278C9">
              <w:rPr>
                <w:sz w:val="20"/>
                <w:szCs w:val="20"/>
              </w:rPr>
              <w:t>14 Межбюджетные трансферты общего характера бюджетам муниципальных образований</w:t>
            </w:r>
          </w:p>
          <w:p w:rsidR="00C32325" w:rsidRPr="00C32325" w:rsidRDefault="00C32325" w:rsidP="00191861">
            <w:pPr>
              <w:rPr>
                <w:sz w:val="4"/>
                <w:szCs w:val="4"/>
              </w:rPr>
            </w:pPr>
          </w:p>
          <w:p w:rsidR="007278C9" w:rsidRPr="007278C9" w:rsidRDefault="007278C9" w:rsidP="00191861">
            <w:pPr>
              <w:rPr>
                <w:sz w:val="4"/>
                <w:szCs w:val="4"/>
              </w:rPr>
            </w:pPr>
          </w:p>
        </w:tc>
        <w:tc>
          <w:tcPr>
            <w:tcW w:w="16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6 142 387,4</w:t>
            </w:r>
          </w:p>
        </w:tc>
        <w:tc>
          <w:tcPr>
            <w:tcW w:w="141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6 118 889,1</w:t>
            </w:r>
          </w:p>
        </w:tc>
        <w:tc>
          <w:tcPr>
            <w:tcW w:w="163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99,6</w:t>
            </w:r>
          </w:p>
        </w:tc>
        <w:tc>
          <w:tcPr>
            <w:tcW w:w="12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11,2</w:t>
            </w:r>
          </w:p>
        </w:tc>
      </w:tr>
    </w:tbl>
    <w:p w:rsidR="009E26F4" w:rsidRPr="00467F9C" w:rsidRDefault="009E26F4" w:rsidP="00191861">
      <w:pPr>
        <w:autoSpaceDE w:val="0"/>
        <w:autoSpaceDN w:val="0"/>
        <w:adjustRightInd w:val="0"/>
        <w:spacing w:before="120"/>
        <w:ind w:firstLine="709"/>
        <w:jc w:val="both"/>
        <w:rPr>
          <w:sz w:val="28"/>
          <w:szCs w:val="28"/>
        </w:rPr>
      </w:pPr>
      <w:r w:rsidRPr="00467F9C">
        <w:rPr>
          <w:sz w:val="28"/>
          <w:szCs w:val="28"/>
        </w:rPr>
        <w:t xml:space="preserve">В 2021 году основную долю в структуре расходов окружного бюджета составляют расходы по разделам </w:t>
      </w:r>
      <w:r w:rsidRPr="00467F9C">
        <w:rPr>
          <w:b/>
          <w:bCs/>
          <w:sz w:val="28"/>
          <w:szCs w:val="28"/>
        </w:rPr>
        <w:t>«</w:t>
      </w:r>
      <w:r w:rsidRPr="00467F9C">
        <w:rPr>
          <w:sz w:val="28"/>
          <w:szCs w:val="28"/>
        </w:rPr>
        <w:t>Жилищно-коммунальное хозяйство</w:t>
      </w:r>
      <w:r w:rsidRPr="00467F9C">
        <w:rPr>
          <w:b/>
          <w:bCs/>
          <w:sz w:val="28"/>
          <w:szCs w:val="28"/>
        </w:rPr>
        <w:t xml:space="preserve">» </w:t>
      </w:r>
      <w:r w:rsidRPr="00467F9C">
        <w:rPr>
          <w:sz w:val="28"/>
          <w:szCs w:val="28"/>
        </w:rPr>
        <w:t xml:space="preserve">(36,4%), «Национальная экономика» (21,6%), «Образование» (12,6%), «Межбюджетные трансферты общего характера» (11,2%) и «Здравоохранение» (6,8%). </w:t>
      </w:r>
    </w:p>
    <w:p w:rsidR="009E26F4" w:rsidRPr="00467F9C" w:rsidRDefault="009E26F4" w:rsidP="00191861">
      <w:pPr>
        <w:autoSpaceDE w:val="0"/>
        <w:autoSpaceDN w:val="0"/>
        <w:adjustRightInd w:val="0"/>
        <w:ind w:firstLine="709"/>
        <w:jc w:val="both"/>
        <w:rPr>
          <w:sz w:val="28"/>
          <w:szCs w:val="28"/>
        </w:rPr>
      </w:pPr>
      <w:r w:rsidRPr="00467F9C">
        <w:rPr>
          <w:sz w:val="28"/>
          <w:szCs w:val="28"/>
        </w:rPr>
        <w:t xml:space="preserve">Основная часть ассигнований, сгруппированных по разделам бюджетной классификации расходов, исполнена более чем на 90% плановых показателей. </w:t>
      </w:r>
    </w:p>
    <w:p w:rsidR="009E26F4" w:rsidRPr="00467F9C" w:rsidRDefault="009E26F4" w:rsidP="00191861">
      <w:pPr>
        <w:ind w:firstLine="709"/>
        <w:jc w:val="both"/>
        <w:rPr>
          <w:sz w:val="28"/>
          <w:szCs w:val="28"/>
        </w:rPr>
      </w:pPr>
      <w:r w:rsidRPr="00467F9C">
        <w:rPr>
          <w:sz w:val="28"/>
          <w:szCs w:val="28"/>
        </w:rPr>
        <w:t xml:space="preserve">Исполнение окружного бюджета по расходам в разрезе разделов и подразделов классификации расходов бюджета за 2021 год отражено в приложении №4 к настоящему Заключению. </w:t>
      </w:r>
    </w:p>
    <w:p w:rsidR="009E26F4" w:rsidRPr="00467F9C" w:rsidRDefault="009E26F4" w:rsidP="00191861">
      <w:pPr>
        <w:pStyle w:val="Default"/>
        <w:spacing w:before="240" w:after="120"/>
        <w:jc w:val="center"/>
        <w:rPr>
          <w:b/>
          <w:color w:val="auto"/>
          <w:sz w:val="28"/>
          <w:szCs w:val="28"/>
        </w:rPr>
      </w:pPr>
      <w:r w:rsidRPr="00467F9C">
        <w:rPr>
          <w:b/>
          <w:color w:val="auto"/>
          <w:sz w:val="28"/>
          <w:szCs w:val="28"/>
        </w:rPr>
        <w:t>5.2. Исполнение окружного бюджета в разрезе ведомственной структуры расходов окружного бюджета</w:t>
      </w:r>
    </w:p>
    <w:p w:rsidR="009E26F4" w:rsidRPr="00467F9C" w:rsidRDefault="009E26F4" w:rsidP="00191861">
      <w:pPr>
        <w:tabs>
          <w:tab w:val="left" w:pos="284"/>
        </w:tabs>
        <w:suppressAutoHyphens/>
        <w:ind w:firstLine="709"/>
        <w:jc w:val="both"/>
        <w:rPr>
          <w:sz w:val="28"/>
          <w:szCs w:val="20"/>
        </w:rPr>
      </w:pPr>
      <w:r w:rsidRPr="00467F9C">
        <w:rPr>
          <w:sz w:val="28"/>
          <w:szCs w:val="20"/>
        </w:rPr>
        <w:lastRenderedPageBreak/>
        <w:t>В соответствии с ведомственной структурой расходов окружного бюджета на 2021 год бюджетные назначения предусмотрены 16 главным распорядителям средств окружного бюджета.</w:t>
      </w:r>
    </w:p>
    <w:p w:rsidR="009E26F4" w:rsidRPr="00467F9C" w:rsidRDefault="009E26F4" w:rsidP="00191861">
      <w:pPr>
        <w:ind w:firstLine="709"/>
        <w:jc w:val="both"/>
        <w:rPr>
          <w:sz w:val="28"/>
          <w:szCs w:val="28"/>
        </w:rPr>
      </w:pPr>
      <w:r w:rsidRPr="00467F9C">
        <w:rPr>
          <w:sz w:val="28"/>
          <w:szCs w:val="28"/>
        </w:rPr>
        <w:t>Сведения об исполнении бюджетных назначений по расходам в 2021 году в разрезе ведомственной структуры представлены в таблице №9.</w:t>
      </w:r>
    </w:p>
    <w:p w:rsidR="009E26F4" w:rsidRPr="00467F9C" w:rsidRDefault="009E26F4" w:rsidP="00191861">
      <w:pPr>
        <w:ind w:firstLine="709"/>
        <w:jc w:val="right"/>
        <w:rPr>
          <w:sz w:val="28"/>
          <w:szCs w:val="28"/>
        </w:rPr>
      </w:pPr>
      <w:r w:rsidRPr="00467F9C">
        <w:rPr>
          <w:sz w:val="28"/>
          <w:szCs w:val="28"/>
        </w:rPr>
        <w:t>Таблица №9</w:t>
      </w:r>
    </w:p>
    <w:p w:rsidR="009E26F4" w:rsidRPr="00467F9C" w:rsidRDefault="009E26F4" w:rsidP="00191861">
      <w:pPr>
        <w:ind w:firstLine="709"/>
        <w:jc w:val="right"/>
        <w:rPr>
          <w:sz w:val="28"/>
          <w:szCs w:val="28"/>
        </w:rPr>
      </w:pPr>
      <w:r w:rsidRPr="00467F9C">
        <w:rPr>
          <w:sz w:val="28"/>
          <w:szCs w:val="28"/>
        </w:rPr>
        <w:t>(тыс. рублей)</w:t>
      </w:r>
    </w:p>
    <w:tbl>
      <w:tblPr>
        <w:tblW w:w="10314" w:type="dxa"/>
        <w:tblInd w:w="-147" w:type="dxa"/>
        <w:tblLayout w:type="fixed"/>
        <w:tblLook w:val="04A0" w:firstRow="1" w:lastRow="0" w:firstColumn="1" w:lastColumn="0" w:noHBand="0" w:noVBand="1"/>
      </w:tblPr>
      <w:tblGrid>
        <w:gridCol w:w="4105"/>
        <w:gridCol w:w="1352"/>
        <w:gridCol w:w="1274"/>
        <w:gridCol w:w="1248"/>
        <w:gridCol w:w="1377"/>
        <w:gridCol w:w="958"/>
      </w:tblGrid>
      <w:tr w:rsidR="009E26F4" w:rsidRPr="007278C9" w:rsidTr="009E26F4">
        <w:trPr>
          <w:trHeight w:val="572"/>
          <w:tblHeader/>
        </w:trPr>
        <w:tc>
          <w:tcPr>
            <w:tcW w:w="4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bookmarkStart w:id="29" w:name="_Hlk39500286"/>
            <w:r w:rsidRPr="007278C9">
              <w:rPr>
                <w:sz w:val="20"/>
                <w:szCs w:val="20"/>
              </w:rPr>
              <w:t xml:space="preserve">Наименование </w:t>
            </w:r>
            <w:r w:rsidRPr="007278C9">
              <w:rPr>
                <w:sz w:val="20"/>
                <w:szCs w:val="20"/>
              </w:rPr>
              <w:br/>
              <w:t>главного распорядителя бюджетных средств</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Утверждено (СБР)</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Исполнено</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191861">
            <w:pPr>
              <w:ind w:left="-104" w:right="-109"/>
              <w:jc w:val="center"/>
              <w:rPr>
                <w:sz w:val="20"/>
                <w:szCs w:val="20"/>
              </w:rPr>
            </w:pPr>
            <w:r w:rsidRPr="007278C9">
              <w:rPr>
                <w:sz w:val="20"/>
                <w:szCs w:val="20"/>
              </w:rPr>
              <w:t>Отклонение (гр.3-гр.2)</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191861">
            <w:pPr>
              <w:ind w:left="-121" w:right="-99"/>
              <w:jc w:val="center"/>
              <w:rPr>
                <w:sz w:val="20"/>
                <w:szCs w:val="20"/>
              </w:rPr>
            </w:pPr>
            <w:r w:rsidRPr="007278C9">
              <w:rPr>
                <w:sz w:val="20"/>
                <w:szCs w:val="20"/>
              </w:rPr>
              <w:t>Уровень исполнения, %</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191861">
            <w:pPr>
              <w:ind w:left="-124" w:right="-111"/>
              <w:jc w:val="center"/>
              <w:rPr>
                <w:sz w:val="20"/>
                <w:szCs w:val="20"/>
              </w:rPr>
            </w:pPr>
            <w:r w:rsidRPr="007278C9">
              <w:rPr>
                <w:sz w:val="20"/>
                <w:szCs w:val="20"/>
              </w:rPr>
              <w:t>Удельный вес, %</w:t>
            </w:r>
          </w:p>
        </w:tc>
      </w:tr>
      <w:tr w:rsidR="009E26F4" w:rsidRPr="007278C9" w:rsidTr="009E26F4">
        <w:trPr>
          <w:trHeight w:val="42"/>
          <w:tblHeader/>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1</w:t>
            </w:r>
          </w:p>
        </w:tc>
        <w:tc>
          <w:tcPr>
            <w:tcW w:w="135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2</w:t>
            </w:r>
          </w:p>
        </w:tc>
        <w:tc>
          <w:tcPr>
            <w:tcW w:w="127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3</w:t>
            </w:r>
          </w:p>
        </w:tc>
        <w:tc>
          <w:tcPr>
            <w:tcW w:w="124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4</w:t>
            </w:r>
          </w:p>
        </w:tc>
        <w:tc>
          <w:tcPr>
            <w:tcW w:w="13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5</w:t>
            </w:r>
          </w:p>
        </w:tc>
        <w:tc>
          <w:tcPr>
            <w:tcW w:w="9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6</w:t>
            </w:r>
          </w:p>
        </w:tc>
      </w:tr>
      <w:tr w:rsidR="009E26F4" w:rsidRPr="007278C9" w:rsidTr="009E26F4">
        <w:trPr>
          <w:trHeight w:val="4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b/>
                <w:sz w:val="20"/>
                <w:szCs w:val="20"/>
              </w:rPr>
            </w:pPr>
            <w:r w:rsidRPr="007278C9">
              <w:rPr>
                <w:b/>
                <w:sz w:val="20"/>
                <w:szCs w:val="20"/>
              </w:rPr>
              <w:t xml:space="preserve">Расходы бюджета – всего </w:t>
            </w:r>
          </w:p>
        </w:tc>
        <w:tc>
          <w:tcPr>
            <w:tcW w:w="135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b/>
                <w:sz w:val="20"/>
                <w:szCs w:val="20"/>
              </w:rPr>
            </w:pPr>
            <w:r w:rsidRPr="007278C9">
              <w:rPr>
                <w:b/>
                <w:sz w:val="20"/>
                <w:szCs w:val="20"/>
              </w:rPr>
              <w:t>56 151 343,9</w:t>
            </w:r>
          </w:p>
        </w:tc>
        <w:tc>
          <w:tcPr>
            <w:tcW w:w="127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b/>
                <w:sz w:val="20"/>
                <w:szCs w:val="20"/>
              </w:rPr>
            </w:pPr>
            <w:r w:rsidRPr="007278C9">
              <w:rPr>
                <w:b/>
                <w:sz w:val="20"/>
                <w:szCs w:val="20"/>
              </w:rPr>
              <w:t>54 604 715,7</w:t>
            </w:r>
          </w:p>
        </w:tc>
        <w:tc>
          <w:tcPr>
            <w:tcW w:w="124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b/>
                <w:sz w:val="20"/>
                <w:szCs w:val="20"/>
              </w:rPr>
            </w:pPr>
            <w:r w:rsidRPr="007278C9">
              <w:rPr>
                <w:b/>
                <w:sz w:val="20"/>
                <w:szCs w:val="20"/>
              </w:rPr>
              <w:t>-1 546 628,2</w:t>
            </w:r>
          </w:p>
        </w:tc>
        <w:tc>
          <w:tcPr>
            <w:tcW w:w="13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b/>
                <w:sz w:val="20"/>
                <w:szCs w:val="20"/>
              </w:rPr>
            </w:pPr>
            <w:r w:rsidRPr="007278C9">
              <w:rPr>
                <w:b/>
                <w:sz w:val="20"/>
                <w:szCs w:val="20"/>
              </w:rPr>
              <w:t>97,2</w:t>
            </w:r>
          </w:p>
        </w:tc>
        <w:tc>
          <w:tcPr>
            <w:tcW w:w="9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b/>
                <w:sz w:val="20"/>
                <w:szCs w:val="20"/>
              </w:rPr>
            </w:pPr>
            <w:r w:rsidRPr="007278C9">
              <w:rPr>
                <w:b/>
                <w:sz w:val="20"/>
                <w:szCs w:val="20"/>
              </w:rPr>
              <w:t>100,0</w:t>
            </w:r>
          </w:p>
        </w:tc>
      </w:tr>
      <w:tr w:rsidR="009E26F4" w:rsidRPr="007278C9" w:rsidTr="009E26F4">
        <w:trPr>
          <w:trHeight w:val="4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902 Департамент промышленной политики Чукотского автономного округа</w:t>
            </w:r>
          </w:p>
        </w:tc>
        <w:tc>
          <w:tcPr>
            <w:tcW w:w="135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29 158 466,5</w:t>
            </w:r>
          </w:p>
        </w:tc>
        <w:tc>
          <w:tcPr>
            <w:tcW w:w="127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28 169 960,7</w:t>
            </w:r>
          </w:p>
        </w:tc>
        <w:tc>
          <w:tcPr>
            <w:tcW w:w="124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-988 505,8</w:t>
            </w:r>
          </w:p>
        </w:tc>
        <w:tc>
          <w:tcPr>
            <w:tcW w:w="13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96,6</w:t>
            </w:r>
          </w:p>
        </w:tc>
        <w:tc>
          <w:tcPr>
            <w:tcW w:w="9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51,6</w:t>
            </w:r>
          </w:p>
        </w:tc>
      </w:tr>
      <w:tr w:rsidR="009E26F4" w:rsidRPr="007278C9" w:rsidTr="009E26F4">
        <w:trPr>
          <w:trHeight w:val="4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903 Департамент социальной политики Чукотского автономного округа</w:t>
            </w:r>
          </w:p>
        </w:tc>
        <w:tc>
          <w:tcPr>
            <w:tcW w:w="135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2 818 880,8</w:t>
            </w:r>
          </w:p>
        </w:tc>
        <w:tc>
          <w:tcPr>
            <w:tcW w:w="127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2 764 619,0</w:t>
            </w:r>
          </w:p>
        </w:tc>
        <w:tc>
          <w:tcPr>
            <w:tcW w:w="124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-54 261,8</w:t>
            </w:r>
          </w:p>
        </w:tc>
        <w:tc>
          <w:tcPr>
            <w:tcW w:w="13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98,1</w:t>
            </w:r>
          </w:p>
        </w:tc>
        <w:tc>
          <w:tcPr>
            <w:tcW w:w="9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5,1</w:t>
            </w:r>
          </w:p>
        </w:tc>
      </w:tr>
      <w:tr w:rsidR="009E26F4" w:rsidRPr="007278C9" w:rsidTr="009E26F4">
        <w:trPr>
          <w:trHeight w:val="4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905 Департамент финансов, экономики и имущественных отношений Чукотского автономного округа</w:t>
            </w:r>
          </w:p>
        </w:tc>
        <w:tc>
          <w:tcPr>
            <w:tcW w:w="135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6 796 699,4</w:t>
            </w:r>
          </w:p>
        </w:tc>
        <w:tc>
          <w:tcPr>
            <w:tcW w:w="127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6 763 400,6</w:t>
            </w:r>
          </w:p>
        </w:tc>
        <w:tc>
          <w:tcPr>
            <w:tcW w:w="124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-33 298,8</w:t>
            </w:r>
          </w:p>
        </w:tc>
        <w:tc>
          <w:tcPr>
            <w:tcW w:w="13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99,5</w:t>
            </w:r>
          </w:p>
        </w:tc>
        <w:tc>
          <w:tcPr>
            <w:tcW w:w="9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12,2</w:t>
            </w:r>
          </w:p>
        </w:tc>
      </w:tr>
      <w:tr w:rsidR="009E26F4" w:rsidRPr="007278C9" w:rsidTr="009E26F4">
        <w:trPr>
          <w:trHeight w:val="4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906 Департамент сельского хозяйства Чукотского автономного округа</w:t>
            </w:r>
          </w:p>
        </w:tc>
        <w:tc>
          <w:tcPr>
            <w:tcW w:w="135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3 154 004,1</w:t>
            </w:r>
          </w:p>
        </w:tc>
        <w:tc>
          <w:tcPr>
            <w:tcW w:w="127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3 142 891,5</w:t>
            </w:r>
          </w:p>
        </w:tc>
        <w:tc>
          <w:tcPr>
            <w:tcW w:w="124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-11 112,6</w:t>
            </w:r>
          </w:p>
        </w:tc>
        <w:tc>
          <w:tcPr>
            <w:tcW w:w="13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99,6</w:t>
            </w:r>
          </w:p>
        </w:tc>
        <w:tc>
          <w:tcPr>
            <w:tcW w:w="9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5,8</w:t>
            </w:r>
          </w:p>
        </w:tc>
      </w:tr>
      <w:tr w:rsidR="009E26F4" w:rsidRPr="007278C9" w:rsidTr="009E26F4">
        <w:trPr>
          <w:trHeight w:val="25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908 Государственное казенное учреждение «Управление гражданской защиты и противопожарной службы Чукотского автономного округа»</w:t>
            </w:r>
          </w:p>
        </w:tc>
        <w:tc>
          <w:tcPr>
            <w:tcW w:w="135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486 669,3</w:t>
            </w:r>
          </w:p>
        </w:tc>
        <w:tc>
          <w:tcPr>
            <w:tcW w:w="127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472 873,8</w:t>
            </w:r>
          </w:p>
        </w:tc>
        <w:tc>
          <w:tcPr>
            <w:tcW w:w="124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-13 795,5</w:t>
            </w:r>
          </w:p>
        </w:tc>
        <w:tc>
          <w:tcPr>
            <w:tcW w:w="13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97,2</w:t>
            </w:r>
          </w:p>
        </w:tc>
        <w:tc>
          <w:tcPr>
            <w:tcW w:w="9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0,9</w:t>
            </w:r>
          </w:p>
        </w:tc>
      </w:tr>
      <w:tr w:rsidR="009E26F4" w:rsidRPr="007278C9" w:rsidTr="009E26F4">
        <w:trPr>
          <w:trHeight w:val="96"/>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909 Департамент здравоохранения Чукотского автономного округа</w:t>
            </w:r>
          </w:p>
        </w:tc>
        <w:tc>
          <w:tcPr>
            <w:tcW w:w="135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4 222 308,3</w:t>
            </w:r>
          </w:p>
        </w:tc>
        <w:tc>
          <w:tcPr>
            <w:tcW w:w="127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4 180 764,3</w:t>
            </w:r>
          </w:p>
        </w:tc>
        <w:tc>
          <w:tcPr>
            <w:tcW w:w="124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-41 544,0</w:t>
            </w:r>
          </w:p>
        </w:tc>
        <w:tc>
          <w:tcPr>
            <w:tcW w:w="13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99,0</w:t>
            </w:r>
          </w:p>
        </w:tc>
        <w:tc>
          <w:tcPr>
            <w:tcW w:w="9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7,7</w:t>
            </w:r>
          </w:p>
        </w:tc>
      </w:tr>
      <w:tr w:rsidR="009E26F4" w:rsidRPr="007278C9" w:rsidTr="009E26F4">
        <w:trPr>
          <w:trHeight w:val="46"/>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910 Аппарат Губернатора и Правительства Чукотского автономного округа</w:t>
            </w:r>
          </w:p>
        </w:tc>
        <w:tc>
          <w:tcPr>
            <w:tcW w:w="135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792 419,0</w:t>
            </w:r>
          </w:p>
        </w:tc>
        <w:tc>
          <w:tcPr>
            <w:tcW w:w="127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779 593,5</w:t>
            </w:r>
          </w:p>
        </w:tc>
        <w:tc>
          <w:tcPr>
            <w:tcW w:w="124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-12 825,5</w:t>
            </w:r>
          </w:p>
        </w:tc>
        <w:tc>
          <w:tcPr>
            <w:tcW w:w="13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98,4</w:t>
            </w:r>
          </w:p>
        </w:tc>
        <w:tc>
          <w:tcPr>
            <w:tcW w:w="9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1,4</w:t>
            </w:r>
          </w:p>
        </w:tc>
      </w:tr>
      <w:tr w:rsidR="009E26F4" w:rsidRPr="007278C9" w:rsidTr="009E26F4">
        <w:trPr>
          <w:trHeight w:val="18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911 Счетная палата Чукотского автономного округа</w:t>
            </w:r>
          </w:p>
        </w:tc>
        <w:tc>
          <w:tcPr>
            <w:tcW w:w="135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84 946,9</w:t>
            </w:r>
          </w:p>
        </w:tc>
        <w:tc>
          <w:tcPr>
            <w:tcW w:w="127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83 391,9</w:t>
            </w:r>
          </w:p>
        </w:tc>
        <w:tc>
          <w:tcPr>
            <w:tcW w:w="124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bCs/>
                <w:sz w:val="20"/>
                <w:szCs w:val="20"/>
              </w:rPr>
              <w:t>-1 555,0</w:t>
            </w:r>
          </w:p>
        </w:tc>
        <w:tc>
          <w:tcPr>
            <w:tcW w:w="13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98,2</w:t>
            </w:r>
          </w:p>
        </w:tc>
        <w:tc>
          <w:tcPr>
            <w:tcW w:w="9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0,2</w:t>
            </w:r>
          </w:p>
        </w:tc>
      </w:tr>
      <w:tr w:rsidR="009E26F4" w:rsidRPr="007278C9" w:rsidTr="009E26F4">
        <w:trPr>
          <w:trHeight w:val="4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912 Комитет государственного регулирования цен и тарифов Чукотского автономного округа</w:t>
            </w:r>
          </w:p>
        </w:tc>
        <w:tc>
          <w:tcPr>
            <w:tcW w:w="135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35 626,1</w:t>
            </w:r>
          </w:p>
        </w:tc>
        <w:tc>
          <w:tcPr>
            <w:tcW w:w="127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35 179,8</w:t>
            </w:r>
          </w:p>
        </w:tc>
        <w:tc>
          <w:tcPr>
            <w:tcW w:w="124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bCs/>
                <w:sz w:val="20"/>
                <w:szCs w:val="20"/>
              </w:rPr>
              <w:t>-446,3</w:t>
            </w:r>
          </w:p>
        </w:tc>
        <w:tc>
          <w:tcPr>
            <w:tcW w:w="13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98,7</w:t>
            </w:r>
          </w:p>
        </w:tc>
        <w:tc>
          <w:tcPr>
            <w:tcW w:w="9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0,1</w:t>
            </w:r>
          </w:p>
        </w:tc>
      </w:tr>
      <w:tr w:rsidR="009E26F4" w:rsidRPr="007278C9" w:rsidTr="009E26F4">
        <w:trPr>
          <w:trHeight w:val="4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913 Избирательная комиссия Чукотского автономного округа</w:t>
            </w:r>
          </w:p>
        </w:tc>
        <w:tc>
          <w:tcPr>
            <w:tcW w:w="135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86 986,1</w:t>
            </w:r>
          </w:p>
        </w:tc>
        <w:tc>
          <w:tcPr>
            <w:tcW w:w="127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86 044,1</w:t>
            </w:r>
          </w:p>
        </w:tc>
        <w:tc>
          <w:tcPr>
            <w:tcW w:w="124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bCs/>
                <w:sz w:val="20"/>
                <w:szCs w:val="20"/>
              </w:rPr>
              <w:t>-942,0</w:t>
            </w:r>
          </w:p>
        </w:tc>
        <w:tc>
          <w:tcPr>
            <w:tcW w:w="13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98,9</w:t>
            </w:r>
          </w:p>
        </w:tc>
        <w:tc>
          <w:tcPr>
            <w:tcW w:w="9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0,2</w:t>
            </w:r>
          </w:p>
        </w:tc>
      </w:tr>
      <w:tr w:rsidR="009E26F4" w:rsidRPr="007278C9" w:rsidTr="009E26F4">
        <w:trPr>
          <w:trHeight w:val="4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915 Дума Чукотского автономного округа</w:t>
            </w:r>
          </w:p>
        </w:tc>
        <w:tc>
          <w:tcPr>
            <w:tcW w:w="135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168 850,0</w:t>
            </w:r>
          </w:p>
        </w:tc>
        <w:tc>
          <w:tcPr>
            <w:tcW w:w="127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165 929,9</w:t>
            </w:r>
          </w:p>
        </w:tc>
        <w:tc>
          <w:tcPr>
            <w:tcW w:w="124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bCs/>
                <w:sz w:val="20"/>
                <w:szCs w:val="20"/>
              </w:rPr>
              <w:t>-2 920,1</w:t>
            </w:r>
          </w:p>
        </w:tc>
        <w:tc>
          <w:tcPr>
            <w:tcW w:w="13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98,3</w:t>
            </w:r>
          </w:p>
        </w:tc>
        <w:tc>
          <w:tcPr>
            <w:tcW w:w="9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0,3</w:t>
            </w:r>
          </w:p>
        </w:tc>
      </w:tr>
      <w:tr w:rsidR="009E26F4" w:rsidRPr="007278C9" w:rsidTr="009E26F4">
        <w:trPr>
          <w:trHeight w:val="4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916 Департамент природных ресурсов и экологии Чукотского автономного округа</w:t>
            </w:r>
          </w:p>
        </w:tc>
        <w:tc>
          <w:tcPr>
            <w:tcW w:w="135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591 177,2</w:t>
            </w:r>
          </w:p>
        </w:tc>
        <w:tc>
          <w:tcPr>
            <w:tcW w:w="127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571 487,3</w:t>
            </w:r>
          </w:p>
        </w:tc>
        <w:tc>
          <w:tcPr>
            <w:tcW w:w="124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bCs/>
                <w:sz w:val="20"/>
                <w:szCs w:val="20"/>
              </w:rPr>
              <w:t>-19 689,9</w:t>
            </w:r>
          </w:p>
        </w:tc>
        <w:tc>
          <w:tcPr>
            <w:tcW w:w="13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96,7</w:t>
            </w:r>
          </w:p>
        </w:tc>
        <w:tc>
          <w:tcPr>
            <w:tcW w:w="9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1,0</w:t>
            </w:r>
          </w:p>
        </w:tc>
      </w:tr>
      <w:tr w:rsidR="009E26F4" w:rsidRPr="007278C9" w:rsidTr="009E26F4">
        <w:trPr>
          <w:trHeight w:val="4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917 Департамент культуры, спорта и туризма Чукотского автономного округа</w:t>
            </w:r>
          </w:p>
        </w:tc>
        <w:tc>
          <w:tcPr>
            <w:tcW w:w="135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 xml:space="preserve">  849 261,6</w:t>
            </w:r>
          </w:p>
        </w:tc>
        <w:tc>
          <w:tcPr>
            <w:tcW w:w="127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831 148,6</w:t>
            </w:r>
          </w:p>
        </w:tc>
        <w:tc>
          <w:tcPr>
            <w:tcW w:w="124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bCs/>
                <w:sz w:val="20"/>
                <w:szCs w:val="20"/>
              </w:rPr>
              <w:t>-18 113,0</w:t>
            </w:r>
          </w:p>
        </w:tc>
        <w:tc>
          <w:tcPr>
            <w:tcW w:w="13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97,9</w:t>
            </w:r>
          </w:p>
        </w:tc>
        <w:tc>
          <w:tcPr>
            <w:tcW w:w="9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1,5</w:t>
            </w:r>
          </w:p>
        </w:tc>
      </w:tr>
      <w:tr w:rsidR="009E26F4" w:rsidRPr="007278C9" w:rsidTr="009E26F4">
        <w:trPr>
          <w:trHeight w:val="4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918 Департамент образования и науки Чукотского автономного округа</w:t>
            </w:r>
          </w:p>
        </w:tc>
        <w:tc>
          <w:tcPr>
            <w:tcW w:w="135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6 789 495,6</w:t>
            </w:r>
          </w:p>
        </w:tc>
        <w:tc>
          <w:tcPr>
            <w:tcW w:w="127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6 452 133,9</w:t>
            </w:r>
          </w:p>
        </w:tc>
        <w:tc>
          <w:tcPr>
            <w:tcW w:w="124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bCs/>
                <w:sz w:val="20"/>
                <w:szCs w:val="20"/>
              </w:rPr>
              <w:t>-337 361,7</w:t>
            </w:r>
          </w:p>
        </w:tc>
        <w:tc>
          <w:tcPr>
            <w:tcW w:w="13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95,0</w:t>
            </w:r>
          </w:p>
        </w:tc>
        <w:tc>
          <w:tcPr>
            <w:tcW w:w="9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11,7</w:t>
            </w:r>
          </w:p>
        </w:tc>
      </w:tr>
      <w:tr w:rsidR="009E26F4" w:rsidRPr="007278C9" w:rsidTr="009E26F4">
        <w:trPr>
          <w:trHeight w:val="4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autoSpaceDE w:val="0"/>
              <w:autoSpaceDN w:val="0"/>
              <w:adjustRightInd w:val="0"/>
              <w:jc w:val="both"/>
              <w:rPr>
                <w:sz w:val="20"/>
                <w:szCs w:val="20"/>
              </w:rPr>
            </w:pPr>
            <w:r w:rsidRPr="007278C9">
              <w:rPr>
                <w:sz w:val="20"/>
                <w:szCs w:val="20"/>
              </w:rPr>
              <w:t>919 Управление по обеспечению деятельности мировых судей и юридических консультаций Чукотского автономного округа</w:t>
            </w:r>
          </w:p>
        </w:tc>
        <w:tc>
          <w:tcPr>
            <w:tcW w:w="135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96 201,1</w:t>
            </w:r>
          </w:p>
        </w:tc>
        <w:tc>
          <w:tcPr>
            <w:tcW w:w="127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86 104,1</w:t>
            </w:r>
          </w:p>
        </w:tc>
        <w:tc>
          <w:tcPr>
            <w:tcW w:w="124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bCs/>
                <w:sz w:val="20"/>
                <w:szCs w:val="20"/>
              </w:rPr>
              <w:t>-10 097,0</w:t>
            </w:r>
          </w:p>
        </w:tc>
        <w:tc>
          <w:tcPr>
            <w:tcW w:w="13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89,5</w:t>
            </w:r>
          </w:p>
        </w:tc>
        <w:tc>
          <w:tcPr>
            <w:tcW w:w="9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0,2</w:t>
            </w:r>
          </w:p>
        </w:tc>
      </w:tr>
      <w:tr w:rsidR="009E26F4" w:rsidRPr="007278C9" w:rsidTr="009E26F4">
        <w:trPr>
          <w:trHeight w:val="42"/>
        </w:trPr>
        <w:tc>
          <w:tcPr>
            <w:tcW w:w="4105"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920 Комитет по охране объектов культурного наследия Чукотского автономного округа</w:t>
            </w:r>
          </w:p>
        </w:tc>
        <w:tc>
          <w:tcPr>
            <w:tcW w:w="135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19 351,9</w:t>
            </w:r>
          </w:p>
        </w:tc>
        <w:tc>
          <w:tcPr>
            <w:tcW w:w="1274"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19 192,7</w:t>
            </w:r>
          </w:p>
        </w:tc>
        <w:tc>
          <w:tcPr>
            <w:tcW w:w="124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bCs/>
                <w:sz w:val="20"/>
                <w:szCs w:val="20"/>
              </w:rPr>
              <w:t>-159,2</w:t>
            </w:r>
          </w:p>
        </w:tc>
        <w:tc>
          <w:tcPr>
            <w:tcW w:w="13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99,2</w:t>
            </w:r>
          </w:p>
        </w:tc>
        <w:tc>
          <w:tcPr>
            <w:tcW w:w="95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0,1</w:t>
            </w:r>
          </w:p>
        </w:tc>
      </w:tr>
    </w:tbl>
    <w:p w:rsidR="009E26F4" w:rsidRPr="00467F9C" w:rsidRDefault="009E26F4" w:rsidP="00191861">
      <w:pPr>
        <w:autoSpaceDE w:val="0"/>
        <w:autoSpaceDN w:val="0"/>
        <w:adjustRightInd w:val="0"/>
        <w:spacing w:before="120"/>
        <w:ind w:firstLine="709"/>
        <w:jc w:val="both"/>
        <w:rPr>
          <w:sz w:val="28"/>
          <w:szCs w:val="28"/>
        </w:rPr>
      </w:pPr>
      <w:r w:rsidRPr="00467F9C">
        <w:rPr>
          <w:sz w:val="28"/>
          <w:szCs w:val="28"/>
        </w:rPr>
        <w:t>Основную долю окружного бюджета занимают расходы четырех главных распорядителей: Департамента промышленной политики</w:t>
      </w:r>
      <w:r w:rsidRPr="00467F9C">
        <w:rPr>
          <w:rStyle w:val="ab"/>
          <w:sz w:val="28"/>
          <w:szCs w:val="28"/>
        </w:rPr>
        <w:footnoteReference w:id="60"/>
      </w:r>
      <w:r w:rsidRPr="00467F9C">
        <w:rPr>
          <w:sz w:val="28"/>
          <w:szCs w:val="28"/>
        </w:rPr>
        <w:t xml:space="preserve">(51,6%), Департамента </w:t>
      </w:r>
      <w:r w:rsidRPr="00467F9C">
        <w:rPr>
          <w:sz w:val="28"/>
          <w:szCs w:val="28"/>
        </w:rPr>
        <w:lastRenderedPageBreak/>
        <w:t>финансов</w:t>
      </w:r>
      <w:r w:rsidRPr="00467F9C">
        <w:rPr>
          <w:rStyle w:val="ab"/>
          <w:sz w:val="28"/>
          <w:szCs w:val="28"/>
        </w:rPr>
        <w:footnoteReference w:id="61"/>
      </w:r>
      <w:r w:rsidRPr="00467F9C">
        <w:rPr>
          <w:sz w:val="28"/>
          <w:szCs w:val="28"/>
        </w:rPr>
        <w:t>(12,2%), Департамента образования</w:t>
      </w:r>
      <w:r w:rsidRPr="00467F9C">
        <w:rPr>
          <w:rStyle w:val="ab"/>
          <w:sz w:val="28"/>
          <w:szCs w:val="28"/>
        </w:rPr>
        <w:footnoteReference w:id="62"/>
      </w:r>
      <w:r w:rsidRPr="00467F9C">
        <w:rPr>
          <w:sz w:val="28"/>
          <w:szCs w:val="28"/>
        </w:rPr>
        <w:t xml:space="preserve"> (11,7%) и Департамента здравоохранения</w:t>
      </w:r>
      <w:r w:rsidRPr="00467F9C">
        <w:rPr>
          <w:rStyle w:val="ab"/>
          <w:sz w:val="28"/>
          <w:szCs w:val="28"/>
        </w:rPr>
        <w:footnoteReference w:id="63"/>
      </w:r>
      <w:r w:rsidRPr="00467F9C">
        <w:rPr>
          <w:sz w:val="28"/>
          <w:szCs w:val="28"/>
        </w:rPr>
        <w:t xml:space="preserve"> (7,7%). </w:t>
      </w:r>
    </w:p>
    <w:p w:rsidR="009E26F4" w:rsidRPr="00467F9C" w:rsidRDefault="009E26F4" w:rsidP="00191861">
      <w:pPr>
        <w:autoSpaceDE w:val="0"/>
        <w:autoSpaceDN w:val="0"/>
        <w:adjustRightInd w:val="0"/>
        <w:ind w:firstLine="709"/>
        <w:jc w:val="both"/>
        <w:rPr>
          <w:sz w:val="28"/>
          <w:szCs w:val="28"/>
        </w:rPr>
      </w:pPr>
      <w:r w:rsidRPr="00467F9C">
        <w:rPr>
          <w:sz w:val="28"/>
          <w:szCs w:val="28"/>
        </w:rPr>
        <w:t>Удельный вес в общем объеме расходов окружного бюджета остальных главных распорядителей составляет менее 17%.</w:t>
      </w:r>
    </w:p>
    <w:p w:rsidR="009E26F4" w:rsidRPr="00467F9C" w:rsidRDefault="009E26F4" w:rsidP="00191861">
      <w:pPr>
        <w:autoSpaceDE w:val="0"/>
        <w:autoSpaceDN w:val="0"/>
        <w:adjustRightInd w:val="0"/>
        <w:spacing w:before="120"/>
        <w:ind w:firstLine="709"/>
        <w:jc w:val="both"/>
        <w:rPr>
          <w:sz w:val="28"/>
          <w:szCs w:val="28"/>
        </w:rPr>
      </w:pPr>
      <w:r w:rsidRPr="00467F9C">
        <w:rPr>
          <w:sz w:val="28"/>
          <w:szCs w:val="28"/>
        </w:rPr>
        <w:t>По результатам проверки бюджетной отчетности главных администраторов средств окружного бюджета за 2021 год установлено 199 процедурных нарушений, не имеющих финансовой оценки, и 65 нарушений, финансовая оценка которых составила 18 618,2 тыс. рублей.</w:t>
      </w:r>
    </w:p>
    <w:p w:rsidR="009E26F4" w:rsidRPr="00467F9C" w:rsidRDefault="009E26F4" w:rsidP="00191861">
      <w:pPr>
        <w:autoSpaceDE w:val="0"/>
        <w:autoSpaceDN w:val="0"/>
        <w:adjustRightInd w:val="0"/>
        <w:ind w:firstLine="709"/>
        <w:jc w:val="both"/>
        <w:rPr>
          <w:sz w:val="28"/>
          <w:szCs w:val="28"/>
        </w:rPr>
      </w:pPr>
      <w:r w:rsidRPr="00467F9C">
        <w:rPr>
          <w:bCs/>
          <w:sz w:val="28"/>
          <w:szCs w:val="28"/>
        </w:rPr>
        <w:t>Наибольшее количество нарушений выявлено в части исполнения окружного бюджета (115</w:t>
      </w:r>
      <w:r w:rsidRPr="00467F9C">
        <w:rPr>
          <w:sz w:val="28"/>
          <w:szCs w:val="28"/>
        </w:rPr>
        <w:t xml:space="preserve"> процедурных нарушений, не имеющих финансовой оценки, и 37 нарушений, финансовая оценка которых составила 15 269,3 тыс. рублей), из них:</w:t>
      </w:r>
    </w:p>
    <w:p w:rsidR="009E26F4" w:rsidRPr="00467F9C" w:rsidRDefault="009E26F4" w:rsidP="00191861">
      <w:pPr>
        <w:autoSpaceDE w:val="0"/>
        <w:autoSpaceDN w:val="0"/>
        <w:adjustRightInd w:val="0"/>
        <w:ind w:firstLine="709"/>
        <w:jc w:val="both"/>
        <w:rPr>
          <w:sz w:val="28"/>
          <w:szCs w:val="28"/>
        </w:rPr>
      </w:pPr>
      <w:r w:rsidRPr="00467F9C">
        <w:rPr>
          <w:bCs/>
          <w:sz w:val="28"/>
          <w:szCs w:val="28"/>
        </w:rPr>
        <w:t xml:space="preserve">- нарушение порядка и условий предоставления субсидий государственным бюджетным и автономным учреждениям на иные цели (101) – </w:t>
      </w:r>
      <w:r w:rsidRPr="00467F9C">
        <w:rPr>
          <w:sz w:val="28"/>
          <w:szCs w:val="28"/>
        </w:rPr>
        <w:t>Департамент здравоохранения (36), Департамент образования (65);</w:t>
      </w:r>
    </w:p>
    <w:p w:rsidR="009E26F4" w:rsidRPr="00467F9C" w:rsidRDefault="009E26F4" w:rsidP="00191861">
      <w:pPr>
        <w:autoSpaceDE w:val="0"/>
        <w:autoSpaceDN w:val="0"/>
        <w:adjustRightInd w:val="0"/>
        <w:ind w:firstLine="709"/>
        <w:jc w:val="both"/>
        <w:rPr>
          <w:sz w:val="28"/>
          <w:szCs w:val="28"/>
        </w:rPr>
      </w:pPr>
      <w:r w:rsidRPr="00467F9C">
        <w:rPr>
          <w:bCs/>
          <w:sz w:val="28"/>
          <w:szCs w:val="28"/>
        </w:rPr>
        <w:t xml:space="preserve">- ненадлежащее осуществление бюджетных полномочий главного администратора доходов окружного бюджета (27), из них: </w:t>
      </w:r>
      <w:r w:rsidRPr="00467F9C">
        <w:rPr>
          <w:sz w:val="28"/>
          <w:szCs w:val="28"/>
        </w:rPr>
        <w:t>Департамент здравоохранения (8), Избирательная комиссия</w:t>
      </w:r>
      <w:r w:rsidRPr="00467F9C">
        <w:rPr>
          <w:rStyle w:val="ab"/>
          <w:sz w:val="28"/>
          <w:szCs w:val="28"/>
        </w:rPr>
        <w:footnoteReference w:id="64"/>
      </w:r>
      <w:r w:rsidRPr="00467F9C">
        <w:rPr>
          <w:sz w:val="28"/>
          <w:szCs w:val="28"/>
        </w:rPr>
        <w:t xml:space="preserve"> (6), Департамент образования (3);</w:t>
      </w:r>
    </w:p>
    <w:p w:rsidR="009E26F4" w:rsidRPr="00467F9C" w:rsidRDefault="009E26F4" w:rsidP="00191861">
      <w:pPr>
        <w:autoSpaceDE w:val="0"/>
        <w:autoSpaceDN w:val="0"/>
        <w:adjustRightInd w:val="0"/>
        <w:ind w:firstLine="709"/>
        <w:jc w:val="both"/>
        <w:rPr>
          <w:sz w:val="28"/>
          <w:szCs w:val="28"/>
        </w:rPr>
      </w:pPr>
      <w:r w:rsidRPr="00467F9C">
        <w:rPr>
          <w:bCs/>
          <w:sz w:val="28"/>
          <w:szCs w:val="28"/>
        </w:rPr>
        <w:t xml:space="preserve">- нарушение порядка и условий предоставления субсидий иным некоммерческим организациям, не являющимся государственными (муниципальными) учреждениями (13) – </w:t>
      </w:r>
      <w:r w:rsidRPr="00467F9C">
        <w:rPr>
          <w:sz w:val="28"/>
          <w:szCs w:val="28"/>
        </w:rPr>
        <w:t>Департамент социальной политики (8), Департамент природных ресурсов</w:t>
      </w:r>
      <w:r w:rsidRPr="00467F9C">
        <w:rPr>
          <w:rStyle w:val="ab"/>
          <w:sz w:val="28"/>
          <w:szCs w:val="28"/>
        </w:rPr>
        <w:footnoteReference w:id="65"/>
      </w:r>
      <w:r w:rsidRPr="00467F9C">
        <w:rPr>
          <w:sz w:val="28"/>
          <w:szCs w:val="28"/>
        </w:rPr>
        <w:t xml:space="preserve"> (2), Управление по обеспечению деятельности мировых судей</w:t>
      </w:r>
      <w:r w:rsidRPr="00467F9C">
        <w:rPr>
          <w:rStyle w:val="ab"/>
          <w:sz w:val="28"/>
          <w:szCs w:val="28"/>
        </w:rPr>
        <w:footnoteReference w:id="66"/>
      </w:r>
      <w:r w:rsidRPr="00467F9C">
        <w:rPr>
          <w:sz w:val="28"/>
          <w:szCs w:val="28"/>
        </w:rPr>
        <w:t>(3).</w:t>
      </w:r>
    </w:p>
    <w:p w:rsidR="009E26F4" w:rsidRPr="00467F9C" w:rsidRDefault="009E26F4" w:rsidP="00191861">
      <w:pPr>
        <w:autoSpaceDE w:val="0"/>
        <w:autoSpaceDN w:val="0"/>
        <w:adjustRightInd w:val="0"/>
        <w:ind w:firstLine="709"/>
        <w:jc w:val="both"/>
        <w:rPr>
          <w:sz w:val="28"/>
          <w:szCs w:val="28"/>
        </w:rPr>
      </w:pPr>
      <w:r w:rsidRPr="00467F9C">
        <w:rPr>
          <w:sz w:val="28"/>
          <w:szCs w:val="28"/>
        </w:rPr>
        <w:t>Кроме того, главными распорядителями средств окружного бюджета допускались нарушения единых требований к бюджетному (бухгалтерскому) учету, в том числе бюджетной, бухгалтерской (финансовой) отчетности (84 процедурных нарушений, не имеющих финансовой оценки, и 28 нарушений, финансовая оценка которых составила 3 348,0 тыс. рублей), из них:</w:t>
      </w:r>
    </w:p>
    <w:p w:rsidR="009E26F4" w:rsidRPr="00467F9C" w:rsidRDefault="009E26F4" w:rsidP="00191861">
      <w:pPr>
        <w:autoSpaceDE w:val="0"/>
        <w:autoSpaceDN w:val="0"/>
        <w:adjustRightInd w:val="0"/>
        <w:ind w:firstLine="709"/>
        <w:jc w:val="both"/>
        <w:rPr>
          <w:sz w:val="28"/>
          <w:szCs w:val="28"/>
        </w:rPr>
      </w:pPr>
      <w:r w:rsidRPr="00467F9C">
        <w:rPr>
          <w:sz w:val="28"/>
          <w:szCs w:val="28"/>
        </w:rPr>
        <w:t>- нарушение общих требований к бюджетной, бухгалтерской (финансовой) отчетности экономического субъекта, в том числе к ее составу (36) – Департамент здравоохранения (30), Департамент природных ресурсов (6);</w:t>
      </w:r>
    </w:p>
    <w:p w:rsidR="009E26F4" w:rsidRPr="00467F9C" w:rsidRDefault="009E26F4" w:rsidP="00191861">
      <w:pPr>
        <w:autoSpaceDE w:val="0"/>
        <w:autoSpaceDN w:val="0"/>
        <w:adjustRightInd w:val="0"/>
        <w:ind w:firstLine="709"/>
        <w:jc w:val="both"/>
        <w:rPr>
          <w:sz w:val="28"/>
          <w:szCs w:val="28"/>
        </w:rPr>
      </w:pPr>
      <w:r w:rsidRPr="00467F9C">
        <w:rPr>
          <w:sz w:val="28"/>
          <w:szCs w:val="28"/>
        </w:rPr>
        <w:t>- нарушение требований, предъявляемых к организации и осуществлению внутреннего контроля фактов хозяйственной жизни экономического субъекта (32) – Департамент промышленной политики</w:t>
      </w:r>
      <w:r w:rsidRPr="00467F9C">
        <w:rPr>
          <w:bCs/>
          <w:sz w:val="28"/>
          <w:szCs w:val="28"/>
        </w:rPr>
        <w:t xml:space="preserve"> (13), </w:t>
      </w:r>
      <w:r w:rsidRPr="00467F9C">
        <w:rPr>
          <w:sz w:val="28"/>
          <w:szCs w:val="28"/>
        </w:rPr>
        <w:t>Департамент социальной политики (1), Департамент финансов</w:t>
      </w:r>
      <w:r w:rsidRPr="00467F9C">
        <w:rPr>
          <w:rStyle w:val="ab"/>
          <w:sz w:val="28"/>
          <w:szCs w:val="28"/>
        </w:rPr>
        <w:footnoteReference w:id="67"/>
      </w:r>
      <w:r w:rsidRPr="00467F9C">
        <w:rPr>
          <w:sz w:val="28"/>
          <w:szCs w:val="28"/>
        </w:rPr>
        <w:t xml:space="preserve"> (3), Департамент сельского хозяйства</w:t>
      </w:r>
      <w:r w:rsidRPr="00467F9C">
        <w:rPr>
          <w:rStyle w:val="ab"/>
          <w:sz w:val="28"/>
          <w:szCs w:val="28"/>
        </w:rPr>
        <w:footnoteReference w:id="68"/>
      </w:r>
      <w:r w:rsidRPr="00467F9C">
        <w:rPr>
          <w:sz w:val="28"/>
          <w:szCs w:val="28"/>
        </w:rPr>
        <w:t xml:space="preserve"> (1), Управление гражданской защиты (1), Департамент здравоохранения (5), Департамент природных ресурсов (3), Департамент образования (5);</w:t>
      </w:r>
    </w:p>
    <w:p w:rsidR="009E26F4" w:rsidRPr="00467F9C" w:rsidRDefault="009E26F4" w:rsidP="00191861">
      <w:pPr>
        <w:autoSpaceDE w:val="0"/>
        <w:autoSpaceDN w:val="0"/>
        <w:adjustRightInd w:val="0"/>
        <w:ind w:firstLine="709"/>
        <w:jc w:val="both"/>
        <w:rPr>
          <w:sz w:val="28"/>
          <w:szCs w:val="28"/>
        </w:rPr>
      </w:pPr>
      <w:r w:rsidRPr="00467F9C">
        <w:rPr>
          <w:sz w:val="28"/>
          <w:szCs w:val="28"/>
        </w:rPr>
        <w:lastRenderedPageBreak/>
        <w:t>- нарушение требований, предъявляемых к правилам ведения бюджетного (бухгалтерского) учета (28) – Департамент здравоохранения;</w:t>
      </w:r>
    </w:p>
    <w:p w:rsidR="009E26F4" w:rsidRPr="00467F9C" w:rsidRDefault="009E26F4" w:rsidP="00191861">
      <w:pPr>
        <w:autoSpaceDE w:val="0"/>
        <w:autoSpaceDN w:val="0"/>
        <w:adjustRightInd w:val="0"/>
        <w:ind w:firstLine="709"/>
        <w:jc w:val="both"/>
        <w:rPr>
          <w:sz w:val="28"/>
          <w:szCs w:val="28"/>
        </w:rPr>
      </w:pPr>
      <w:r w:rsidRPr="00467F9C">
        <w:rPr>
          <w:sz w:val="28"/>
          <w:szCs w:val="28"/>
        </w:rPr>
        <w:t>- нарушение требований организации ведения бухгалтерского учета, хранения документов бухгалтерского учета и требований по формированию учетной политики (16) – Департамент промышленной политики</w:t>
      </w:r>
      <w:r w:rsidRPr="00467F9C">
        <w:rPr>
          <w:bCs/>
          <w:sz w:val="28"/>
          <w:szCs w:val="28"/>
        </w:rPr>
        <w:t xml:space="preserve"> (1), </w:t>
      </w:r>
      <w:r w:rsidRPr="00467F9C">
        <w:rPr>
          <w:sz w:val="28"/>
          <w:szCs w:val="28"/>
        </w:rPr>
        <w:t>Департамент социальной политики (2), Управление гражданской защиты</w:t>
      </w:r>
      <w:r w:rsidRPr="00467F9C">
        <w:rPr>
          <w:rStyle w:val="ab"/>
          <w:sz w:val="28"/>
          <w:szCs w:val="28"/>
        </w:rPr>
        <w:footnoteReference w:id="69"/>
      </w:r>
      <w:r w:rsidRPr="00467F9C">
        <w:rPr>
          <w:sz w:val="28"/>
          <w:szCs w:val="28"/>
        </w:rPr>
        <w:t xml:space="preserve"> (1), Департамент здравоохранения (1), Избирательная комиссия (2), Департамент природных ресурсов (2), Департаментом культуры</w:t>
      </w:r>
      <w:r w:rsidRPr="00467F9C">
        <w:rPr>
          <w:rStyle w:val="ab"/>
          <w:sz w:val="28"/>
          <w:szCs w:val="28"/>
        </w:rPr>
        <w:footnoteReference w:id="70"/>
      </w:r>
      <w:r w:rsidRPr="00467F9C">
        <w:rPr>
          <w:sz w:val="28"/>
          <w:szCs w:val="28"/>
        </w:rPr>
        <w:t xml:space="preserve"> (1), Департамент образования (2), Управление по обеспечению деятельности мировых судей (4);</w:t>
      </w:r>
    </w:p>
    <w:p w:rsidR="009E26F4" w:rsidRPr="00467F9C" w:rsidRDefault="009E26F4" w:rsidP="00191861">
      <w:pPr>
        <w:autoSpaceDE w:val="0"/>
        <w:autoSpaceDN w:val="0"/>
        <w:adjustRightInd w:val="0"/>
        <w:ind w:firstLine="709"/>
        <w:jc w:val="both"/>
        <w:rPr>
          <w:bCs/>
          <w:sz w:val="28"/>
          <w:szCs w:val="28"/>
        </w:rPr>
      </w:pPr>
      <w:r w:rsidRPr="00467F9C">
        <w:rPr>
          <w:bCs/>
          <w:sz w:val="28"/>
          <w:szCs w:val="28"/>
        </w:rPr>
        <w:t xml:space="preserve">Наибольшее количество нарушений </w:t>
      </w:r>
      <w:r w:rsidRPr="00467F9C">
        <w:rPr>
          <w:sz w:val="28"/>
          <w:szCs w:val="28"/>
        </w:rPr>
        <w:t xml:space="preserve">процедурного характера установлено </w:t>
      </w:r>
      <w:r w:rsidRPr="00467F9C">
        <w:rPr>
          <w:bCs/>
          <w:sz w:val="28"/>
          <w:szCs w:val="28"/>
        </w:rPr>
        <w:t xml:space="preserve">у Департамента образования 28,4% (75). </w:t>
      </w:r>
    </w:p>
    <w:p w:rsidR="009E26F4" w:rsidRPr="00467F9C" w:rsidRDefault="009E26F4" w:rsidP="00191861">
      <w:pPr>
        <w:autoSpaceDE w:val="0"/>
        <w:autoSpaceDN w:val="0"/>
        <w:adjustRightInd w:val="0"/>
        <w:ind w:firstLine="709"/>
        <w:jc w:val="both"/>
        <w:rPr>
          <w:sz w:val="28"/>
          <w:szCs w:val="28"/>
        </w:rPr>
      </w:pPr>
      <w:r w:rsidRPr="00467F9C">
        <w:rPr>
          <w:bCs/>
          <w:sz w:val="28"/>
          <w:szCs w:val="28"/>
        </w:rPr>
        <w:t>Наибольший стоимостной объем нарушений</w:t>
      </w:r>
      <w:r w:rsidRPr="00467F9C">
        <w:rPr>
          <w:b/>
          <w:bCs/>
          <w:sz w:val="28"/>
          <w:szCs w:val="28"/>
        </w:rPr>
        <w:t xml:space="preserve"> </w:t>
      </w:r>
      <w:r w:rsidRPr="00467F9C">
        <w:rPr>
          <w:sz w:val="28"/>
          <w:szCs w:val="28"/>
        </w:rPr>
        <w:t>выявлен в Управлении по обеспечению деятельности мировых судей (12 741,5 тыс. рублей).</w:t>
      </w:r>
    </w:p>
    <w:p w:rsidR="009E26F4" w:rsidRPr="00467F9C" w:rsidRDefault="009E26F4" w:rsidP="00191861">
      <w:pPr>
        <w:widowControl w:val="0"/>
        <w:tabs>
          <w:tab w:val="left" w:pos="567"/>
        </w:tabs>
        <w:suppressAutoHyphens/>
        <w:ind w:firstLine="709"/>
        <w:jc w:val="both"/>
        <w:rPr>
          <w:bCs/>
          <w:sz w:val="28"/>
          <w:szCs w:val="28"/>
        </w:rPr>
      </w:pPr>
      <w:bookmarkStart w:id="30" w:name="_Hlk103682820"/>
      <w:r w:rsidRPr="00467F9C">
        <w:rPr>
          <w:bCs/>
          <w:sz w:val="28"/>
          <w:szCs w:val="28"/>
        </w:rPr>
        <w:t>Проверкой выявлено нерезультативные (неэффективное) использование бюджетных средств в сумме 7 198,5 тыс. рублей, в том числе:</w:t>
      </w:r>
    </w:p>
    <w:bookmarkEnd w:id="30"/>
    <w:p w:rsidR="009E26F4" w:rsidRPr="00467F9C" w:rsidRDefault="009E26F4" w:rsidP="00191861">
      <w:pPr>
        <w:widowControl w:val="0"/>
        <w:tabs>
          <w:tab w:val="left" w:pos="567"/>
        </w:tabs>
        <w:suppressAutoHyphens/>
        <w:ind w:firstLine="709"/>
        <w:jc w:val="both"/>
        <w:rPr>
          <w:bCs/>
          <w:sz w:val="28"/>
          <w:szCs w:val="28"/>
        </w:rPr>
      </w:pPr>
      <w:r w:rsidRPr="00467F9C">
        <w:rPr>
          <w:bCs/>
          <w:sz w:val="28"/>
          <w:szCs w:val="28"/>
        </w:rPr>
        <w:t>- 7 151,8 тыс. рублей – восемь главных распорядителей (</w:t>
      </w:r>
      <w:r w:rsidRPr="00467F9C">
        <w:rPr>
          <w:sz w:val="28"/>
          <w:szCs w:val="28"/>
        </w:rPr>
        <w:t xml:space="preserve">Департамент промышленной политики, Департамент социальной политики, Департамент финансов, Департамент сельского хозяйства, Департамент здравоохранения, Департамент природных ресурсов, Департамент образования и Управление гражданской защиты) </w:t>
      </w:r>
      <w:r w:rsidRPr="00467F9C">
        <w:rPr>
          <w:bCs/>
          <w:sz w:val="28"/>
          <w:szCs w:val="28"/>
        </w:rPr>
        <w:t xml:space="preserve">за счет средств окружного бюджета в отчетном периоде оплатили пени и штрафы (нарушение налогового законодательства, административные правонарушения, </w:t>
      </w:r>
      <w:r w:rsidRPr="00467F9C">
        <w:rPr>
          <w:sz w:val="28"/>
          <w:szCs w:val="28"/>
        </w:rPr>
        <w:t>нарушение санитарно-эпидемиологических требований, нарушение сроков исполнения обязательств заказчиком</w:t>
      </w:r>
      <w:r w:rsidRPr="00467F9C">
        <w:rPr>
          <w:bCs/>
          <w:sz w:val="28"/>
          <w:szCs w:val="28"/>
        </w:rPr>
        <w:t xml:space="preserve"> и иные), а также судебные издержки;</w:t>
      </w:r>
    </w:p>
    <w:p w:rsidR="009E26F4" w:rsidRPr="00467F9C" w:rsidRDefault="009E26F4" w:rsidP="00191861">
      <w:pPr>
        <w:widowControl w:val="0"/>
        <w:tabs>
          <w:tab w:val="left" w:pos="567"/>
        </w:tabs>
        <w:suppressAutoHyphens/>
        <w:ind w:firstLine="709"/>
        <w:jc w:val="both"/>
        <w:rPr>
          <w:sz w:val="28"/>
          <w:szCs w:val="28"/>
        </w:rPr>
      </w:pPr>
      <w:r w:rsidRPr="00467F9C">
        <w:rPr>
          <w:bCs/>
          <w:sz w:val="28"/>
          <w:szCs w:val="28"/>
        </w:rPr>
        <w:t xml:space="preserve">- 46,7 тыс. рублей – </w:t>
      </w:r>
      <w:r w:rsidRPr="00467F9C">
        <w:rPr>
          <w:sz w:val="28"/>
          <w:szCs w:val="28"/>
        </w:rPr>
        <w:t>Департаментом природных ресурсов допущена переплата по налогу на прибыль (переплата числится с 2019 года).</w:t>
      </w:r>
    </w:p>
    <w:p w:rsidR="009E26F4" w:rsidRPr="00467F9C" w:rsidRDefault="009E26F4" w:rsidP="00191861">
      <w:pPr>
        <w:autoSpaceDE w:val="0"/>
        <w:autoSpaceDN w:val="0"/>
        <w:adjustRightInd w:val="0"/>
        <w:ind w:firstLine="709"/>
        <w:jc w:val="both"/>
        <w:rPr>
          <w:sz w:val="28"/>
          <w:szCs w:val="28"/>
        </w:rPr>
      </w:pPr>
      <w:r w:rsidRPr="00467F9C">
        <w:rPr>
          <w:sz w:val="28"/>
          <w:szCs w:val="28"/>
        </w:rPr>
        <w:t xml:space="preserve">По результатам проверки бюджетной отчетности главных администраторов средств окружного бюджета за 2021 год составлено три протокола </w:t>
      </w:r>
      <w:r w:rsidRPr="00467F9C">
        <w:rPr>
          <w:bCs/>
          <w:sz w:val="28"/>
          <w:szCs w:val="28"/>
        </w:rPr>
        <w:t>об административных правонарушениях. Указанные протоколы направлены д</w:t>
      </w:r>
      <w:r w:rsidRPr="00467F9C">
        <w:rPr>
          <w:sz w:val="28"/>
          <w:szCs w:val="28"/>
        </w:rPr>
        <w:t xml:space="preserve">ля рассмотрения дел об административных правонарушениях в суд общей юрисдикции. </w:t>
      </w:r>
    </w:p>
    <w:bookmarkEnd w:id="29"/>
    <w:p w:rsidR="009E26F4" w:rsidRPr="00467F9C" w:rsidRDefault="009E26F4" w:rsidP="00191861">
      <w:pPr>
        <w:pStyle w:val="af"/>
        <w:spacing w:before="240" w:after="120" w:line="240" w:lineRule="auto"/>
        <w:ind w:left="0"/>
        <w:jc w:val="center"/>
        <w:rPr>
          <w:rFonts w:ascii="Times New Roman" w:hAnsi="Times New Roman" w:cs="Times New Roman"/>
          <w:b/>
          <w:sz w:val="28"/>
          <w:szCs w:val="28"/>
        </w:rPr>
      </w:pPr>
      <w:r w:rsidRPr="00467F9C">
        <w:rPr>
          <w:rFonts w:ascii="Times New Roman" w:hAnsi="Times New Roman" w:cs="Times New Roman"/>
          <w:b/>
          <w:sz w:val="28"/>
          <w:szCs w:val="28"/>
        </w:rPr>
        <w:t xml:space="preserve">5.3. Исполнение окружного бюджета в разрезе видов расходов </w:t>
      </w:r>
      <w:r w:rsidRPr="00467F9C">
        <w:rPr>
          <w:rFonts w:ascii="Times New Roman" w:hAnsi="Times New Roman" w:cs="Times New Roman"/>
          <w:b/>
          <w:sz w:val="28"/>
          <w:szCs w:val="28"/>
        </w:rPr>
        <w:br/>
        <w:t>бюджетной классификации расходов бюджета</w:t>
      </w:r>
    </w:p>
    <w:p w:rsidR="009E26F4" w:rsidRPr="00467F9C" w:rsidRDefault="009E26F4" w:rsidP="00191861">
      <w:pPr>
        <w:autoSpaceDE w:val="0"/>
        <w:autoSpaceDN w:val="0"/>
        <w:adjustRightInd w:val="0"/>
        <w:ind w:firstLine="709"/>
        <w:jc w:val="both"/>
        <w:rPr>
          <w:sz w:val="28"/>
          <w:szCs w:val="28"/>
        </w:rPr>
      </w:pPr>
      <w:r w:rsidRPr="00467F9C">
        <w:rPr>
          <w:sz w:val="28"/>
          <w:szCs w:val="28"/>
        </w:rPr>
        <w:t>Сведения о плановых и фактических показателях исполнения окружного бюджета в разрезе видов расходов бюджетной классификации представлены в таблице №10.</w:t>
      </w:r>
    </w:p>
    <w:p w:rsidR="009E26F4" w:rsidRPr="00467F9C" w:rsidRDefault="009E26F4" w:rsidP="00191861">
      <w:pPr>
        <w:pStyle w:val="af8"/>
        <w:jc w:val="right"/>
        <w:rPr>
          <w:bCs/>
          <w:iCs/>
          <w:sz w:val="28"/>
          <w:szCs w:val="28"/>
        </w:rPr>
      </w:pPr>
      <w:r w:rsidRPr="00467F9C">
        <w:rPr>
          <w:bCs/>
          <w:iCs/>
          <w:sz w:val="28"/>
          <w:szCs w:val="28"/>
        </w:rPr>
        <w:t>Таблица №10</w:t>
      </w:r>
    </w:p>
    <w:p w:rsidR="009E26F4" w:rsidRPr="00467F9C" w:rsidRDefault="009E26F4" w:rsidP="00191861">
      <w:pPr>
        <w:pStyle w:val="af8"/>
        <w:jc w:val="right"/>
        <w:rPr>
          <w:bCs/>
          <w:iCs/>
          <w:sz w:val="28"/>
          <w:szCs w:val="28"/>
        </w:rPr>
      </w:pPr>
      <w:r w:rsidRPr="00467F9C">
        <w:rPr>
          <w:bCs/>
          <w:iCs/>
          <w:sz w:val="28"/>
          <w:szCs w:val="28"/>
        </w:rPr>
        <w:t>(тыс. рублей)</w:t>
      </w:r>
    </w:p>
    <w:tbl>
      <w:tblPr>
        <w:tblW w:w="9966" w:type="dxa"/>
        <w:tblInd w:w="-5" w:type="dxa"/>
        <w:tblLook w:val="04A0" w:firstRow="1" w:lastRow="0" w:firstColumn="1" w:lastColumn="0" w:noHBand="0" w:noVBand="1"/>
      </w:tblPr>
      <w:tblGrid>
        <w:gridCol w:w="3828"/>
        <w:gridCol w:w="1275"/>
        <w:gridCol w:w="1169"/>
        <w:gridCol w:w="1270"/>
        <w:gridCol w:w="1412"/>
        <w:gridCol w:w="1012"/>
      </w:tblGrid>
      <w:tr w:rsidR="009E26F4" w:rsidRPr="007278C9" w:rsidTr="00504159">
        <w:trPr>
          <w:trHeight w:val="505"/>
          <w:tblHeader/>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lastRenderedPageBreak/>
              <w:t xml:space="preserve">Наименование показателя </w:t>
            </w:r>
            <w:r w:rsidRPr="007278C9">
              <w:rPr>
                <w:sz w:val="20"/>
                <w:szCs w:val="20"/>
              </w:rPr>
              <w:br/>
              <w:t>(вид расходов)</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8E07EB">
            <w:pPr>
              <w:ind w:left="-103"/>
              <w:jc w:val="center"/>
              <w:rPr>
                <w:sz w:val="20"/>
                <w:szCs w:val="20"/>
              </w:rPr>
            </w:pPr>
            <w:r w:rsidRPr="007278C9">
              <w:rPr>
                <w:sz w:val="20"/>
                <w:szCs w:val="20"/>
              </w:rPr>
              <w:t>Утверждено (СБР)</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8E07EB">
            <w:pPr>
              <w:ind w:left="-98"/>
              <w:jc w:val="center"/>
              <w:rPr>
                <w:sz w:val="20"/>
                <w:szCs w:val="20"/>
              </w:rPr>
            </w:pPr>
            <w:r w:rsidRPr="007278C9">
              <w:rPr>
                <w:sz w:val="20"/>
                <w:szCs w:val="20"/>
              </w:rPr>
              <w:t>Исполнено</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8E07EB">
            <w:pPr>
              <w:ind w:left="-105"/>
              <w:jc w:val="center"/>
              <w:rPr>
                <w:sz w:val="20"/>
                <w:szCs w:val="20"/>
              </w:rPr>
            </w:pPr>
            <w:r w:rsidRPr="007278C9">
              <w:rPr>
                <w:sz w:val="20"/>
                <w:szCs w:val="20"/>
              </w:rPr>
              <w:t>Отклонение (гр.3-гр.2)</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8E07EB">
            <w:pPr>
              <w:ind w:left="-101" w:right="-149"/>
              <w:jc w:val="center"/>
              <w:rPr>
                <w:sz w:val="20"/>
                <w:szCs w:val="20"/>
              </w:rPr>
            </w:pPr>
            <w:r w:rsidRPr="007278C9">
              <w:rPr>
                <w:sz w:val="20"/>
                <w:szCs w:val="20"/>
              </w:rPr>
              <w:t xml:space="preserve">Уровень исполнения, %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8E07EB">
            <w:pPr>
              <w:ind w:left="-93" w:right="-179" w:hanging="142"/>
              <w:jc w:val="center"/>
              <w:rPr>
                <w:sz w:val="20"/>
                <w:szCs w:val="20"/>
              </w:rPr>
            </w:pPr>
            <w:r w:rsidRPr="007278C9">
              <w:rPr>
                <w:sz w:val="20"/>
                <w:szCs w:val="20"/>
              </w:rPr>
              <w:t>Удельный вес, %</w:t>
            </w:r>
          </w:p>
        </w:tc>
      </w:tr>
      <w:tr w:rsidR="009E26F4" w:rsidRPr="007278C9" w:rsidTr="00504159">
        <w:trPr>
          <w:trHeight w:val="47"/>
          <w:tblHeader/>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1</w:t>
            </w:r>
          </w:p>
        </w:tc>
        <w:tc>
          <w:tcPr>
            <w:tcW w:w="1275"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103"/>
              <w:jc w:val="center"/>
              <w:rPr>
                <w:sz w:val="20"/>
                <w:szCs w:val="20"/>
              </w:rPr>
            </w:pPr>
            <w:r w:rsidRPr="007278C9">
              <w:rPr>
                <w:sz w:val="20"/>
                <w:szCs w:val="20"/>
              </w:rPr>
              <w:t>2</w:t>
            </w:r>
          </w:p>
        </w:tc>
        <w:tc>
          <w:tcPr>
            <w:tcW w:w="1169"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98"/>
              <w:jc w:val="center"/>
              <w:rPr>
                <w:sz w:val="20"/>
                <w:szCs w:val="20"/>
              </w:rPr>
            </w:pPr>
            <w:r w:rsidRPr="007278C9">
              <w:rPr>
                <w:sz w:val="20"/>
                <w:szCs w:val="20"/>
              </w:rPr>
              <w:t>3</w:t>
            </w:r>
          </w:p>
        </w:tc>
        <w:tc>
          <w:tcPr>
            <w:tcW w:w="1270"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105"/>
              <w:jc w:val="center"/>
              <w:rPr>
                <w:sz w:val="20"/>
                <w:szCs w:val="20"/>
              </w:rPr>
            </w:pPr>
            <w:r w:rsidRPr="007278C9">
              <w:rPr>
                <w:sz w:val="20"/>
                <w:szCs w:val="20"/>
              </w:rPr>
              <w:t>4</w:t>
            </w:r>
          </w:p>
        </w:tc>
        <w:tc>
          <w:tcPr>
            <w:tcW w:w="141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101" w:right="-149"/>
              <w:jc w:val="center"/>
              <w:rPr>
                <w:sz w:val="20"/>
                <w:szCs w:val="20"/>
              </w:rPr>
            </w:pPr>
            <w:r w:rsidRPr="007278C9">
              <w:rPr>
                <w:sz w:val="20"/>
                <w:szCs w:val="20"/>
              </w:rPr>
              <w:t>5</w:t>
            </w:r>
          </w:p>
        </w:tc>
        <w:tc>
          <w:tcPr>
            <w:tcW w:w="101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6</w:t>
            </w:r>
          </w:p>
        </w:tc>
      </w:tr>
      <w:tr w:rsidR="009E26F4" w:rsidRPr="007278C9" w:rsidTr="00504159">
        <w:trPr>
          <w:trHeight w:val="227"/>
          <w:tblHeader/>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b/>
                <w:bCs/>
                <w:sz w:val="20"/>
                <w:szCs w:val="20"/>
              </w:rPr>
            </w:pPr>
            <w:r w:rsidRPr="007278C9">
              <w:rPr>
                <w:b/>
                <w:bCs/>
                <w:sz w:val="20"/>
                <w:szCs w:val="20"/>
              </w:rPr>
              <w:t>Расходы бюджета - всего</w:t>
            </w:r>
          </w:p>
        </w:tc>
        <w:tc>
          <w:tcPr>
            <w:tcW w:w="1275"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103"/>
              <w:jc w:val="right"/>
              <w:rPr>
                <w:b/>
                <w:bCs/>
                <w:sz w:val="20"/>
                <w:szCs w:val="20"/>
              </w:rPr>
            </w:pPr>
            <w:r w:rsidRPr="007278C9">
              <w:rPr>
                <w:b/>
                <w:bCs/>
                <w:sz w:val="20"/>
                <w:szCs w:val="20"/>
              </w:rPr>
              <w:t>56 151 343,9</w:t>
            </w:r>
          </w:p>
        </w:tc>
        <w:tc>
          <w:tcPr>
            <w:tcW w:w="1169"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98"/>
              <w:jc w:val="right"/>
              <w:rPr>
                <w:b/>
                <w:bCs/>
                <w:sz w:val="20"/>
                <w:szCs w:val="20"/>
              </w:rPr>
            </w:pPr>
            <w:r w:rsidRPr="007278C9">
              <w:rPr>
                <w:b/>
                <w:bCs/>
                <w:sz w:val="20"/>
                <w:szCs w:val="20"/>
              </w:rPr>
              <w:t>54 604 715,7</w:t>
            </w:r>
          </w:p>
        </w:tc>
        <w:tc>
          <w:tcPr>
            <w:tcW w:w="1270"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105"/>
              <w:jc w:val="right"/>
              <w:rPr>
                <w:b/>
                <w:bCs/>
                <w:sz w:val="20"/>
                <w:szCs w:val="20"/>
              </w:rPr>
            </w:pPr>
            <w:r w:rsidRPr="007278C9">
              <w:rPr>
                <w:b/>
                <w:bCs/>
                <w:sz w:val="20"/>
                <w:szCs w:val="20"/>
              </w:rPr>
              <w:t>- 1 546 628,2</w:t>
            </w:r>
          </w:p>
        </w:tc>
        <w:tc>
          <w:tcPr>
            <w:tcW w:w="141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101" w:right="-149"/>
              <w:jc w:val="center"/>
              <w:rPr>
                <w:b/>
                <w:bCs/>
                <w:sz w:val="20"/>
                <w:szCs w:val="20"/>
              </w:rPr>
            </w:pPr>
            <w:r w:rsidRPr="007278C9">
              <w:rPr>
                <w:b/>
                <w:bCs/>
                <w:sz w:val="20"/>
                <w:szCs w:val="20"/>
              </w:rPr>
              <w:t>97,2</w:t>
            </w:r>
          </w:p>
        </w:tc>
        <w:tc>
          <w:tcPr>
            <w:tcW w:w="101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b/>
                <w:bCs/>
                <w:sz w:val="20"/>
                <w:szCs w:val="20"/>
              </w:rPr>
            </w:pPr>
            <w:r w:rsidRPr="007278C9">
              <w:rPr>
                <w:b/>
                <w:bCs/>
                <w:sz w:val="20"/>
                <w:szCs w:val="20"/>
              </w:rPr>
              <w:t>100,0</w:t>
            </w:r>
          </w:p>
        </w:tc>
      </w:tr>
      <w:tr w:rsidR="009E26F4" w:rsidRPr="007278C9" w:rsidTr="00504159">
        <w:trPr>
          <w:trHeight w:val="21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100 Расходы на выплаты персоналу в целях обеспечения выполнения функций государственными органами, казенными учреждениями</w:t>
            </w:r>
          </w:p>
        </w:tc>
        <w:tc>
          <w:tcPr>
            <w:tcW w:w="1275"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103"/>
              <w:jc w:val="right"/>
              <w:rPr>
                <w:sz w:val="20"/>
                <w:szCs w:val="20"/>
              </w:rPr>
            </w:pPr>
            <w:r w:rsidRPr="007278C9">
              <w:rPr>
                <w:sz w:val="20"/>
                <w:szCs w:val="20"/>
              </w:rPr>
              <w:t>2 187 007,4</w:t>
            </w:r>
          </w:p>
        </w:tc>
        <w:tc>
          <w:tcPr>
            <w:tcW w:w="1169"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98"/>
              <w:jc w:val="right"/>
              <w:rPr>
                <w:sz w:val="20"/>
                <w:szCs w:val="20"/>
              </w:rPr>
            </w:pPr>
            <w:r w:rsidRPr="007278C9">
              <w:rPr>
                <w:sz w:val="20"/>
                <w:szCs w:val="20"/>
              </w:rPr>
              <w:t>2 161 250,2</w:t>
            </w:r>
          </w:p>
        </w:tc>
        <w:tc>
          <w:tcPr>
            <w:tcW w:w="1270"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105"/>
              <w:jc w:val="right"/>
              <w:rPr>
                <w:sz w:val="20"/>
                <w:szCs w:val="20"/>
              </w:rPr>
            </w:pPr>
            <w:r w:rsidRPr="007278C9">
              <w:rPr>
                <w:sz w:val="20"/>
                <w:szCs w:val="20"/>
              </w:rPr>
              <w:t>- 25 757,2</w:t>
            </w:r>
          </w:p>
        </w:tc>
        <w:tc>
          <w:tcPr>
            <w:tcW w:w="141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101" w:right="-149"/>
              <w:jc w:val="center"/>
              <w:rPr>
                <w:sz w:val="20"/>
                <w:szCs w:val="20"/>
              </w:rPr>
            </w:pPr>
            <w:r w:rsidRPr="007278C9">
              <w:rPr>
                <w:sz w:val="20"/>
                <w:szCs w:val="20"/>
              </w:rPr>
              <w:t>98,8</w:t>
            </w:r>
          </w:p>
        </w:tc>
        <w:tc>
          <w:tcPr>
            <w:tcW w:w="101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3,9</w:t>
            </w:r>
          </w:p>
        </w:tc>
      </w:tr>
      <w:tr w:rsidR="009E26F4" w:rsidRPr="007278C9" w:rsidTr="00504159">
        <w:trPr>
          <w:trHeight w:val="47"/>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200 Закупка товаров, работ и услуг для обеспечения государственных нужд</w:t>
            </w:r>
          </w:p>
        </w:tc>
        <w:tc>
          <w:tcPr>
            <w:tcW w:w="1275"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103"/>
              <w:jc w:val="right"/>
              <w:rPr>
                <w:sz w:val="20"/>
                <w:szCs w:val="20"/>
              </w:rPr>
            </w:pPr>
            <w:r w:rsidRPr="007278C9">
              <w:rPr>
                <w:sz w:val="20"/>
                <w:szCs w:val="20"/>
              </w:rPr>
              <w:t>1 740 904,6</w:t>
            </w:r>
          </w:p>
        </w:tc>
        <w:tc>
          <w:tcPr>
            <w:tcW w:w="1169"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98"/>
              <w:jc w:val="right"/>
              <w:rPr>
                <w:sz w:val="20"/>
                <w:szCs w:val="20"/>
              </w:rPr>
            </w:pPr>
            <w:r w:rsidRPr="007278C9">
              <w:rPr>
                <w:sz w:val="20"/>
                <w:szCs w:val="20"/>
              </w:rPr>
              <w:t>1 647 661,8</w:t>
            </w:r>
          </w:p>
        </w:tc>
        <w:tc>
          <w:tcPr>
            <w:tcW w:w="1270"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105"/>
              <w:jc w:val="right"/>
              <w:rPr>
                <w:sz w:val="20"/>
                <w:szCs w:val="20"/>
              </w:rPr>
            </w:pPr>
            <w:r w:rsidRPr="007278C9">
              <w:rPr>
                <w:sz w:val="20"/>
                <w:szCs w:val="20"/>
              </w:rPr>
              <w:t>- 93 242,8</w:t>
            </w:r>
          </w:p>
        </w:tc>
        <w:tc>
          <w:tcPr>
            <w:tcW w:w="141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101" w:right="-149"/>
              <w:jc w:val="center"/>
              <w:rPr>
                <w:sz w:val="20"/>
                <w:szCs w:val="20"/>
              </w:rPr>
            </w:pPr>
            <w:r w:rsidRPr="007278C9">
              <w:rPr>
                <w:sz w:val="20"/>
                <w:szCs w:val="20"/>
              </w:rPr>
              <w:t>94,6</w:t>
            </w:r>
          </w:p>
        </w:tc>
        <w:tc>
          <w:tcPr>
            <w:tcW w:w="101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3,0</w:t>
            </w:r>
          </w:p>
        </w:tc>
      </w:tr>
      <w:tr w:rsidR="009E26F4" w:rsidRPr="007278C9" w:rsidTr="00504159">
        <w:trPr>
          <w:trHeight w:val="47"/>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300 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103"/>
              <w:jc w:val="right"/>
              <w:rPr>
                <w:sz w:val="20"/>
                <w:szCs w:val="20"/>
              </w:rPr>
            </w:pPr>
            <w:r w:rsidRPr="007278C9">
              <w:rPr>
                <w:sz w:val="20"/>
                <w:szCs w:val="20"/>
              </w:rPr>
              <w:t>2 263 675,4</w:t>
            </w:r>
          </w:p>
        </w:tc>
        <w:tc>
          <w:tcPr>
            <w:tcW w:w="1169"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98"/>
              <w:jc w:val="right"/>
              <w:rPr>
                <w:sz w:val="20"/>
                <w:szCs w:val="20"/>
              </w:rPr>
            </w:pPr>
            <w:r w:rsidRPr="007278C9">
              <w:rPr>
                <w:sz w:val="20"/>
                <w:szCs w:val="20"/>
              </w:rPr>
              <w:t>2 229 232,1</w:t>
            </w:r>
          </w:p>
        </w:tc>
        <w:tc>
          <w:tcPr>
            <w:tcW w:w="1270"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105"/>
              <w:jc w:val="right"/>
              <w:rPr>
                <w:sz w:val="20"/>
                <w:szCs w:val="20"/>
              </w:rPr>
            </w:pPr>
            <w:r w:rsidRPr="007278C9">
              <w:rPr>
                <w:sz w:val="20"/>
                <w:szCs w:val="20"/>
              </w:rPr>
              <w:t>- 34 443,3</w:t>
            </w:r>
          </w:p>
        </w:tc>
        <w:tc>
          <w:tcPr>
            <w:tcW w:w="141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98,5</w:t>
            </w:r>
          </w:p>
        </w:tc>
        <w:tc>
          <w:tcPr>
            <w:tcW w:w="101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4,1</w:t>
            </w:r>
          </w:p>
        </w:tc>
      </w:tr>
      <w:tr w:rsidR="009E26F4" w:rsidRPr="007278C9" w:rsidTr="00504159">
        <w:trPr>
          <w:trHeight w:val="47"/>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400 Капитальные вложения в объекты государственной собственности</w:t>
            </w:r>
          </w:p>
        </w:tc>
        <w:tc>
          <w:tcPr>
            <w:tcW w:w="1275"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103"/>
              <w:jc w:val="right"/>
              <w:rPr>
                <w:sz w:val="20"/>
                <w:szCs w:val="20"/>
              </w:rPr>
            </w:pPr>
            <w:r w:rsidRPr="007278C9">
              <w:rPr>
                <w:sz w:val="20"/>
                <w:szCs w:val="20"/>
              </w:rPr>
              <w:t>6 426 069,8</w:t>
            </w:r>
          </w:p>
        </w:tc>
        <w:tc>
          <w:tcPr>
            <w:tcW w:w="1169"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98"/>
              <w:jc w:val="right"/>
              <w:rPr>
                <w:sz w:val="20"/>
                <w:szCs w:val="20"/>
              </w:rPr>
            </w:pPr>
            <w:r w:rsidRPr="007278C9">
              <w:rPr>
                <w:sz w:val="20"/>
                <w:szCs w:val="20"/>
              </w:rPr>
              <w:t>6 065 327,7</w:t>
            </w:r>
          </w:p>
        </w:tc>
        <w:tc>
          <w:tcPr>
            <w:tcW w:w="1270"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105"/>
              <w:jc w:val="right"/>
              <w:rPr>
                <w:sz w:val="20"/>
                <w:szCs w:val="20"/>
              </w:rPr>
            </w:pPr>
            <w:r w:rsidRPr="007278C9">
              <w:rPr>
                <w:sz w:val="20"/>
                <w:szCs w:val="20"/>
              </w:rPr>
              <w:t>- 360 742,1</w:t>
            </w:r>
          </w:p>
        </w:tc>
        <w:tc>
          <w:tcPr>
            <w:tcW w:w="141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94,4</w:t>
            </w:r>
          </w:p>
        </w:tc>
        <w:tc>
          <w:tcPr>
            <w:tcW w:w="101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11,1</w:t>
            </w:r>
          </w:p>
        </w:tc>
      </w:tr>
      <w:tr w:rsidR="009E26F4" w:rsidRPr="007278C9" w:rsidTr="00504159">
        <w:trPr>
          <w:trHeight w:val="25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500 Межбюджетные трансферты</w:t>
            </w:r>
          </w:p>
        </w:tc>
        <w:tc>
          <w:tcPr>
            <w:tcW w:w="1275"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103"/>
              <w:jc w:val="right"/>
              <w:rPr>
                <w:sz w:val="20"/>
                <w:szCs w:val="20"/>
              </w:rPr>
            </w:pPr>
            <w:r w:rsidRPr="007278C9">
              <w:rPr>
                <w:sz w:val="20"/>
                <w:szCs w:val="20"/>
              </w:rPr>
              <w:t>16 142 317,7</w:t>
            </w:r>
          </w:p>
        </w:tc>
        <w:tc>
          <w:tcPr>
            <w:tcW w:w="1169"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98"/>
              <w:jc w:val="right"/>
              <w:rPr>
                <w:sz w:val="20"/>
                <w:szCs w:val="20"/>
              </w:rPr>
            </w:pPr>
            <w:r w:rsidRPr="007278C9">
              <w:rPr>
                <w:sz w:val="20"/>
                <w:szCs w:val="20"/>
              </w:rPr>
              <w:t>15 591 778,9</w:t>
            </w:r>
          </w:p>
        </w:tc>
        <w:tc>
          <w:tcPr>
            <w:tcW w:w="1270"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105"/>
              <w:jc w:val="right"/>
              <w:rPr>
                <w:sz w:val="20"/>
                <w:szCs w:val="20"/>
              </w:rPr>
            </w:pPr>
            <w:r w:rsidRPr="007278C9">
              <w:rPr>
                <w:sz w:val="20"/>
                <w:szCs w:val="20"/>
              </w:rPr>
              <w:t>- 550 538,8</w:t>
            </w:r>
          </w:p>
        </w:tc>
        <w:tc>
          <w:tcPr>
            <w:tcW w:w="141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96,6</w:t>
            </w:r>
          </w:p>
        </w:tc>
        <w:tc>
          <w:tcPr>
            <w:tcW w:w="101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28,6</w:t>
            </w:r>
          </w:p>
        </w:tc>
      </w:tr>
      <w:tr w:rsidR="009E26F4" w:rsidRPr="007278C9" w:rsidTr="00504159">
        <w:trPr>
          <w:trHeight w:val="47"/>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600 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103"/>
              <w:jc w:val="right"/>
              <w:rPr>
                <w:sz w:val="20"/>
                <w:szCs w:val="20"/>
              </w:rPr>
            </w:pPr>
            <w:r w:rsidRPr="007278C9">
              <w:rPr>
                <w:sz w:val="20"/>
                <w:szCs w:val="20"/>
              </w:rPr>
              <w:t>6 155 128,0</w:t>
            </w:r>
          </w:p>
        </w:tc>
        <w:tc>
          <w:tcPr>
            <w:tcW w:w="1169"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98"/>
              <w:jc w:val="right"/>
              <w:rPr>
                <w:sz w:val="20"/>
                <w:szCs w:val="20"/>
              </w:rPr>
            </w:pPr>
            <w:r w:rsidRPr="007278C9">
              <w:rPr>
                <w:sz w:val="20"/>
                <w:szCs w:val="20"/>
              </w:rPr>
              <w:t>6 098 756,0</w:t>
            </w:r>
          </w:p>
        </w:tc>
        <w:tc>
          <w:tcPr>
            <w:tcW w:w="1270"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105"/>
              <w:jc w:val="right"/>
              <w:rPr>
                <w:sz w:val="20"/>
                <w:szCs w:val="20"/>
              </w:rPr>
            </w:pPr>
            <w:r w:rsidRPr="007278C9">
              <w:rPr>
                <w:sz w:val="20"/>
                <w:szCs w:val="20"/>
              </w:rPr>
              <w:t>- 56 372,0</w:t>
            </w:r>
          </w:p>
        </w:tc>
        <w:tc>
          <w:tcPr>
            <w:tcW w:w="141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99,1</w:t>
            </w:r>
          </w:p>
        </w:tc>
        <w:tc>
          <w:tcPr>
            <w:tcW w:w="101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11,2</w:t>
            </w:r>
          </w:p>
        </w:tc>
      </w:tr>
      <w:tr w:rsidR="009E26F4" w:rsidRPr="007278C9" w:rsidTr="00504159">
        <w:trPr>
          <w:trHeight w:val="214"/>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700 Обслуживание государственного долга</w:t>
            </w:r>
          </w:p>
        </w:tc>
        <w:tc>
          <w:tcPr>
            <w:tcW w:w="1275"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103"/>
              <w:jc w:val="right"/>
              <w:rPr>
                <w:sz w:val="20"/>
                <w:szCs w:val="20"/>
              </w:rPr>
            </w:pPr>
            <w:r w:rsidRPr="007278C9">
              <w:rPr>
                <w:sz w:val="20"/>
                <w:szCs w:val="20"/>
              </w:rPr>
              <w:t>8 359,8</w:t>
            </w:r>
          </w:p>
        </w:tc>
        <w:tc>
          <w:tcPr>
            <w:tcW w:w="1169"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98"/>
              <w:jc w:val="right"/>
              <w:rPr>
                <w:sz w:val="20"/>
                <w:szCs w:val="20"/>
              </w:rPr>
            </w:pPr>
            <w:r w:rsidRPr="007278C9">
              <w:rPr>
                <w:sz w:val="20"/>
                <w:szCs w:val="20"/>
              </w:rPr>
              <w:t>8 359,7</w:t>
            </w:r>
          </w:p>
        </w:tc>
        <w:tc>
          <w:tcPr>
            <w:tcW w:w="1270"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105"/>
              <w:jc w:val="right"/>
              <w:rPr>
                <w:sz w:val="20"/>
                <w:szCs w:val="20"/>
              </w:rPr>
            </w:pPr>
            <w:r w:rsidRPr="007278C9">
              <w:rPr>
                <w:sz w:val="20"/>
                <w:szCs w:val="20"/>
              </w:rPr>
              <w:t>- 0,1</w:t>
            </w:r>
          </w:p>
        </w:tc>
        <w:tc>
          <w:tcPr>
            <w:tcW w:w="141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99,9</w:t>
            </w:r>
          </w:p>
        </w:tc>
        <w:tc>
          <w:tcPr>
            <w:tcW w:w="101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ind w:right="-15"/>
              <w:jc w:val="center"/>
              <w:rPr>
                <w:sz w:val="20"/>
                <w:szCs w:val="20"/>
              </w:rPr>
            </w:pPr>
            <w:r w:rsidRPr="007278C9">
              <w:rPr>
                <w:sz w:val="20"/>
                <w:szCs w:val="20"/>
              </w:rPr>
              <w:t>менее 0,1</w:t>
            </w:r>
          </w:p>
        </w:tc>
      </w:tr>
      <w:tr w:rsidR="009E26F4" w:rsidRPr="007278C9" w:rsidTr="00504159">
        <w:trPr>
          <w:trHeight w:val="25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9E26F4" w:rsidRDefault="009E26F4" w:rsidP="00191861">
            <w:pPr>
              <w:rPr>
                <w:sz w:val="20"/>
                <w:szCs w:val="20"/>
              </w:rPr>
            </w:pPr>
            <w:r w:rsidRPr="007278C9">
              <w:rPr>
                <w:sz w:val="20"/>
                <w:szCs w:val="20"/>
              </w:rPr>
              <w:t>800 Иные бюджетные ассигнования</w:t>
            </w:r>
          </w:p>
          <w:p w:rsidR="004962F4" w:rsidRPr="004962F4" w:rsidRDefault="004962F4" w:rsidP="00191861">
            <w:pPr>
              <w:rPr>
                <w:sz w:val="4"/>
                <w:szCs w:val="4"/>
              </w:rPr>
            </w:pPr>
          </w:p>
        </w:tc>
        <w:tc>
          <w:tcPr>
            <w:tcW w:w="1275"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103"/>
              <w:jc w:val="right"/>
              <w:rPr>
                <w:sz w:val="20"/>
                <w:szCs w:val="20"/>
              </w:rPr>
            </w:pPr>
            <w:r w:rsidRPr="007278C9">
              <w:rPr>
                <w:sz w:val="20"/>
                <w:szCs w:val="20"/>
              </w:rPr>
              <w:t>21 227 881,2</w:t>
            </w:r>
          </w:p>
        </w:tc>
        <w:tc>
          <w:tcPr>
            <w:tcW w:w="1169"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98"/>
              <w:jc w:val="right"/>
              <w:rPr>
                <w:sz w:val="20"/>
                <w:szCs w:val="20"/>
              </w:rPr>
            </w:pPr>
            <w:r w:rsidRPr="007278C9">
              <w:rPr>
                <w:sz w:val="20"/>
                <w:szCs w:val="20"/>
              </w:rPr>
              <w:t>20 802 349,3</w:t>
            </w:r>
          </w:p>
        </w:tc>
        <w:tc>
          <w:tcPr>
            <w:tcW w:w="1270"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8E07EB">
            <w:pPr>
              <w:ind w:left="-105"/>
              <w:jc w:val="right"/>
              <w:rPr>
                <w:sz w:val="20"/>
                <w:szCs w:val="20"/>
              </w:rPr>
            </w:pPr>
            <w:r w:rsidRPr="007278C9">
              <w:rPr>
                <w:sz w:val="20"/>
                <w:szCs w:val="20"/>
              </w:rPr>
              <w:t>- 425 531,9</w:t>
            </w:r>
          </w:p>
        </w:tc>
        <w:tc>
          <w:tcPr>
            <w:tcW w:w="141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98,0</w:t>
            </w:r>
          </w:p>
        </w:tc>
        <w:tc>
          <w:tcPr>
            <w:tcW w:w="101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38,1</w:t>
            </w:r>
          </w:p>
        </w:tc>
      </w:tr>
    </w:tbl>
    <w:p w:rsidR="009E26F4" w:rsidRPr="00467F9C" w:rsidRDefault="009E26F4" w:rsidP="00191861">
      <w:pPr>
        <w:widowControl w:val="0"/>
        <w:suppressAutoHyphens/>
        <w:spacing w:before="120"/>
        <w:ind w:firstLine="709"/>
        <w:jc w:val="both"/>
        <w:rPr>
          <w:sz w:val="28"/>
          <w:szCs w:val="28"/>
        </w:rPr>
      </w:pPr>
      <w:r w:rsidRPr="00467F9C">
        <w:rPr>
          <w:bCs/>
          <w:sz w:val="28"/>
          <w:szCs w:val="28"/>
          <w:lang w:eastAsia="ar-SA"/>
        </w:rPr>
        <w:t xml:space="preserve">Основную долю в структуре расходов окружного бюджета составляют расходы по виду </w:t>
      </w:r>
      <w:r w:rsidRPr="00467F9C">
        <w:rPr>
          <w:b/>
          <w:bCs/>
          <w:sz w:val="28"/>
          <w:szCs w:val="28"/>
          <w:lang w:eastAsia="ar-SA"/>
        </w:rPr>
        <w:t>800 «Иные бюджетные ассигнования</w:t>
      </w:r>
      <w:r w:rsidRPr="00467F9C">
        <w:rPr>
          <w:b/>
          <w:bCs/>
          <w:sz w:val="28"/>
          <w:szCs w:val="28"/>
        </w:rPr>
        <w:t>»</w:t>
      </w:r>
      <w:r w:rsidRPr="00467F9C">
        <w:rPr>
          <w:bCs/>
          <w:sz w:val="28"/>
          <w:szCs w:val="28"/>
        </w:rPr>
        <w:t xml:space="preserve"> (38,1%) – 20 802 348,3 тыс. рублей, из которых 18 997 036,6 тыс. рублей приходится на расходы </w:t>
      </w:r>
      <w:r w:rsidRPr="00467F9C">
        <w:rPr>
          <w:sz w:val="28"/>
          <w:szCs w:val="28"/>
        </w:rPr>
        <w:t>Департамента промышленной политики</w:t>
      </w:r>
      <w:r w:rsidRPr="00467F9C">
        <w:rPr>
          <w:bCs/>
          <w:sz w:val="28"/>
          <w:szCs w:val="28"/>
        </w:rPr>
        <w:t xml:space="preserve">, из них </w:t>
      </w:r>
      <w:r w:rsidRPr="00467F9C">
        <w:rPr>
          <w:sz w:val="28"/>
          <w:szCs w:val="28"/>
        </w:rPr>
        <w:t xml:space="preserve">18 790 415,8 тыс. рублей – </w:t>
      </w:r>
      <w:r w:rsidRPr="00467F9C">
        <w:rPr>
          <w:bCs/>
          <w:sz w:val="28"/>
          <w:szCs w:val="28"/>
        </w:rPr>
        <w:t>с</w:t>
      </w:r>
      <w:r w:rsidRPr="00467F9C">
        <w:rPr>
          <w:sz w:val="28"/>
          <w:szCs w:val="28"/>
        </w:rPr>
        <w:t>убсидии на возмещение недополученных доходов или возмещение фактически понесенных затрат в связи с производством (реализацией) товаров, выполнением работ, оказанием услуг.</w:t>
      </w:r>
    </w:p>
    <w:p w:rsidR="009E26F4" w:rsidRPr="00467F9C" w:rsidRDefault="009E26F4" w:rsidP="00191861">
      <w:pPr>
        <w:ind w:firstLine="709"/>
        <w:jc w:val="both"/>
        <w:rPr>
          <w:rFonts w:eastAsiaTheme="minorHAnsi"/>
          <w:sz w:val="28"/>
          <w:szCs w:val="28"/>
        </w:rPr>
      </w:pPr>
      <w:r w:rsidRPr="00467F9C">
        <w:rPr>
          <w:rFonts w:eastAsiaTheme="minorHAnsi"/>
          <w:sz w:val="28"/>
          <w:szCs w:val="28"/>
        </w:rPr>
        <w:t xml:space="preserve">Анализ </w:t>
      </w:r>
      <w:r w:rsidRPr="00467F9C">
        <w:rPr>
          <w:sz w:val="28"/>
          <w:szCs w:val="28"/>
        </w:rPr>
        <w:t xml:space="preserve">бюджетного процесса в части предоставления в 2021 году из окружного бюджета субсидий юридическим лицам (за исключением субсидий государственным (муниципальным) учреждениям), индивидуальным предпринимателям, физическим лицам, проведенный в рамках </w:t>
      </w:r>
      <w:r w:rsidRPr="00467F9C">
        <w:rPr>
          <w:rFonts w:eastAsia="Calibri"/>
          <w:bCs/>
          <w:sz w:val="28"/>
          <w:szCs w:val="28"/>
          <w:lang w:eastAsia="ar-SA"/>
        </w:rPr>
        <w:t>экспертно-аналитического мероприятия Счетной палаты «Оценка организации бюджетного процесса главными распорядителями бюджетных средств при предоставлении в 2021 году субсидий юридическим лицам (за исключением субсидий государственным (муниципальным) учреждениям), индивидуальным предпринимателям, физическим лицам»</w:t>
      </w:r>
      <w:r w:rsidRPr="00467F9C">
        <w:rPr>
          <w:sz w:val="28"/>
          <w:szCs w:val="28"/>
        </w:rPr>
        <w:t xml:space="preserve">, выявил нарушения на всех этапах его организации. </w:t>
      </w:r>
    </w:p>
    <w:p w:rsidR="009E26F4" w:rsidRPr="00467F9C" w:rsidRDefault="009E26F4" w:rsidP="00191861">
      <w:pPr>
        <w:ind w:firstLine="709"/>
        <w:jc w:val="both"/>
        <w:rPr>
          <w:i/>
          <w:sz w:val="28"/>
          <w:szCs w:val="28"/>
        </w:rPr>
      </w:pPr>
      <w:r w:rsidRPr="00467F9C">
        <w:rPr>
          <w:sz w:val="28"/>
          <w:szCs w:val="28"/>
        </w:rPr>
        <w:t xml:space="preserve">В нарушение подпункта 2 пункта 2 статьи 78 Бюджетного кодекса в отсутствие нормативных правовых актов Чукотского автономного округа, регулирующих предоставление субсидий из окружного бюджета Департаментом промышленной политики, Департаментом сельского хозяйства и Департаментом здравоохранения предоставлено пять видов субсидий. </w:t>
      </w:r>
    </w:p>
    <w:p w:rsidR="009E26F4" w:rsidRPr="00467F9C" w:rsidRDefault="009E26F4" w:rsidP="00191861">
      <w:pPr>
        <w:ind w:firstLine="709"/>
        <w:jc w:val="both"/>
        <w:rPr>
          <w:i/>
          <w:sz w:val="28"/>
          <w:szCs w:val="28"/>
        </w:rPr>
      </w:pPr>
      <w:r w:rsidRPr="00467F9C">
        <w:rPr>
          <w:sz w:val="28"/>
          <w:szCs w:val="28"/>
        </w:rPr>
        <w:t xml:space="preserve">В нарушение пункта 3 статьи 78 Бюджетного кодекса в 17 нормативных правовых актах Чукотского автономного округа, </w:t>
      </w:r>
      <w:r w:rsidRPr="00467F9C">
        <w:rPr>
          <w:sz w:val="28"/>
          <w:szCs w:val="28"/>
          <w:shd w:val="clear" w:color="auto" w:fill="FFFFFF" w:themeFill="background1"/>
        </w:rPr>
        <w:t xml:space="preserve">определяющих правила предоставления субсидий из окружного бюджета в 2021 году, </w:t>
      </w:r>
      <w:r w:rsidRPr="00467F9C">
        <w:rPr>
          <w:sz w:val="28"/>
          <w:szCs w:val="28"/>
        </w:rPr>
        <w:t xml:space="preserve">администрирование которых осуществляли главные распорядители средств окружного бюджета Департамент промышленной политики и Департамент природных ресурсов, </w:t>
      </w:r>
      <w:r w:rsidRPr="00467F9C">
        <w:rPr>
          <w:bCs/>
          <w:sz w:val="28"/>
          <w:szCs w:val="28"/>
        </w:rPr>
        <w:t>не</w:t>
      </w:r>
      <w:r w:rsidRPr="00467F9C">
        <w:rPr>
          <w:bCs/>
          <w:sz w:val="28"/>
          <w:szCs w:val="28"/>
          <w:lang w:val="en-US"/>
        </w:rPr>
        <w:t> </w:t>
      </w:r>
      <w:r w:rsidRPr="00467F9C">
        <w:rPr>
          <w:bCs/>
          <w:sz w:val="28"/>
          <w:szCs w:val="28"/>
        </w:rPr>
        <w:t>определены сроки</w:t>
      </w:r>
      <w:r w:rsidRPr="00467F9C">
        <w:rPr>
          <w:sz w:val="28"/>
          <w:szCs w:val="28"/>
        </w:rPr>
        <w:t xml:space="preserve"> предоставления отчетности о</w:t>
      </w:r>
      <w:r w:rsidRPr="00467F9C">
        <w:rPr>
          <w:sz w:val="28"/>
          <w:szCs w:val="28"/>
          <w:lang w:val="en-US"/>
        </w:rPr>
        <w:t> </w:t>
      </w:r>
      <w:r w:rsidRPr="00467F9C">
        <w:rPr>
          <w:sz w:val="28"/>
          <w:szCs w:val="28"/>
        </w:rPr>
        <w:t xml:space="preserve">достижении результатов, отсутствует условие о сроках перечисления субсидии, о перечислении субсидии </w:t>
      </w:r>
      <w:r w:rsidRPr="00467F9C">
        <w:rPr>
          <w:sz w:val="28"/>
          <w:szCs w:val="28"/>
        </w:rPr>
        <w:lastRenderedPageBreak/>
        <w:t xml:space="preserve">(реквизиты), о направлениях затрат (недополученных доходов), на возмещение которых предоставляется субсидия. </w:t>
      </w:r>
      <w:r w:rsidRPr="00467F9C">
        <w:rPr>
          <w:i/>
          <w:sz w:val="28"/>
          <w:szCs w:val="28"/>
        </w:rPr>
        <w:t xml:space="preserve"> </w:t>
      </w:r>
    </w:p>
    <w:p w:rsidR="009E26F4" w:rsidRPr="00467F9C" w:rsidRDefault="009E26F4" w:rsidP="00191861">
      <w:pPr>
        <w:ind w:firstLine="709"/>
        <w:jc w:val="both"/>
        <w:rPr>
          <w:sz w:val="28"/>
          <w:szCs w:val="28"/>
        </w:rPr>
      </w:pPr>
      <w:r w:rsidRPr="00467F9C">
        <w:rPr>
          <w:rFonts w:eastAsiaTheme="minorHAnsi"/>
          <w:sz w:val="28"/>
          <w:szCs w:val="28"/>
        </w:rPr>
        <w:t xml:space="preserve">В </w:t>
      </w:r>
      <w:r w:rsidRPr="00467F9C">
        <w:rPr>
          <w:sz w:val="28"/>
          <w:szCs w:val="28"/>
        </w:rPr>
        <w:t xml:space="preserve">соглашениях о предоставлении из окружного бюджета субсидий установлено 240 нарушений положений нормативных правовых актов, определяющих условия предоставления субсидий. Наибольшее количество нарушений (45,8%) допущено Департаментом промышленной политики. </w:t>
      </w:r>
    </w:p>
    <w:p w:rsidR="009E26F4" w:rsidRPr="00467F9C" w:rsidRDefault="009E26F4" w:rsidP="00191861">
      <w:pPr>
        <w:ind w:firstLine="709"/>
        <w:jc w:val="both"/>
        <w:rPr>
          <w:sz w:val="28"/>
          <w:szCs w:val="28"/>
        </w:rPr>
      </w:pPr>
      <w:r w:rsidRPr="00467F9C">
        <w:rPr>
          <w:sz w:val="28"/>
          <w:szCs w:val="28"/>
        </w:rPr>
        <w:t>Наибольший объем нарушений (63,3%) приходится на несоблюдение главными распорядителями средств окружного бюджета требования статьи 78 Бюджетного кодекса о необходимости заключать соглашения о предоставлении субсидий в</w:t>
      </w:r>
      <w:r w:rsidRPr="00467F9C">
        <w:rPr>
          <w:sz w:val="28"/>
          <w:szCs w:val="28"/>
          <w:lang w:val="en-US"/>
        </w:rPr>
        <w:t> </w:t>
      </w:r>
      <w:r w:rsidRPr="00467F9C">
        <w:rPr>
          <w:sz w:val="28"/>
          <w:szCs w:val="28"/>
        </w:rPr>
        <w:t xml:space="preserve">соответствии с Типовыми формами. </w:t>
      </w:r>
    </w:p>
    <w:p w:rsidR="009E26F4" w:rsidRPr="00467F9C" w:rsidRDefault="009E26F4" w:rsidP="004962F4">
      <w:pPr>
        <w:pStyle w:val="affc"/>
      </w:pPr>
      <w:r w:rsidRPr="00467F9C">
        <w:t>Выявлено 8 случаев расхождения установленных показателей результативности реализации мероприятий трех государственных программ Чукотского автономного округа с показателями, отраженными в соглашениях и нормативных правовых актах Чукотского автономного округа, регулирующих предоставление субсидий, в шести из которых главным администратором бюджетных средств является Департамент промышленной политики.</w:t>
      </w:r>
    </w:p>
    <w:p w:rsidR="009E26F4" w:rsidRPr="00467F9C" w:rsidRDefault="009E26F4" w:rsidP="004962F4">
      <w:pPr>
        <w:pStyle w:val="affc"/>
      </w:pPr>
      <w:r w:rsidRPr="00467F9C">
        <w:t xml:space="preserve">Наибольшая доля невыполненных бюджетных обязательств за отчетный период приходится </w:t>
      </w:r>
      <w:r w:rsidRPr="00467F9C">
        <w:rPr>
          <w:b/>
        </w:rPr>
        <w:t xml:space="preserve">на вид расходов 500 </w:t>
      </w:r>
      <w:r w:rsidRPr="00467F9C">
        <w:rPr>
          <w:b/>
          <w:lang w:eastAsia="ar-SA"/>
        </w:rPr>
        <w:t>«Межбюджетные трансферты</w:t>
      </w:r>
      <w:r w:rsidRPr="00467F9C">
        <w:rPr>
          <w:b/>
        </w:rPr>
        <w:t>»</w:t>
      </w:r>
      <w:r w:rsidRPr="00467F9C">
        <w:t xml:space="preserve"> – 550 538,8 тыс. рублей (из них 39,1% или 215 528,5 тыс. рублей занимают неисполненные ассигнования «Субсидии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и 24,5% или 135 112,7 тыс. рублей «Субсидии на обеспечение мероприятий по развитию жилищного строительства») и «Иные бюджетные ассигнования» – 425 531,9 тыс. рублей (основную долю 92,4% или 393 316,7 тыс. рублей занимают неисполненные ассигнования «Субсидии гарантирующим поставщикам (энергосбытовым (энергоснабжающим) организациям) на возмещение недополученных доходов в связи с доведением цен (тарифов) на электрическую энергию (мощность) до базовых уровней цен (тарифов) на электрическую энергию (мощность) за счет безвозмездных поступлений от юридических лиц»).</w:t>
      </w:r>
    </w:p>
    <w:p w:rsidR="009E26F4" w:rsidRPr="00467F9C" w:rsidRDefault="009E26F4" w:rsidP="004962F4">
      <w:pPr>
        <w:pStyle w:val="affc"/>
      </w:pPr>
      <w:r w:rsidRPr="00467F9C">
        <w:t xml:space="preserve">В составе расходов окружного бюджета предусмотрены </w:t>
      </w:r>
      <w:r w:rsidRPr="00467F9C">
        <w:rPr>
          <w:b/>
        </w:rPr>
        <w:t xml:space="preserve">субсидии бюджетным, автономным и иным некоммерческим организациям </w:t>
      </w:r>
      <w:r w:rsidRPr="00467F9C">
        <w:rPr>
          <w:rFonts w:eastAsiaTheme="minorHAnsi"/>
          <w:b/>
        </w:rPr>
        <w:t>на выполнение государственного задания и на иные цели, а также грантов</w:t>
      </w:r>
      <w:r w:rsidRPr="00467F9C">
        <w:rPr>
          <w:rFonts w:eastAsiaTheme="minorHAnsi"/>
        </w:rPr>
        <w:t xml:space="preserve"> </w:t>
      </w:r>
      <w:r w:rsidRPr="00467F9C">
        <w:rPr>
          <w:b/>
        </w:rPr>
        <w:t>(вид расходов 600)</w:t>
      </w:r>
      <w:r w:rsidRPr="00467F9C">
        <w:t xml:space="preserve"> в сумме 6 155 128,0 тыс. рублей, исполнение составило 6 098 756,0 тыс. рублей или 99,1% плановых назначений (таблица №11).</w:t>
      </w:r>
    </w:p>
    <w:p w:rsidR="009E26F4" w:rsidRPr="00467F9C" w:rsidRDefault="009E26F4" w:rsidP="00191861">
      <w:pPr>
        <w:autoSpaceDE w:val="0"/>
        <w:autoSpaceDN w:val="0"/>
        <w:adjustRightInd w:val="0"/>
        <w:ind w:firstLine="709"/>
        <w:jc w:val="right"/>
        <w:rPr>
          <w:bCs/>
          <w:sz w:val="28"/>
          <w:szCs w:val="28"/>
        </w:rPr>
      </w:pPr>
      <w:r w:rsidRPr="00467F9C">
        <w:rPr>
          <w:bCs/>
          <w:sz w:val="28"/>
          <w:szCs w:val="28"/>
        </w:rPr>
        <w:t>Таблица №11</w:t>
      </w:r>
    </w:p>
    <w:p w:rsidR="009E26F4" w:rsidRPr="00467F9C" w:rsidRDefault="009E26F4" w:rsidP="00191861">
      <w:pPr>
        <w:autoSpaceDE w:val="0"/>
        <w:autoSpaceDN w:val="0"/>
        <w:adjustRightInd w:val="0"/>
        <w:ind w:firstLine="709"/>
        <w:jc w:val="right"/>
        <w:rPr>
          <w:bCs/>
          <w:sz w:val="28"/>
          <w:szCs w:val="28"/>
        </w:rPr>
      </w:pPr>
      <w:r w:rsidRPr="00467F9C">
        <w:rPr>
          <w:bCs/>
          <w:sz w:val="28"/>
          <w:szCs w:val="28"/>
        </w:rPr>
        <w:t>(тыс. рублей)</w:t>
      </w:r>
    </w:p>
    <w:tbl>
      <w:tblPr>
        <w:tblW w:w="10062" w:type="dxa"/>
        <w:tblInd w:w="-147" w:type="dxa"/>
        <w:tblLook w:val="04A0" w:firstRow="1" w:lastRow="0" w:firstColumn="1" w:lastColumn="0" w:noHBand="0" w:noVBand="1"/>
      </w:tblPr>
      <w:tblGrid>
        <w:gridCol w:w="4088"/>
        <w:gridCol w:w="1157"/>
        <w:gridCol w:w="1145"/>
        <w:gridCol w:w="1123"/>
        <w:gridCol w:w="1461"/>
        <w:gridCol w:w="1088"/>
      </w:tblGrid>
      <w:tr w:rsidR="009E26F4" w:rsidRPr="007278C9" w:rsidTr="004962F4">
        <w:trPr>
          <w:trHeight w:val="510"/>
          <w:tblHeader/>
        </w:trPr>
        <w:tc>
          <w:tcPr>
            <w:tcW w:w="4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 xml:space="preserve">Наименование показателя </w:t>
            </w:r>
            <w:r w:rsidRPr="007278C9">
              <w:rPr>
                <w:sz w:val="20"/>
                <w:szCs w:val="20"/>
              </w:rPr>
              <w:br/>
              <w:t>(вид расходов)</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7278C9">
            <w:pPr>
              <w:ind w:left="-107"/>
              <w:jc w:val="center"/>
              <w:rPr>
                <w:sz w:val="20"/>
                <w:szCs w:val="20"/>
              </w:rPr>
            </w:pPr>
            <w:r w:rsidRPr="007278C9">
              <w:rPr>
                <w:sz w:val="20"/>
                <w:szCs w:val="20"/>
              </w:rPr>
              <w:t>Утверждено</w:t>
            </w:r>
            <w:r w:rsidRPr="007278C9">
              <w:rPr>
                <w:sz w:val="20"/>
                <w:szCs w:val="20"/>
              </w:rPr>
              <w:br/>
              <w:t>(СБР)</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7278C9">
            <w:pPr>
              <w:ind w:left="-103"/>
              <w:jc w:val="center"/>
              <w:rPr>
                <w:sz w:val="20"/>
                <w:szCs w:val="20"/>
              </w:rPr>
            </w:pPr>
            <w:r w:rsidRPr="007278C9">
              <w:rPr>
                <w:sz w:val="20"/>
                <w:szCs w:val="20"/>
              </w:rPr>
              <w:t>Исполнено</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3601C9">
            <w:pPr>
              <w:ind w:left="-121" w:right="-126"/>
              <w:jc w:val="center"/>
              <w:rPr>
                <w:sz w:val="20"/>
                <w:szCs w:val="20"/>
              </w:rPr>
            </w:pPr>
            <w:r w:rsidRPr="007278C9">
              <w:rPr>
                <w:sz w:val="20"/>
                <w:szCs w:val="20"/>
              </w:rPr>
              <w:t>Отклонение (гр.3-гр.2)</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191861">
            <w:pPr>
              <w:ind w:left="-206" w:right="-110"/>
              <w:jc w:val="center"/>
              <w:rPr>
                <w:sz w:val="20"/>
                <w:szCs w:val="20"/>
              </w:rPr>
            </w:pPr>
            <w:r w:rsidRPr="007278C9">
              <w:rPr>
                <w:sz w:val="20"/>
                <w:szCs w:val="20"/>
              </w:rPr>
              <w:t>Уровень исполнения, %</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Удельный вес, %</w:t>
            </w:r>
          </w:p>
        </w:tc>
      </w:tr>
      <w:tr w:rsidR="009E26F4" w:rsidRPr="007278C9" w:rsidTr="004962F4">
        <w:trPr>
          <w:trHeight w:val="255"/>
          <w:tblHeader/>
        </w:trPr>
        <w:tc>
          <w:tcPr>
            <w:tcW w:w="4088"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1</w:t>
            </w:r>
          </w:p>
        </w:tc>
        <w:tc>
          <w:tcPr>
            <w:tcW w:w="115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7"/>
              <w:jc w:val="center"/>
              <w:rPr>
                <w:sz w:val="20"/>
                <w:szCs w:val="20"/>
              </w:rPr>
            </w:pPr>
            <w:r w:rsidRPr="007278C9">
              <w:rPr>
                <w:sz w:val="20"/>
                <w:szCs w:val="20"/>
              </w:rPr>
              <w:t>2</w:t>
            </w:r>
          </w:p>
        </w:tc>
        <w:tc>
          <w:tcPr>
            <w:tcW w:w="1145"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3"/>
              <w:jc w:val="center"/>
              <w:rPr>
                <w:sz w:val="20"/>
                <w:szCs w:val="20"/>
              </w:rPr>
            </w:pPr>
            <w:r w:rsidRPr="007278C9">
              <w:rPr>
                <w:sz w:val="20"/>
                <w:szCs w:val="20"/>
              </w:rPr>
              <w:t>3</w:t>
            </w:r>
          </w:p>
        </w:tc>
        <w:tc>
          <w:tcPr>
            <w:tcW w:w="1123"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4</w:t>
            </w:r>
          </w:p>
        </w:tc>
        <w:tc>
          <w:tcPr>
            <w:tcW w:w="146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5</w:t>
            </w:r>
          </w:p>
        </w:tc>
        <w:tc>
          <w:tcPr>
            <w:tcW w:w="108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6</w:t>
            </w:r>
          </w:p>
        </w:tc>
      </w:tr>
      <w:tr w:rsidR="009E26F4" w:rsidRPr="007278C9" w:rsidTr="004962F4">
        <w:trPr>
          <w:trHeight w:val="335"/>
        </w:trPr>
        <w:tc>
          <w:tcPr>
            <w:tcW w:w="4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6F4" w:rsidRDefault="009E26F4" w:rsidP="00191861">
            <w:pPr>
              <w:rPr>
                <w:b/>
                <w:bCs/>
                <w:sz w:val="20"/>
                <w:szCs w:val="20"/>
              </w:rPr>
            </w:pPr>
            <w:r w:rsidRPr="007278C9">
              <w:rPr>
                <w:b/>
                <w:bCs/>
                <w:sz w:val="20"/>
                <w:szCs w:val="20"/>
              </w:rPr>
              <w:t>600 Предоставление субсидий бюджетным, автономным учреждениям и иным некоммерческим организациям</w:t>
            </w:r>
          </w:p>
          <w:p w:rsidR="004962F4" w:rsidRPr="004962F4" w:rsidRDefault="004962F4" w:rsidP="00191861">
            <w:pPr>
              <w:rPr>
                <w:b/>
                <w:bCs/>
                <w:sz w:val="4"/>
                <w:szCs w:val="4"/>
              </w:rPr>
            </w:pP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rsidR="009E26F4" w:rsidRPr="007278C9" w:rsidRDefault="009E26F4" w:rsidP="007278C9">
            <w:pPr>
              <w:ind w:left="-107"/>
              <w:jc w:val="right"/>
              <w:rPr>
                <w:b/>
                <w:bCs/>
                <w:sz w:val="20"/>
                <w:szCs w:val="20"/>
              </w:rPr>
            </w:pPr>
            <w:r w:rsidRPr="007278C9">
              <w:rPr>
                <w:b/>
                <w:bCs/>
                <w:sz w:val="20"/>
                <w:szCs w:val="20"/>
              </w:rPr>
              <w:t>6 155 128,0</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9E26F4" w:rsidRPr="007278C9" w:rsidRDefault="009E26F4" w:rsidP="007278C9">
            <w:pPr>
              <w:ind w:left="-103"/>
              <w:jc w:val="right"/>
              <w:rPr>
                <w:b/>
                <w:bCs/>
                <w:sz w:val="20"/>
                <w:szCs w:val="20"/>
              </w:rPr>
            </w:pPr>
            <w:r w:rsidRPr="007278C9">
              <w:rPr>
                <w:b/>
                <w:bCs/>
                <w:sz w:val="20"/>
                <w:szCs w:val="20"/>
              </w:rPr>
              <w:t>6 098 756,0</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rsidR="009E26F4" w:rsidRPr="007278C9" w:rsidRDefault="009E26F4" w:rsidP="00191861">
            <w:pPr>
              <w:jc w:val="right"/>
              <w:rPr>
                <w:b/>
                <w:bCs/>
                <w:sz w:val="20"/>
                <w:szCs w:val="20"/>
              </w:rPr>
            </w:pPr>
            <w:r w:rsidRPr="007278C9">
              <w:rPr>
                <w:b/>
                <w:bCs/>
                <w:sz w:val="20"/>
                <w:szCs w:val="20"/>
              </w:rPr>
              <w:t>-  56 372,0</w:t>
            </w:r>
          </w:p>
        </w:tc>
        <w:tc>
          <w:tcPr>
            <w:tcW w:w="1461" w:type="dxa"/>
            <w:tcBorders>
              <w:top w:val="single" w:sz="4" w:space="0" w:color="auto"/>
              <w:left w:val="nil"/>
              <w:bottom w:val="single" w:sz="4" w:space="0" w:color="auto"/>
              <w:right w:val="single" w:sz="4" w:space="0" w:color="auto"/>
            </w:tcBorders>
            <w:shd w:val="clear" w:color="auto" w:fill="auto"/>
            <w:noWrap/>
            <w:vAlign w:val="center"/>
            <w:hideMark/>
          </w:tcPr>
          <w:p w:rsidR="009E26F4" w:rsidRPr="007278C9" w:rsidRDefault="009E26F4" w:rsidP="00191861">
            <w:pPr>
              <w:jc w:val="center"/>
              <w:rPr>
                <w:b/>
                <w:bCs/>
                <w:sz w:val="20"/>
                <w:szCs w:val="20"/>
              </w:rPr>
            </w:pPr>
            <w:r w:rsidRPr="007278C9">
              <w:rPr>
                <w:b/>
                <w:bCs/>
                <w:sz w:val="20"/>
                <w:szCs w:val="20"/>
              </w:rPr>
              <w:t>99,1</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9E26F4" w:rsidRPr="007278C9" w:rsidRDefault="009E26F4" w:rsidP="00191861">
            <w:pPr>
              <w:jc w:val="center"/>
              <w:rPr>
                <w:b/>
                <w:bCs/>
                <w:sz w:val="20"/>
                <w:szCs w:val="20"/>
              </w:rPr>
            </w:pPr>
            <w:r w:rsidRPr="007278C9">
              <w:rPr>
                <w:b/>
                <w:bCs/>
                <w:sz w:val="20"/>
                <w:szCs w:val="20"/>
              </w:rPr>
              <w:t>100,0</w:t>
            </w:r>
          </w:p>
        </w:tc>
      </w:tr>
      <w:tr w:rsidR="009E26F4" w:rsidRPr="007278C9" w:rsidTr="004962F4">
        <w:trPr>
          <w:trHeight w:val="405"/>
        </w:trPr>
        <w:tc>
          <w:tcPr>
            <w:tcW w:w="4088"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611 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1157"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7278C9">
            <w:pPr>
              <w:ind w:left="-107"/>
              <w:jc w:val="right"/>
              <w:rPr>
                <w:sz w:val="20"/>
                <w:szCs w:val="20"/>
              </w:rPr>
            </w:pPr>
            <w:r w:rsidRPr="007278C9">
              <w:rPr>
                <w:sz w:val="20"/>
                <w:szCs w:val="20"/>
              </w:rPr>
              <w:t>732 290,7</w:t>
            </w:r>
          </w:p>
        </w:tc>
        <w:tc>
          <w:tcPr>
            <w:tcW w:w="1145"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7278C9">
            <w:pPr>
              <w:ind w:left="-103"/>
              <w:jc w:val="right"/>
              <w:rPr>
                <w:sz w:val="20"/>
                <w:szCs w:val="20"/>
              </w:rPr>
            </w:pPr>
            <w:r w:rsidRPr="007278C9">
              <w:rPr>
                <w:sz w:val="20"/>
                <w:szCs w:val="20"/>
              </w:rPr>
              <w:t>730 913,5</w:t>
            </w:r>
          </w:p>
        </w:tc>
        <w:tc>
          <w:tcPr>
            <w:tcW w:w="1123"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right"/>
              <w:rPr>
                <w:sz w:val="20"/>
                <w:szCs w:val="20"/>
              </w:rPr>
            </w:pPr>
            <w:r w:rsidRPr="007278C9">
              <w:rPr>
                <w:sz w:val="20"/>
                <w:szCs w:val="20"/>
              </w:rPr>
              <w:t>-  1 377,2</w:t>
            </w:r>
          </w:p>
        </w:tc>
        <w:tc>
          <w:tcPr>
            <w:tcW w:w="1461"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center"/>
              <w:rPr>
                <w:sz w:val="20"/>
                <w:szCs w:val="20"/>
              </w:rPr>
            </w:pPr>
            <w:r w:rsidRPr="007278C9">
              <w:rPr>
                <w:sz w:val="20"/>
                <w:szCs w:val="20"/>
              </w:rPr>
              <w:t>99,8</w:t>
            </w:r>
          </w:p>
        </w:tc>
        <w:tc>
          <w:tcPr>
            <w:tcW w:w="1088"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center"/>
              <w:rPr>
                <w:sz w:val="20"/>
                <w:szCs w:val="20"/>
              </w:rPr>
            </w:pPr>
            <w:r w:rsidRPr="007278C9">
              <w:rPr>
                <w:sz w:val="20"/>
                <w:szCs w:val="20"/>
              </w:rPr>
              <w:t>12,0</w:t>
            </w:r>
          </w:p>
        </w:tc>
      </w:tr>
      <w:tr w:rsidR="009E26F4" w:rsidRPr="007278C9" w:rsidTr="004962F4">
        <w:trPr>
          <w:trHeight w:val="405"/>
        </w:trPr>
        <w:tc>
          <w:tcPr>
            <w:tcW w:w="4088"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lastRenderedPageBreak/>
              <w:t>612 Субсидии бюджетным учреждениям на иные цели</w:t>
            </w:r>
          </w:p>
        </w:tc>
        <w:tc>
          <w:tcPr>
            <w:tcW w:w="1157"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7278C9">
            <w:pPr>
              <w:ind w:left="-107"/>
              <w:jc w:val="right"/>
              <w:rPr>
                <w:sz w:val="20"/>
                <w:szCs w:val="20"/>
              </w:rPr>
            </w:pPr>
            <w:r w:rsidRPr="007278C9">
              <w:rPr>
                <w:sz w:val="20"/>
                <w:szCs w:val="20"/>
              </w:rPr>
              <w:t>2 028 576,0</w:t>
            </w:r>
          </w:p>
        </w:tc>
        <w:tc>
          <w:tcPr>
            <w:tcW w:w="1145"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7278C9">
            <w:pPr>
              <w:ind w:left="-103"/>
              <w:jc w:val="right"/>
              <w:rPr>
                <w:sz w:val="20"/>
                <w:szCs w:val="20"/>
              </w:rPr>
            </w:pPr>
            <w:r w:rsidRPr="007278C9">
              <w:rPr>
                <w:sz w:val="20"/>
                <w:szCs w:val="20"/>
              </w:rPr>
              <w:t>2 011 146,0</w:t>
            </w:r>
          </w:p>
        </w:tc>
        <w:tc>
          <w:tcPr>
            <w:tcW w:w="1123"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right"/>
              <w:rPr>
                <w:sz w:val="20"/>
                <w:szCs w:val="20"/>
              </w:rPr>
            </w:pPr>
            <w:r w:rsidRPr="007278C9">
              <w:rPr>
                <w:sz w:val="20"/>
                <w:szCs w:val="20"/>
              </w:rPr>
              <w:t>-  17 430,0</w:t>
            </w:r>
          </w:p>
        </w:tc>
        <w:tc>
          <w:tcPr>
            <w:tcW w:w="1461"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center"/>
              <w:rPr>
                <w:sz w:val="20"/>
                <w:szCs w:val="20"/>
              </w:rPr>
            </w:pPr>
            <w:r w:rsidRPr="007278C9">
              <w:rPr>
                <w:sz w:val="20"/>
                <w:szCs w:val="20"/>
              </w:rPr>
              <w:t>99,1</w:t>
            </w:r>
          </w:p>
        </w:tc>
        <w:tc>
          <w:tcPr>
            <w:tcW w:w="1088"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center"/>
              <w:rPr>
                <w:sz w:val="20"/>
                <w:szCs w:val="20"/>
              </w:rPr>
            </w:pPr>
            <w:r w:rsidRPr="007278C9">
              <w:rPr>
                <w:sz w:val="20"/>
                <w:szCs w:val="20"/>
              </w:rPr>
              <w:t>33,0</w:t>
            </w:r>
          </w:p>
        </w:tc>
      </w:tr>
      <w:tr w:rsidR="009E26F4" w:rsidRPr="007278C9" w:rsidTr="004962F4">
        <w:trPr>
          <w:trHeight w:val="405"/>
        </w:trPr>
        <w:tc>
          <w:tcPr>
            <w:tcW w:w="4088"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613 Гранты в форме субсидии бюджетным учреждениям</w:t>
            </w:r>
          </w:p>
        </w:tc>
        <w:tc>
          <w:tcPr>
            <w:tcW w:w="1157"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7278C9">
            <w:pPr>
              <w:ind w:left="-107"/>
              <w:jc w:val="right"/>
              <w:rPr>
                <w:sz w:val="20"/>
                <w:szCs w:val="20"/>
              </w:rPr>
            </w:pPr>
            <w:r w:rsidRPr="007278C9">
              <w:rPr>
                <w:sz w:val="20"/>
                <w:szCs w:val="20"/>
              </w:rPr>
              <w:t>2 650,4</w:t>
            </w:r>
          </w:p>
        </w:tc>
        <w:tc>
          <w:tcPr>
            <w:tcW w:w="1145"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7278C9">
            <w:pPr>
              <w:ind w:left="-103"/>
              <w:jc w:val="right"/>
              <w:rPr>
                <w:sz w:val="20"/>
                <w:szCs w:val="20"/>
              </w:rPr>
            </w:pPr>
            <w:r w:rsidRPr="007278C9">
              <w:rPr>
                <w:sz w:val="20"/>
                <w:szCs w:val="20"/>
              </w:rPr>
              <w:t>2 650,4</w:t>
            </w:r>
          </w:p>
        </w:tc>
        <w:tc>
          <w:tcPr>
            <w:tcW w:w="1123"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right"/>
              <w:rPr>
                <w:sz w:val="20"/>
                <w:szCs w:val="20"/>
              </w:rPr>
            </w:pPr>
            <w:r w:rsidRPr="007278C9">
              <w:rPr>
                <w:sz w:val="20"/>
                <w:szCs w:val="20"/>
              </w:rPr>
              <w:t>-</w:t>
            </w:r>
          </w:p>
        </w:tc>
        <w:tc>
          <w:tcPr>
            <w:tcW w:w="1461"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center"/>
              <w:rPr>
                <w:sz w:val="20"/>
                <w:szCs w:val="20"/>
              </w:rPr>
            </w:pPr>
            <w:r w:rsidRPr="007278C9">
              <w:rPr>
                <w:sz w:val="20"/>
                <w:szCs w:val="20"/>
              </w:rPr>
              <w:t>100,0</w:t>
            </w:r>
          </w:p>
        </w:tc>
        <w:tc>
          <w:tcPr>
            <w:tcW w:w="1088"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center"/>
              <w:rPr>
                <w:sz w:val="20"/>
                <w:szCs w:val="20"/>
              </w:rPr>
            </w:pPr>
            <w:r w:rsidRPr="007278C9">
              <w:rPr>
                <w:sz w:val="20"/>
                <w:szCs w:val="20"/>
              </w:rPr>
              <w:t>менее 0,1</w:t>
            </w:r>
          </w:p>
        </w:tc>
      </w:tr>
      <w:tr w:rsidR="009E26F4" w:rsidRPr="007278C9" w:rsidTr="004962F4">
        <w:trPr>
          <w:trHeight w:val="405"/>
        </w:trPr>
        <w:tc>
          <w:tcPr>
            <w:tcW w:w="4088"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621 Субсидии автономным учреждениям на финансовое обеспечение государственного задания на оказание государственных услуг (выполнение работ)</w:t>
            </w:r>
          </w:p>
        </w:tc>
        <w:tc>
          <w:tcPr>
            <w:tcW w:w="1157"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7278C9">
            <w:pPr>
              <w:ind w:left="-107"/>
              <w:jc w:val="right"/>
              <w:rPr>
                <w:sz w:val="20"/>
                <w:szCs w:val="20"/>
              </w:rPr>
            </w:pPr>
            <w:r w:rsidRPr="007278C9">
              <w:rPr>
                <w:sz w:val="20"/>
                <w:szCs w:val="20"/>
              </w:rPr>
              <w:t>1 670 246,4</w:t>
            </w:r>
          </w:p>
        </w:tc>
        <w:tc>
          <w:tcPr>
            <w:tcW w:w="1145"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7278C9">
            <w:pPr>
              <w:ind w:left="-103"/>
              <w:jc w:val="right"/>
              <w:rPr>
                <w:sz w:val="20"/>
                <w:szCs w:val="20"/>
              </w:rPr>
            </w:pPr>
            <w:r w:rsidRPr="007278C9">
              <w:rPr>
                <w:sz w:val="20"/>
                <w:szCs w:val="20"/>
              </w:rPr>
              <w:t>1 670 246,4</w:t>
            </w:r>
          </w:p>
        </w:tc>
        <w:tc>
          <w:tcPr>
            <w:tcW w:w="1123"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right"/>
              <w:rPr>
                <w:sz w:val="20"/>
                <w:szCs w:val="20"/>
              </w:rPr>
            </w:pPr>
            <w:r w:rsidRPr="007278C9">
              <w:rPr>
                <w:sz w:val="20"/>
                <w:szCs w:val="20"/>
              </w:rPr>
              <w:t>-</w:t>
            </w:r>
          </w:p>
        </w:tc>
        <w:tc>
          <w:tcPr>
            <w:tcW w:w="1461"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center"/>
              <w:rPr>
                <w:sz w:val="20"/>
                <w:szCs w:val="20"/>
              </w:rPr>
            </w:pPr>
            <w:r w:rsidRPr="007278C9">
              <w:rPr>
                <w:sz w:val="20"/>
                <w:szCs w:val="20"/>
              </w:rPr>
              <w:t>100,0</w:t>
            </w:r>
          </w:p>
        </w:tc>
        <w:tc>
          <w:tcPr>
            <w:tcW w:w="1088"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center"/>
              <w:rPr>
                <w:sz w:val="20"/>
                <w:szCs w:val="20"/>
              </w:rPr>
            </w:pPr>
            <w:r w:rsidRPr="007278C9">
              <w:rPr>
                <w:sz w:val="20"/>
                <w:szCs w:val="20"/>
              </w:rPr>
              <w:t>27,4</w:t>
            </w:r>
          </w:p>
        </w:tc>
      </w:tr>
      <w:tr w:rsidR="009E26F4" w:rsidRPr="007278C9" w:rsidTr="004962F4">
        <w:trPr>
          <w:trHeight w:val="405"/>
        </w:trPr>
        <w:tc>
          <w:tcPr>
            <w:tcW w:w="4088"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622 Субсидии автономным учреждениям на иные цели</w:t>
            </w:r>
          </w:p>
        </w:tc>
        <w:tc>
          <w:tcPr>
            <w:tcW w:w="1157"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7278C9">
            <w:pPr>
              <w:ind w:left="-107"/>
              <w:jc w:val="right"/>
              <w:rPr>
                <w:sz w:val="20"/>
                <w:szCs w:val="20"/>
              </w:rPr>
            </w:pPr>
            <w:r w:rsidRPr="007278C9">
              <w:rPr>
                <w:sz w:val="20"/>
                <w:szCs w:val="20"/>
              </w:rPr>
              <w:t>440 268,2</w:t>
            </w:r>
          </w:p>
        </w:tc>
        <w:tc>
          <w:tcPr>
            <w:tcW w:w="1145"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7278C9">
            <w:pPr>
              <w:ind w:left="-103"/>
              <w:jc w:val="right"/>
              <w:rPr>
                <w:sz w:val="20"/>
                <w:szCs w:val="20"/>
              </w:rPr>
            </w:pPr>
            <w:r w:rsidRPr="007278C9">
              <w:rPr>
                <w:sz w:val="20"/>
                <w:szCs w:val="20"/>
              </w:rPr>
              <w:t>410 433,3</w:t>
            </w:r>
          </w:p>
        </w:tc>
        <w:tc>
          <w:tcPr>
            <w:tcW w:w="1123"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right"/>
              <w:rPr>
                <w:sz w:val="20"/>
                <w:szCs w:val="20"/>
              </w:rPr>
            </w:pPr>
            <w:r w:rsidRPr="007278C9">
              <w:rPr>
                <w:sz w:val="20"/>
                <w:szCs w:val="20"/>
              </w:rPr>
              <w:t>-  29 834,9</w:t>
            </w:r>
          </w:p>
        </w:tc>
        <w:tc>
          <w:tcPr>
            <w:tcW w:w="1461"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center"/>
              <w:rPr>
                <w:sz w:val="20"/>
                <w:szCs w:val="20"/>
              </w:rPr>
            </w:pPr>
            <w:r w:rsidRPr="007278C9">
              <w:rPr>
                <w:sz w:val="20"/>
                <w:szCs w:val="20"/>
              </w:rPr>
              <w:t>93,2</w:t>
            </w:r>
          </w:p>
        </w:tc>
        <w:tc>
          <w:tcPr>
            <w:tcW w:w="1088"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center"/>
              <w:rPr>
                <w:sz w:val="20"/>
                <w:szCs w:val="20"/>
              </w:rPr>
            </w:pPr>
            <w:r w:rsidRPr="007278C9">
              <w:rPr>
                <w:sz w:val="20"/>
                <w:szCs w:val="20"/>
              </w:rPr>
              <w:t>6,7</w:t>
            </w:r>
          </w:p>
        </w:tc>
      </w:tr>
      <w:tr w:rsidR="009E26F4" w:rsidRPr="007278C9" w:rsidTr="004962F4">
        <w:trPr>
          <w:trHeight w:val="405"/>
        </w:trPr>
        <w:tc>
          <w:tcPr>
            <w:tcW w:w="4088"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623 Гранты в форме субсидии автономным учреждениям</w:t>
            </w:r>
          </w:p>
        </w:tc>
        <w:tc>
          <w:tcPr>
            <w:tcW w:w="1157"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7278C9">
            <w:pPr>
              <w:ind w:left="-107"/>
              <w:jc w:val="right"/>
              <w:rPr>
                <w:sz w:val="20"/>
                <w:szCs w:val="20"/>
              </w:rPr>
            </w:pPr>
            <w:r w:rsidRPr="007278C9">
              <w:rPr>
                <w:sz w:val="20"/>
                <w:szCs w:val="20"/>
              </w:rPr>
              <w:t>1 984,8</w:t>
            </w:r>
          </w:p>
        </w:tc>
        <w:tc>
          <w:tcPr>
            <w:tcW w:w="1145"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7278C9">
            <w:pPr>
              <w:ind w:left="-103"/>
              <w:jc w:val="right"/>
              <w:rPr>
                <w:sz w:val="20"/>
                <w:szCs w:val="20"/>
              </w:rPr>
            </w:pPr>
            <w:r w:rsidRPr="007278C9">
              <w:rPr>
                <w:sz w:val="20"/>
                <w:szCs w:val="20"/>
              </w:rPr>
              <w:t>1 964,7</w:t>
            </w:r>
          </w:p>
        </w:tc>
        <w:tc>
          <w:tcPr>
            <w:tcW w:w="1123"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right"/>
              <w:rPr>
                <w:sz w:val="20"/>
                <w:szCs w:val="20"/>
              </w:rPr>
            </w:pPr>
            <w:r w:rsidRPr="007278C9">
              <w:rPr>
                <w:sz w:val="20"/>
                <w:szCs w:val="20"/>
              </w:rPr>
              <w:t>-  20,1</w:t>
            </w:r>
          </w:p>
        </w:tc>
        <w:tc>
          <w:tcPr>
            <w:tcW w:w="1461"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center"/>
              <w:rPr>
                <w:sz w:val="20"/>
                <w:szCs w:val="20"/>
              </w:rPr>
            </w:pPr>
            <w:r w:rsidRPr="007278C9">
              <w:rPr>
                <w:sz w:val="20"/>
                <w:szCs w:val="20"/>
              </w:rPr>
              <w:t>99,0</w:t>
            </w:r>
          </w:p>
        </w:tc>
        <w:tc>
          <w:tcPr>
            <w:tcW w:w="1088"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center"/>
              <w:rPr>
                <w:sz w:val="20"/>
                <w:szCs w:val="20"/>
              </w:rPr>
            </w:pPr>
            <w:r w:rsidRPr="007278C9">
              <w:rPr>
                <w:sz w:val="20"/>
                <w:szCs w:val="20"/>
              </w:rPr>
              <w:t>менее 0,1</w:t>
            </w:r>
          </w:p>
        </w:tc>
      </w:tr>
      <w:tr w:rsidR="009E26F4" w:rsidRPr="007278C9" w:rsidTr="004962F4">
        <w:trPr>
          <w:trHeight w:val="405"/>
        </w:trPr>
        <w:tc>
          <w:tcPr>
            <w:tcW w:w="4088"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631 Субсидии на возмещение недополученных доходов и (или) возмещение фактически понесенных затрат</w:t>
            </w:r>
          </w:p>
        </w:tc>
        <w:tc>
          <w:tcPr>
            <w:tcW w:w="1157"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7278C9">
            <w:pPr>
              <w:ind w:left="-107"/>
              <w:jc w:val="right"/>
              <w:rPr>
                <w:sz w:val="20"/>
                <w:szCs w:val="20"/>
              </w:rPr>
            </w:pPr>
            <w:r w:rsidRPr="007278C9">
              <w:rPr>
                <w:sz w:val="20"/>
                <w:szCs w:val="20"/>
              </w:rPr>
              <w:t>2 227,7</w:t>
            </w:r>
          </w:p>
        </w:tc>
        <w:tc>
          <w:tcPr>
            <w:tcW w:w="1145"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7278C9">
            <w:pPr>
              <w:ind w:left="-103"/>
              <w:jc w:val="right"/>
              <w:rPr>
                <w:sz w:val="20"/>
                <w:szCs w:val="20"/>
              </w:rPr>
            </w:pPr>
            <w:r w:rsidRPr="007278C9">
              <w:rPr>
                <w:sz w:val="20"/>
                <w:szCs w:val="20"/>
              </w:rPr>
              <w:t>2 039,6</w:t>
            </w:r>
          </w:p>
        </w:tc>
        <w:tc>
          <w:tcPr>
            <w:tcW w:w="1123"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right"/>
              <w:rPr>
                <w:sz w:val="20"/>
                <w:szCs w:val="20"/>
              </w:rPr>
            </w:pPr>
            <w:r w:rsidRPr="007278C9">
              <w:rPr>
                <w:sz w:val="20"/>
                <w:szCs w:val="20"/>
              </w:rPr>
              <w:t>-  188,1</w:t>
            </w:r>
          </w:p>
        </w:tc>
        <w:tc>
          <w:tcPr>
            <w:tcW w:w="1461"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center"/>
              <w:rPr>
                <w:sz w:val="20"/>
                <w:szCs w:val="20"/>
              </w:rPr>
            </w:pPr>
            <w:r w:rsidRPr="007278C9">
              <w:rPr>
                <w:sz w:val="20"/>
                <w:szCs w:val="20"/>
              </w:rPr>
              <w:t>91,6</w:t>
            </w:r>
          </w:p>
        </w:tc>
        <w:tc>
          <w:tcPr>
            <w:tcW w:w="1088"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center"/>
              <w:rPr>
                <w:sz w:val="20"/>
                <w:szCs w:val="20"/>
              </w:rPr>
            </w:pPr>
            <w:r w:rsidRPr="007278C9">
              <w:rPr>
                <w:sz w:val="20"/>
                <w:szCs w:val="20"/>
              </w:rPr>
              <w:t>менее 0,1</w:t>
            </w:r>
          </w:p>
        </w:tc>
      </w:tr>
      <w:tr w:rsidR="009E26F4" w:rsidRPr="007278C9" w:rsidTr="004962F4">
        <w:trPr>
          <w:trHeight w:val="405"/>
        </w:trPr>
        <w:tc>
          <w:tcPr>
            <w:tcW w:w="4088"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632 Субсидии (гранты в форме субсидий), подлежащие казначейскому сопровождению</w:t>
            </w:r>
          </w:p>
        </w:tc>
        <w:tc>
          <w:tcPr>
            <w:tcW w:w="1157"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7278C9">
            <w:pPr>
              <w:ind w:left="-107"/>
              <w:jc w:val="right"/>
              <w:rPr>
                <w:sz w:val="20"/>
                <w:szCs w:val="20"/>
              </w:rPr>
            </w:pPr>
            <w:r w:rsidRPr="007278C9">
              <w:rPr>
                <w:sz w:val="20"/>
                <w:szCs w:val="20"/>
              </w:rPr>
              <w:t>19 046,9</w:t>
            </w:r>
          </w:p>
        </w:tc>
        <w:tc>
          <w:tcPr>
            <w:tcW w:w="1145"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7278C9">
            <w:pPr>
              <w:ind w:left="-103"/>
              <w:jc w:val="right"/>
              <w:rPr>
                <w:sz w:val="20"/>
                <w:szCs w:val="20"/>
              </w:rPr>
            </w:pPr>
            <w:r w:rsidRPr="007278C9">
              <w:rPr>
                <w:sz w:val="20"/>
                <w:szCs w:val="20"/>
              </w:rPr>
              <w:t>19 046,8</w:t>
            </w:r>
          </w:p>
        </w:tc>
        <w:tc>
          <w:tcPr>
            <w:tcW w:w="1123"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right"/>
              <w:rPr>
                <w:sz w:val="20"/>
                <w:szCs w:val="20"/>
              </w:rPr>
            </w:pPr>
            <w:r w:rsidRPr="007278C9">
              <w:rPr>
                <w:sz w:val="20"/>
                <w:szCs w:val="20"/>
              </w:rPr>
              <w:t>-  0,1</w:t>
            </w:r>
          </w:p>
        </w:tc>
        <w:tc>
          <w:tcPr>
            <w:tcW w:w="1461"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center"/>
              <w:rPr>
                <w:sz w:val="20"/>
                <w:szCs w:val="20"/>
              </w:rPr>
            </w:pPr>
            <w:r w:rsidRPr="007278C9">
              <w:rPr>
                <w:sz w:val="20"/>
                <w:szCs w:val="20"/>
              </w:rPr>
              <w:t>99,9</w:t>
            </w:r>
          </w:p>
        </w:tc>
        <w:tc>
          <w:tcPr>
            <w:tcW w:w="1088"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center"/>
              <w:rPr>
                <w:sz w:val="20"/>
                <w:szCs w:val="20"/>
              </w:rPr>
            </w:pPr>
            <w:r w:rsidRPr="007278C9">
              <w:rPr>
                <w:sz w:val="20"/>
                <w:szCs w:val="20"/>
              </w:rPr>
              <w:t>0,3</w:t>
            </w:r>
          </w:p>
        </w:tc>
      </w:tr>
      <w:tr w:rsidR="009E26F4" w:rsidRPr="007278C9" w:rsidTr="004962F4">
        <w:trPr>
          <w:trHeight w:val="405"/>
        </w:trPr>
        <w:tc>
          <w:tcPr>
            <w:tcW w:w="4088" w:type="dxa"/>
            <w:tcBorders>
              <w:top w:val="nil"/>
              <w:left w:val="single" w:sz="4" w:space="0" w:color="auto"/>
              <w:bottom w:val="single" w:sz="4" w:space="0" w:color="auto"/>
              <w:right w:val="single" w:sz="4" w:space="0" w:color="auto"/>
            </w:tcBorders>
            <w:shd w:val="clear" w:color="auto" w:fill="auto"/>
            <w:vAlign w:val="center"/>
            <w:hideMark/>
          </w:tcPr>
          <w:p w:rsidR="009E26F4" w:rsidRDefault="009E26F4" w:rsidP="00191861">
            <w:pPr>
              <w:rPr>
                <w:sz w:val="20"/>
                <w:szCs w:val="20"/>
              </w:rPr>
            </w:pPr>
            <w:r w:rsidRPr="007278C9">
              <w:rPr>
                <w:sz w:val="20"/>
                <w:szCs w:val="20"/>
              </w:rPr>
              <w:t>633 Субсидии (гранты в форме субсидий) не подлежащие казначейскому сопровождению</w:t>
            </w:r>
          </w:p>
          <w:p w:rsidR="007278C9" w:rsidRPr="007278C9" w:rsidRDefault="007278C9" w:rsidP="00191861">
            <w:pPr>
              <w:rPr>
                <w:sz w:val="4"/>
                <w:szCs w:val="4"/>
              </w:rPr>
            </w:pPr>
          </w:p>
          <w:p w:rsidR="007278C9" w:rsidRPr="007278C9" w:rsidRDefault="007278C9" w:rsidP="00191861">
            <w:pPr>
              <w:rPr>
                <w:sz w:val="4"/>
                <w:szCs w:val="4"/>
              </w:rPr>
            </w:pPr>
          </w:p>
        </w:tc>
        <w:tc>
          <w:tcPr>
            <w:tcW w:w="1157"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7278C9">
            <w:pPr>
              <w:ind w:left="-107"/>
              <w:jc w:val="right"/>
              <w:rPr>
                <w:sz w:val="20"/>
                <w:szCs w:val="20"/>
              </w:rPr>
            </w:pPr>
            <w:r w:rsidRPr="007278C9">
              <w:rPr>
                <w:sz w:val="20"/>
                <w:szCs w:val="20"/>
              </w:rPr>
              <w:t>1 257 836,9</w:t>
            </w:r>
          </w:p>
        </w:tc>
        <w:tc>
          <w:tcPr>
            <w:tcW w:w="1145"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7278C9">
            <w:pPr>
              <w:ind w:left="-103"/>
              <w:jc w:val="right"/>
              <w:rPr>
                <w:sz w:val="20"/>
                <w:szCs w:val="20"/>
              </w:rPr>
            </w:pPr>
            <w:r w:rsidRPr="007278C9">
              <w:rPr>
                <w:sz w:val="20"/>
                <w:szCs w:val="20"/>
              </w:rPr>
              <w:t>1 250 315,3</w:t>
            </w:r>
          </w:p>
        </w:tc>
        <w:tc>
          <w:tcPr>
            <w:tcW w:w="1123"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right"/>
              <w:rPr>
                <w:sz w:val="20"/>
                <w:szCs w:val="20"/>
              </w:rPr>
            </w:pPr>
            <w:r w:rsidRPr="007278C9">
              <w:rPr>
                <w:sz w:val="20"/>
                <w:szCs w:val="20"/>
              </w:rPr>
              <w:t>-  7 521,6</w:t>
            </w:r>
          </w:p>
        </w:tc>
        <w:tc>
          <w:tcPr>
            <w:tcW w:w="1461"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center"/>
              <w:rPr>
                <w:sz w:val="20"/>
                <w:szCs w:val="20"/>
              </w:rPr>
            </w:pPr>
            <w:r w:rsidRPr="007278C9">
              <w:rPr>
                <w:sz w:val="20"/>
                <w:szCs w:val="20"/>
              </w:rPr>
              <w:t>99,4</w:t>
            </w:r>
          </w:p>
        </w:tc>
        <w:tc>
          <w:tcPr>
            <w:tcW w:w="1088" w:type="dxa"/>
            <w:tcBorders>
              <w:top w:val="nil"/>
              <w:left w:val="nil"/>
              <w:bottom w:val="single" w:sz="4" w:space="0" w:color="auto"/>
              <w:right w:val="single" w:sz="4" w:space="0" w:color="auto"/>
            </w:tcBorders>
            <w:shd w:val="clear" w:color="auto" w:fill="auto"/>
            <w:noWrap/>
            <w:vAlign w:val="center"/>
            <w:hideMark/>
          </w:tcPr>
          <w:p w:rsidR="009E26F4" w:rsidRPr="007278C9" w:rsidRDefault="009E26F4" w:rsidP="00191861">
            <w:pPr>
              <w:jc w:val="center"/>
              <w:rPr>
                <w:sz w:val="20"/>
                <w:szCs w:val="20"/>
              </w:rPr>
            </w:pPr>
            <w:r w:rsidRPr="007278C9">
              <w:rPr>
                <w:sz w:val="20"/>
                <w:szCs w:val="20"/>
              </w:rPr>
              <w:t>20,5</w:t>
            </w:r>
          </w:p>
        </w:tc>
      </w:tr>
    </w:tbl>
    <w:p w:rsidR="009E26F4" w:rsidRPr="00467F9C" w:rsidRDefault="009E26F4" w:rsidP="00191861">
      <w:pPr>
        <w:autoSpaceDE w:val="0"/>
        <w:autoSpaceDN w:val="0"/>
        <w:adjustRightInd w:val="0"/>
        <w:spacing w:before="120"/>
        <w:ind w:firstLine="709"/>
        <w:jc w:val="both"/>
        <w:rPr>
          <w:sz w:val="28"/>
          <w:szCs w:val="28"/>
        </w:rPr>
      </w:pPr>
      <w:r w:rsidRPr="00467F9C">
        <w:rPr>
          <w:sz w:val="28"/>
          <w:szCs w:val="28"/>
        </w:rPr>
        <w:t xml:space="preserve">Финансовое обеспечение деятельности подведомственных бюджетных и автономных учреждений осуществляется в рамках утвержденного плана финансово-хозяйственной деятельности, и предусмотрено за счет средств субсидий на выполнение государственного задания, субсидий на иные цели, и получаемых от приносящей доход деятельности средств. </w:t>
      </w:r>
    </w:p>
    <w:p w:rsidR="009E26F4" w:rsidRPr="00467F9C" w:rsidRDefault="009E26F4" w:rsidP="00191861">
      <w:pPr>
        <w:tabs>
          <w:tab w:val="left" w:pos="709"/>
        </w:tabs>
        <w:autoSpaceDE w:val="0"/>
        <w:autoSpaceDN w:val="0"/>
        <w:adjustRightInd w:val="0"/>
        <w:ind w:firstLine="709"/>
        <w:jc w:val="both"/>
        <w:rPr>
          <w:sz w:val="28"/>
          <w:szCs w:val="28"/>
        </w:rPr>
      </w:pPr>
      <w:r w:rsidRPr="00467F9C">
        <w:rPr>
          <w:sz w:val="28"/>
          <w:szCs w:val="28"/>
        </w:rPr>
        <w:t xml:space="preserve">Субсидии </w:t>
      </w:r>
      <w:r w:rsidRPr="00467F9C">
        <w:rPr>
          <w:b/>
          <w:sz w:val="28"/>
          <w:szCs w:val="28"/>
        </w:rPr>
        <w:t>на финансовое обеспечение государственного задания</w:t>
      </w:r>
      <w:r w:rsidRPr="00467F9C">
        <w:rPr>
          <w:sz w:val="28"/>
          <w:szCs w:val="28"/>
        </w:rPr>
        <w:t xml:space="preserve"> (вид расходов 611, 621) в сумме 2 401 159,9 тыс. рублей или 99,9% утвержденных бюджетных назначений предоставлены 22 учреждениям (бюджетные – 9, автономные – 13), полномочия учредителя которых осуществлялись 9 главными распорядителями средств окружного бюджета.</w:t>
      </w:r>
    </w:p>
    <w:p w:rsidR="009E26F4" w:rsidRPr="00467F9C" w:rsidRDefault="009E26F4" w:rsidP="00191861">
      <w:pPr>
        <w:tabs>
          <w:tab w:val="left" w:pos="709"/>
        </w:tabs>
        <w:autoSpaceDE w:val="0"/>
        <w:autoSpaceDN w:val="0"/>
        <w:adjustRightInd w:val="0"/>
        <w:ind w:firstLine="709"/>
        <w:jc w:val="both"/>
        <w:rPr>
          <w:sz w:val="28"/>
          <w:szCs w:val="28"/>
        </w:rPr>
      </w:pPr>
      <w:r w:rsidRPr="00467F9C">
        <w:rPr>
          <w:sz w:val="28"/>
          <w:szCs w:val="28"/>
        </w:rPr>
        <w:t>Наибольший размер субсидии на финансовое обеспечение государственного задания предоставлен следующим учреждениям:</w:t>
      </w:r>
    </w:p>
    <w:p w:rsidR="009E26F4" w:rsidRPr="00467F9C" w:rsidRDefault="009E26F4" w:rsidP="00191861">
      <w:pPr>
        <w:autoSpaceDE w:val="0"/>
        <w:autoSpaceDN w:val="0"/>
        <w:adjustRightInd w:val="0"/>
        <w:ind w:firstLine="709"/>
        <w:jc w:val="both"/>
        <w:rPr>
          <w:sz w:val="28"/>
          <w:szCs w:val="28"/>
        </w:rPr>
      </w:pPr>
      <w:r w:rsidRPr="00467F9C">
        <w:rPr>
          <w:sz w:val="28"/>
          <w:szCs w:val="28"/>
        </w:rPr>
        <w:t>- Государственное автономное профессиональное образовательное учреждение Чукотского автономного округа «Чукотский многопрофильный колледж» – 399 541,2 тыс. рублей или 16,6% общего объемы предоставленных субсидий на финансовое обеспечение государственного задания;</w:t>
      </w:r>
    </w:p>
    <w:p w:rsidR="009E26F4" w:rsidRPr="00467F9C" w:rsidRDefault="009E26F4" w:rsidP="00191861">
      <w:pPr>
        <w:autoSpaceDE w:val="0"/>
        <w:autoSpaceDN w:val="0"/>
        <w:adjustRightInd w:val="0"/>
        <w:ind w:firstLine="709"/>
        <w:jc w:val="both"/>
        <w:rPr>
          <w:sz w:val="28"/>
          <w:szCs w:val="28"/>
        </w:rPr>
      </w:pPr>
      <w:r w:rsidRPr="00467F9C">
        <w:rPr>
          <w:sz w:val="28"/>
          <w:szCs w:val="28"/>
        </w:rPr>
        <w:t>- Государственное бюджетное учреждение «Чукотский окружной комплексный Центр социального обслуживания населения» –265 904,1 тыс. рублей или 11,1%;</w:t>
      </w:r>
    </w:p>
    <w:p w:rsidR="009E26F4" w:rsidRPr="00467F9C" w:rsidRDefault="009E26F4" w:rsidP="00191861">
      <w:pPr>
        <w:autoSpaceDE w:val="0"/>
        <w:autoSpaceDN w:val="0"/>
        <w:adjustRightInd w:val="0"/>
        <w:ind w:firstLine="709"/>
        <w:jc w:val="both"/>
        <w:rPr>
          <w:sz w:val="28"/>
          <w:szCs w:val="28"/>
        </w:rPr>
      </w:pPr>
      <w:r w:rsidRPr="00467F9C">
        <w:rPr>
          <w:sz w:val="28"/>
          <w:szCs w:val="28"/>
        </w:rPr>
        <w:t>- Государственное автономное учреждение Чукотского автономного округа «База авиационной охраны лесов» – 184 119,3 тыс. рублей или 7,7%;</w:t>
      </w:r>
    </w:p>
    <w:p w:rsidR="009E26F4" w:rsidRPr="00467F9C" w:rsidRDefault="009E26F4" w:rsidP="00191861">
      <w:pPr>
        <w:autoSpaceDE w:val="0"/>
        <w:autoSpaceDN w:val="0"/>
        <w:adjustRightInd w:val="0"/>
        <w:ind w:firstLine="709"/>
        <w:jc w:val="both"/>
        <w:rPr>
          <w:sz w:val="28"/>
          <w:szCs w:val="28"/>
        </w:rPr>
      </w:pPr>
      <w:r w:rsidRPr="00467F9C">
        <w:rPr>
          <w:sz w:val="28"/>
          <w:szCs w:val="28"/>
        </w:rPr>
        <w:t>- Автономное учреждение Чукотского автономного округа «Управление технического обеспечения и эксплуатации имущества Чукотского автономного округа» – 174 117,0 тыс. рублей или 7,3%.</w:t>
      </w:r>
    </w:p>
    <w:p w:rsidR="009E26F4" w:rsidRPr="00467F9C" w:rsidRDefault="009E26F4" w:rsidP="00191861">
      <w:pPr>
        <w:tabs>
          <w:tab w:val="left" w:pos="709"/>
        </w:tabs>
        <w:autoSpaceDE w:val="0"/>
        <w:autoSpaceDN w:val="0"/>
        <w:adjustRightInd w:val="0"/>
        <w:ind w:firstLine="709"/>
        <w:jc w:val="both"/>
        <w:rPr>
          <w:sz w:val="28"/>
          <w:szCs w:val="28"/>
        </w:rPr>
      </w:pPr>
      <w:r w:rsidRPr="00467F9C">
        <w:rPr>
          <w:sz w:val="28"/>
          <w:szCs w:val="28"/>
        </w:rPr>
        <w:t xml:space="preserve">Согласно данным отчетов об исполнении плана финансово-хозяйственной деятельности подведомственных учреждений (форма 0503737), расходование средств субсидии на финансовое обеспечение государственного задания составило 2 378 231,6 тыс. рублей, или 97,8% плановых назначений с учетом остатков на 1 январь 2021 года (30 273,2 тыс. рублей). </w:t>
      </w:r>
    </w:p>
    <w:p w:rsidR="009E26F4" w:rsidRPr="00467F9C" w:rsidRDefault="009E26F4" w:rsidP="00191861">
      <w:pPr>
        <w:tabs>
          <w:tab w:val="left" w:pos="709"/>
        </w:tabs>
        <w:autoSpaceDE w:val="0"/>
        <w:autoSpaceDN w:val="0"/>
        <w:adjustRightInd w:val="0"/>
        <w:ind w:firstLine="709"/>
        <w:jc w:val="both"/>
        <w:rPr>
          <w:sz w:val="28"/>
          <w:szCs w:val="28"/>
        </w:rPr>
      </w:pPr>
      <w:r w:rsidRPr="00467F9C">
        <w:rPr>
          <w:sz w:val="28"/>
          <w:szCs w:val="28"/>
        </w:rPr>
        <w:lastRenderedPageBreak/>
        <w:t>Наибольшую долю составили расходы на выплаты персоналу – 1 536 951,7 тыс. рублей или 64,6% общего объема расходов и на закупку товаров, работ и услуг – 798 093,9 тыс. рублей или 33,6%.</w:t>
      </w:r>
    </w:p>
    <w:p w:rsidR="009E26F4" w:rsidRPr="00467F9C" w:rsidRDefault="009E26F4" w:rsidP="00191861">
      <w:pPr>
        <w:autoSpaceDE w:val="0"/>
        <w:autoSpaceDN w:val="0"/>
        <w:adjustRightInd w:val="0"/>
        <w:ind w:firstLine="709"/>
        <w:jc w:val="both"/>
        <w:rPr>
          <w:sz w:val="28"/>
          <w:szCs w:val="28"/>
        </w:rPr>
      </w:pPr>
      <w:r w:rsidRPr="00467F9C">
        <w:rPr>
          <w:bCs/>
          <w:sz w:val="28"/>
          <w:szCs w:val="28"/>
        </w:rPr>
        <w:t xml:space="preserve">Остаток субсидий на выполнение государственных заданий </w:t>
      </w:r>
      <w:r w:rsidRPr="00467F9C">
        <w:rPr>
          <w:sz w:val="28"/>
          <w:szCs w:val="28"/>
        </w:rPr>
        <w:t xml:space="preserve">на счетах бюджетных и автономных учреждений по состоянию на 1 января 2022 года составил 53 201,5 тыс. рублей, что на 22 928,3 тыс. рублей больше остатка по состоянию на 1 января 2021 года (30 273,2 тыс. рублей). </w:t>
      </w:r>
    </w:p>
    <w:p w:rsidR="009E26F4" w:rsidRPr="00467F9C" w:rsidRDefault="009E26F4" w:rsidP="00191861">
      <w:pPr>
        <w:autoSpaceDE w:val="0"/>
        <w:autoSpaceDN w:val="0"/>
        <w:adjustRightInd w:val="0"/>
        <w:ind w:firstLine="709"/>
        <w:jc w:val="both"/>
        <w:rPr>
          <w:sz w:val="28"/>
          <w:szCs w:val="28"/>
        </w:rPr>
      </w:pPr>
      <w:r w:rsidRPr="00467F9C">
        <w:rPr>
          <w:sz w:val="28"/>
          <w:szCs w:val="28"/>
        </w:rPr>
        <w:t>Наибольший объем неиспользованных бюджетных средств числится на счетах следующих учреждений:</w:t>
      </w:r>
    </w:p>
    <w:p w:rsidR="009E26F4" w:rsidRPr="00467F9C" w:rsidRDefault="009E26F4" w:rsidP="00191861">
      <w:pPr>
        <w:autoSpaceDE w:val="0"/>
        <w:autoSpaceDN w:val="0"/>
        <w:adjustRightInd w:val="0"/>
        <w:ind w:firstLine="709"/>
        <w:jc w:val="both"/>
        <w:rPr>
          <w:sz w:val="28"/>
          <w:szCs w:val="28"/>
        </w:rPr>
      </w:pPr>
      <w:r w:rsidRPr="00467F9C">
        <w:rPr>
          <w:sz w:val="28"/>
          <w:szCs w:val="28"/>
        </w:rPr>
        <w:t>- 12 132,2 тыс. рублей –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w:t>
      </w:r>
    </w:p>
    <w:p w:rsidR="009E26F4" w:rsidRPr="00467F9C" w:rsidRDefault="009E26F4" w:rsidP="00191861">
      <w:pPr>
        <w:autoSpaceDE w:val="0"/>
        <w:autoSpaceDN w:val="0"/>
        <w:adjustRightInd w:val="0"/>
        <w:ind w:firstLine="709"/>
        <w:jc w:val="both"/>
        <w:rPr>
          <w:sz w:val="28"/>
          <w:szCs w:val="28"/>
        </w:rPr>
      </w:pPr>
      <w:r w:rsidRPr="00467F9C">
        <w:rPr>
          <w:sz w:val="28"/>
          <w:szCs w:val="28"/>
        </w:rPr>
        <w:t>- 12 007,3 тыс. рублей – Государственное автономное учреждение Чукотского автономного округа «База авиационной охраны лесов»;</w:t>
      </w:r>
    </w:p>
    <w:p w:rsidR="009E26F4" w:rsidRPr="00467F9C" w:rsidRDefault="009E26F4" w:rsidP="00191861">
      <w:pPr>
        <w:autoSpaceDE w:val="0"/>
        <w:autoSpaceDN w:val="0"/>
        <w:adjustRightInd w:val="0"/>
        <w:ind w:firstLine="709"/>
        <w:jc w:val="both"/>
        <w:rPr>
          <w:sz w:val="28"/>
          <w:szCs w:val="28"/>
        </w:rPr>
      </w:pPr>
      <w:r w:rsidRPr="00467F9C">
        <w:rPr>
          <w:sz w:val="28"/>
          <w:szCs w:val="28"/>
        </w:rPr>
        <w:t>- 7 289,9 тыс. рублей – Государственное автономное образовательное учреждение дополнительного образования Чукотского автономного округа «Окружная детско-юношеская спортивная школа»;</w:t>
      </w:r>
    </w:p>
    <w:p w:rsidR="009E26F4" w:rsidRPr="00467F9C" w:rsidRDefault="009E26F4" w:rsidP="00191861">
      <w:pPr>
        <w:autoSpaceDE w:val="0"/>
        <w:autoSpaceDN w:val="0"/>
        <w:adjustRightInd w:val="0"/>
        <w:ind w:firstLine="709"/>
        <w:jc w:val="both"/>
        <w:rPr>
          <w:sz w:val="28"/>
          <w:szCs w:val="28"/>
        </w:rPr>
      </w:pPr>
      <w:r w:rsidRPr="00467F9C">
        <w:rPr>
          <w:sz w:val="28"/>
          <w:szCs w:val="28"/>
        </w:rPr>
        <w:t>- 7 188,4 тыс. рублей – Автономное учреждение Чукотского автономного округа «Управление технического обеспечения и эксплуатации имущества Чукотского автономного округа»;</w:t>
      </w:r>
    </w:p>
    <w:p w:rsidR="009E26F4" w:rsidRPr="00467F9C" w:rsidRDefault="009E26F4" w:rsidP="00191861">
      <w:pPr>
        <w:autoSpaceDE w:val="0"/>
        <w:autoSpaceDN w:val="0"/>
        <w:adjustRightInd w:val="0"/>
        <w:ind w:firstLine="709"/>
        <w:jc w:val="both"/>
        <w:rPr>
          <w:sz w:val="28"/>
          <w:szCs w:val="28"/>
        </w:rPr>
      </w:pPr>
      <w:r w:rsidRPr="00467F9C">
        <w:rPr>
          <w:sz w:val="28"/>
          <w:szCs w:val="28"/>
        </w:rPr>
        <w:t>- 7 044,6 тыс. рублей – Государственное автономное профессиональное образовательное учреждение Чукотского автономного округа «Чукотский северо-восточный техникум поселка Провидения».</w:t>
      </w:r>
    </w:p>
    <w:p w:rsidR="009E26F4" w:rsidRPr="00467F9C" w:rsidRDefault="009E26F4" w:rsidP="00191861">
      <w:pPr>
        <w:autoSpaceDE w:val="0"/>
        <w:autoSpaceDN w:val="0"/>
        <w:adjustRightInd w:val="0"/>
        <w:ind w:firstLine="709"/>
        <w:jc w:val="both"/>
        <w:rPr>
          <w:bCs/>
          <w:sz w:val="28"/>
          <w:szCs w:val="28"/>
        </w:rPr>
      </w:pPr>
      <w:r w:rsidRPr="00467F9C">
        <w:rPr>
          <w:bCs/>
          <w:sz w:val="28"/>
          <w:szCs w:val="28"/>
        </w:rPr>
        <w:t xml:space="preserve">Необходимо отметить, что 43,4% или 23 088,6 тыс. рублей неиспользованных средств субсидий на выполнение государственных заданий числится на счетах учреждений, подведомственных Департаменту образования. </w:t>
      </w:r>
    </w:p>
    <w:p w:rsidR="009E26F4" w:rsidRPr="00467F9C" w:rsidRDefault="009E26F4" w:rsidP="00191861">
      <w:pPr>
        <w:spacing w:before="240" w:after="120"/>
        <w:jc w:val="center"/>
        <w:rPr>
          <w:b/>
          <w:sz w:val="28"/>
          <w:szCs w:val="28"/>
        </w:rPr>
      </w:pPr>
      <w:r w:rsidRPr="00467F9C">
        <w:rPr>
          <w:b/>
          <w:sz w:val="28"/>
          <w:szCs w:val="28"/>
        </w:rPr>
        <w:t xml:space="preserve">5.4. Реализация программных </w:t>
      </w:r>
      <w:r w:rsidRPr="00467F9C">
        <w:rPr>
          <w:b/>
          <w:sz w:val="28"/>
          <w:szCs w:val="28"/>
        </w:rPr>
        <w:br/>
        <w:t>и непрограммных направлений деятельности</w:t>
      </w:r>
    </w:p>
    <w:p w:rsidR="009E26F4" w:rsidRPr="00467F9C" w:rsidRDefault="009E26F4" w:rsidP="00191861">
      <w:pPr>
        <w:widowControl w:val="0"/>
        <w:tabs>
          <w:tab w:val="left" w:pos="567"/>
        </w:tabs>
        <w:suppressAutoHyphens/>
        <w:ind w:firstLine="709"/>
        <w:jc w:val="both"/>
        <w:rPr>
          <w:bCs/>
          <w:sz w:val="28"/>
          <w:szCs w:val="28"/>
          <w:lang w:eastAsia="ar-SA"/>
        </w:rPr>
      </w:pPr>
      <w:r w:rsidRPr="00467F9C">
        <w:rPr>
          <w:bCs/>
          <w:sz w:val="28"/>
          <w:szCs w:val="28"/>
          <w:lang w:eastAsia="ar-SA"/>
        </w:rPr>
        <w:t xml:space="preserve">Объемы бюджетных ассигнований на программные и непрограммные расходы и их доля в общих расходах окружного бюджета </w:t>
      </w:r>
      <w:r w:rsidRPr="00467F9C">
        <w:rPr>
          <w:sz w:val="28"/>
          <w:szCs w:val="28"/>
        </w:rPr>
        <w:t>приведены</w:t>
      </w:r>
      <w:r w:rsidRPr="00467F9C">
        <w:rPr>
          <w:bCs/>
          <w:sz w:val="28"/>
          <w:szCs w:val="28"/>
          <w:lang w:eastAsia="ar-SA"/>
        </w:rPr>
        <w:t xml:space="preserve"> </w:t>
      </w:r>
      <w:r w:rsidRPr="00467F9C">
        <w:rPr>
          <w:sz w:val="28"/>
          <w:szCs w:val="28"/>
        </w:rPr>
        <w:t>в таблице №12.</w:t>
      </w:r>
    </w:p>
    <w:p w:rsidR="009E26F4" w:rsidRPr="00467F9C" w:rsidRDefault="009E26F4" w:rsidP="00191861">
      <w:pPr>
        <w:pStyle w:val="af8"/>
        <w:jc w:val="right"/>
        <w:rPr>
          <w:bCs/>
          <w:iCs/>
          <w:sz w:val="28"/>
          <w:szCs w:val="28"/>
        </w:rPr>
      </w:pPr>
      <w:r w:rsidRPr="00467F9C">
        <w:rPr>
          <w:bCs/>
          <w:iCs/>
          <w:sz w:val="28"/>
          <w:szCs w:val="28"/>
        </w:rPr>
        <w:t>Таблица №12</w:t>
      </w:r>
    </w:p>
    <w:p w:rsidR="009E26F4" w:rsidRPr="00467F9C" w:rsidRDefault="009E26F4" w:rsidP="00191861">
      <w:pPr>
        <w:pStyle w:val="af8"/>
        <w:jc w:val="right"/>
        <w:rPr>
          <w:bCs/>
          <w:iCs/>
          <w:sz w:val="28"/>
          <w:szCs w:val="28"/>
        </w:rPr>
      </w:pPr>
      <w:r w:rsidRPr="00467F9C">
        <w:rPr>
          <w:bCs/>
          <w:iCs/>
          <w:sz w:val="28"/>
          <w:szCs w:val="28"/>
        </w:rPr>
        <w:t>(тыс. рублей)</w:t>
      </w:r>
    </w:p>
    <w:tbl>
      <w:tblPr>
        <w:tblW w:w="10302" w:type="dxa"/>
        <w:tblInd w:w="-147" w:type="dxa"/>
        <w:tblLook w:val="04A0" w:firstRow="1" w:lastRow="0" w:firstColumn="1" w:lastColumn="0" w:noHBand="0" w:noVBand="1"/>
      </w:tblPr>
      <w:tblGrid>
        <w:gridCol w:w="3261"/>
        <w:gridCol w:w="1537"/>
        <w:gridCol w:w="1465"/>
        <w:gridCol w:w="1392"/>
        <w:gridCol w:w="1559"/>
        <w:gridCol w:w="1088"/>
      </w:tblGrid>
      <w:tr w:rsidR="009E26F4" w:rsidRPr="007278C9" w:rsidTr="009E26F4">
        <w:trPr>
          <w:trHeight w:val="291"/>
          <w:tblHeader/>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Наименование раздела</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Утверждено</w:t>
            </w:r>
            <w:r w:rsidRPr="007278C9">
              <w:rPr>
                <w:sz w:val="20"/>
                <w:szCs w:val="20"/>
              </w:rPr>
              <w:br/>
              <w:t>(СБР)</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Исполнено</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 xml:space="preserve">Отклонение </w:t>
            </w:r>
            <w:r w:rsidRPr="007278C9">
              <w:rPr>
                <w:sz w:val="20"/>
                <w:szCs w:val="20"/>
              </w:rPr>
              <w:br/>
              <w:t>(гр.3-гр.2)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Уровень исполнения, %</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Удельный вес, %</w:t>
            </w:r>
          </w:p>
        </w:tc>
      </w:tr>
      <w:tr w:rsidR="009E26F4" w:rsidRPr="007278C9" w:rsidTr="009E26F4">
        <w:trPr>
          <w:trHeight w:val="145"/>
          <w:tblHeader/>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1</w:t>
            </w:r>
          </w:p>
        </w:tc>
        <w:tc>
          <w:tcPr>
            <w:tcW w:w="153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2</w:t>
            </w:r>
          </w:p>
        </w:tc>
        <w:tc>
          <w:tcPr>
            <w:tcW w:w="1465"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3</w:t>
            </w:r>
          </w:p>
        </w:tc>
        <w:tc>
          <w:tcPr>
            <w:tcW w:w="139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4</w:t>
            </w:r>
          </w:p>
        </w:tc>
        <w:tc>
          <w:tcPr>
            <w:tcW w:w="1559"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5</w:t>
            </w:r>
          </w:p>
        </w:tc>
        <w:tc>
          <w:tcPr>
            <w:tcW w:w="108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6</w:t>
            </w:r>
          </w:p>
        </w:tc>
      </w:tr>
      <w:tr w:rsidR="009E26F4" w:rsidRPr="007278C9" w:rsidTr="00D80852">
        <w:trPr>
          <w:trHeight w:val="36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b/>
                <w:bCs/>
                <w:sz w:val="20"/>
                <w:szCs w:val="20"/>
              </w:rPr>
            </w:pPr>
            <w:r w:rsidRPr="007278C9">
              <w:rPr>
                <w:b/>
                <w:bCs/>
                <w:sz w:val="20"/>
                <w:szCs w:val="20"/>
              </w:rPr>
              <w:t>Расходы бюджета - всего</w:t>
            </w:r>
          </w:p>
        </w:tc>
        <w:tc>
          <w:tcPr>
            <w:tcW w:w="153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b/>
                <w:bCs/>
                <w:sz w:val="20"/>
                <w:szCs w:val="20"/>
              </w:rPr>
            </w:pPr>
            <w:r w:rsidRPr="007278C9">
              <w:rPr>
                <w:b/>
                <w:bCs/>
                <w:sz w:val="20"/>
                <w:szCs w:val="20"/>
              </w:rPr>
              <w:t>56 151 343,9</w:t>
            </w:r>
          </w:p>
        </w:tc>
        <w:tc>
          <w:tcPr>
            <w:tcW w:w="1465"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b/>
                <w:bCs/>
                <w:sz w:val="20"/>
                <w:szCs w:val="20"/>
              </w:rPr>
            </w:pPr>
            <w:r w:rsidRPr="007278C9">
              <w:rPr>
                <w:b/>
                <w:bCs/>
                <w:sz w:val="20"/>
                <w:szCs w:val="20"/>
              </w:rPr>
              <w:t>54 604 715,7</w:t>
            </w:r>
          </w:p>
        </w:tc>
        <w:tc>
          <w:tcPr>
            <w:tcW w:w="139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b/>
                <w:bCs/>
                <w:sz w:val="20"/>
                <w:szCs w:val="20"/>
              </w:rPr>
            </w:pPr>
            <w:r w:rsidRPr="007278C9">
              <w:rPr>
                <w:b/>
                <w:bCs/>
                <w:sz w:val="20"/>
                <w:szCs w:val="20"/>
              </w:rPr>
              <w:t>-1 546 628,2</w:t>
            </w:r>
          </w:p>
        </w:tc>
        <w:tc>
          <w:tcPr>
            <w:tcW w:w="1559"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b/>
                <w:bCs/>
                <w:sz w:val="20"/>
                <w:szCs w:val="20"/>
              </w:rPr>
            </w:pPr>
            <w:r w:rsidRPr="007278C9">
              <w:rPr>
                <w:b/>
                <w:bCs/>
                <w:sz w:val="20"/>
                <w:szCs w:val="20"/>
              </w:rPr>
              <w:t>97,2</w:t>
            </w:r>
          </w:p>
        </w:tc>
        <w:tc>
          <w:tcPr>
            <w:tcW w:w="108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b/>
                <w:bCs/>
                <w:sz w:val="20"/>
                <w:szCs w:val="20"/>
              </w:rPr>
            </w:pPr>
            <w:r w:rsidRPr="007278C9">
              <w:rPr>
                <w:b/>
                <w:bCs/>
                <w:sz w:val="20"/>
                <w:szCs w:val="20"/>
              </w:rPr>
              <w:t>100,0</w:t>
            </w:r>
          </w:p>
        </w:tc>
      </w:tr>
      <w:tr w:rsidR="009E26F4" w:rsidRPr="007278C9" w:rsidTr="00D80852">
        <w:trPr>
          <w:trHeight w:val="27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Программные мероприятия</w:t>
            </w:r>
          </w:p>
        </w:tc>
        <w:tc>
          <w:tcPr>
            <w:tcW w:w="153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54 182 345,5</w:t>
            </w:r>
          </w:p>
        </w:tc>
        <w:tc>
          <w:tcPr>
            <w:tcW w:w="1465"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52 677 350,5</w:t>
            </w:r>
          </w:p>
        </w:tc>
        <w:tc>
          <w:tcPr>
            <w:tcW w:w="139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-1 504 995,0</w:t>
            </w:r>
          </w:p>
        </w:tc>
        <w:tc>
          <w:tcPr>
            <w:tcW w:w="1559"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97,2</w:t>
            </w:r>
          </w:p>
        </w:tc>
        <w:tc>
          <w:tcPr>
            <w:tcW w:w="108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96,5</w:t>
            </w:r>
          </w:p>
        </w:tc>
      </w:tr>
      <w:tr w:rsidR="009E26F4" w:rsidRPr="007278C9" w:rsidTr="00D80852">
        <w:trPr>
          <w:trHeight w:val="27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rPr>
                <w:sz w:val="20"/>
                <w:szCs w:val="20"/>
              </w:rPr>
            </w:pPr>
            <w:r w:rsidRPr="007278C9">
              <w:rPr>
                <w:sz w:val="20"/>
                <w:szCs w:val="20"/>
              </w:rPr>
              <w:t>Непрограммные мероприятия</w:t>
            </w:r>
          </w:p>
        </w:tc>
        <w:tc>
          <w:tcPr>
            <w:tcW w:w="153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1 968 998,4</w:t>
            </w:r>
          </w:p>
        </w:tc>
        <w:tc>
          <w:tcPr>
            <w:tcW w:w="1465"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1 927 365,2</w:t>
            </w:r>
          </w:p>
        </w:tc>
        <w:tc>
          <w:tcPr>
            <w:tcW w:w="1392"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right"/>
              <w:rPr>
                <w:sz w:val="20"/>
                <w:szCs w:val="20"/>
              </w:rPr>
            </w:pPr>
            <w:r w:rsidRPr="007278C9">
              <w:rPr>
                <w:sz w:val="20"/>
                <w:szCs w:val="20"/>
              </w:rPr>
              <w:t>-41 633,2</w:t>
            </w:r>
          </w:p>
        </w:tc>
        <w:tc>
          <w:tcPr>
            <w:tcW w:w="1559"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97,9</w:t>
            </w:r>
          </w:p>
        </w:tc>
        <w:tc>
          <w:tcPr>
            <w:tcW w:w="1088"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3,5</w:t>
            </w:r>
          </w:p>
        </w:tc>
      </w:tr>
    </w:tbl>
    <w:p w:rsidR="009E26F4" w:rsidRPr="00467F9C" w:rsidRDefault="009E26F4" w:rsidP="00191861">
      <w:pPr>
        <w:spacing w:before="120"/>
        <w:ind w:firstLine="709"/>
        <w:jc w:val="both"/>
        <w:rPr>
          <w:kern w:val="1"/>
          <w:sz w:val="28"/>
          <w:szCs w:val="28"/>
        </w:rPr>
      </w:pPr>
      <w:r w:rsidRPr="00467F9C">
        <w:rPr>
          <w:kern w:val="1"/>
          <w:sz w:val="28"/>
          <w:szCs w:val="28"/>
        </w:rPr>
        <w:t>В 2021 году объем расходов окружного бюджета, предусмотренный на финансирование государственных программ Чукотского автономного округа</w:t>
      </w:r>
      <w:r w:rsidRPr="00467F9C">
        <w:rPr>
          <w:rStyle w:val="ab"/>
          <w:kern w:val="1"/>
          <w:sz w:val="28"/>
          <w:szCs w:val="28"/>
        </w:rPr>
        <w:footnoteReference w:id="71"/>
      </w:r>
      <w:r w:rsidRPr="00467F9C">
        <w:rPr>
          <w:kern w:val="1"/>
          <w:sz w:val="28"/>
          <w:szCs w:val="28"/>
        </w:rPr>
        <w:t>, составил 96,5% общего объема расходов.</w:t>
      </w:r>
    </w:p>
    <w:p w:rsidR="009E26F4" w:rsidRPr="00467F9C" w:rsidRDefault="009E26F4" w:rsidP="00191861">
      <w:pPr>
        <w:spacing w:before="240" w:after="120"/>
        <w:jc w:val="center"/>
        <w:rPr>
          <w:b/>
          <w:strike/>
          <w:sz w:val="28"/>
          <w:szCs w:val="28"/>
        </w:rPr>
      </w:pPr>
      <w:r w:rsidRPr="00467F9C">
        <w:rPr>
          <w:b/>
          <w:sz w:val="28"/>
          <w:szCs w:val="28"/>
        </w:rPr>
        <w:lastRenderedPageBreak/>
        <w:t xml:space="preserve">5.4.1. Реализация государственных программ </w:t>
      </w:r>
      <w:r w:rsidRPr="00467F9C">
        <w:rPr>
          <w:b/>
          <w:sz w:val="28"/>
          <w:szCs w:val="28"/>
        </w:rPr>
        <w:br/>
        <w:t xml:space="preserve">Чукотского автономного округа </w:t>
      </w:r>
    </w:p>
    <w:p w:rsidR="009E26F4" w:rsidRPr="00467F9C" w:rsidRDefault="009E26F4" w:rsidP="00191861">
      <w:pPr>
        <w:ind w:firstLine="709"/>
        <w:jc w:val="both"/>
        <w:rPr>
          <w:sz w:val="28"/>
          <w:szCs w:val="28"/>
        </w:rPr>
      </w:pPr>
      <w:r w:rsidRPr="00467F9C">
        <w:rPr>
          <w:sz w:val="28"/>
          <w:szCs w:val="28"/>
        </w:rPr>
        <w:t xml:space="preserve">Закон об окружном бюджете в соответствии с Бюджетным кодексом </w:t>
      </w:r>
      <w:r w:rsidRPr="00467F9C">
        <w:rPr>
          <w:bCs/>
          <w:sz w:val="28"/>
          <w:szCs w:val="28"/>
        </w:rPr>
        <w:t>сформирован в программной структуре расходов на основе 18 государственных программ Чукотского автономного округа</w:t>
      </w:r>
      <w:r w:rsidRPr="00467F9C">
        <w:rPr>
          <w:rStyle w:val="ab"/>
          <w:sz w:val="28"/>
          <w:szCs w:val="28"/>
        </w:rPr>
        <w:footnoteReference w:id="72"/>
      </w:r>
      <w:r w:rsidRPr="00467F9C">
        <w:rPr>
          <w:bCs/>
          <w:sz w:val="28"/>
          <w:szCs w:val="28"/>
        </w:rPr>
        <w:t xml:space="preserve">. </w:t>
      </w:r>
    </w:p>
    <w:p w:rsidR="009E26F4" w:rsidRPr="00467F9C" w:rsidRDefault="009E26F4" w:rsidP="00191861">
      <w:pPr>
        <w:autoSpaceDE w:val="0"/>
        <w:autoSpaceDN w:val="0"/>
        <w:adjustRightInd w:val="0"/>
        <w:ind w:firstLine="709"/>
        <w:jc w:val="both"/>
        <w:rPr>
          <w:sz w:val="28"/>
          <w:szCs w:val="28"/>
        </w:rPr>
      </w:pPr>
      <w:r w:rsidRPr="00467F9C">
        <w:rPr>
          <w:sz w:val="28"/>
          <w:szCs w:val="28"/>
        </w:rPr>
        <w:t xml:space="preserve">В первоначальной редакции Закона об окружном бюджете предусмотрены бюджетные ассигнования </w:t>
      </w:r>
      <w:r w:rsidRPr="00467F9C">
        <w:rPr>
          <w:bCs/>
          <w:sz w:val="28"/>
          <w:szCs w:val="28"/>
        </w:rPr>
        <w:t xml:space="preserve">на реализацию Государственных программ </w:t>
      </w:r>
      <w:r w:rsidRPr="00467F9C">
        <w:rPr>
          <w:sz w:val="28"/>
          <w:szCs w:val="28"/>
        </w:rPr>
        <w:t>в сумме 47 705 985,4 тыс.</w:t>
      </w:r>
      <w:r w:rsidRPr="00467F9C">
        <w:rPr>
          <w:bCs/>
          <w:sz w:val="28"/>
          <w:szCs w:val="28"/>
        </w:rPr>
        <w:t xml:space="preserve"> рублей или 96,5% </w:t>
      </w:r>
      <w:r w:rsidRPr="00467F9C">
        <w:rPr>
          <w:sz w:val="28"/>
          <w:szCs w:val="28"/>
        </w:rPr>
        <w:t xml:space="preserve">общего объема бюджетных ассигнований. Объем расходов </w:t>
      </w:r>
      <w:r w:rsidRPr="00467F9C">
        <w:rPr>
          <w:bCs/>
          <w:sz w:val="28"/>
          <w:szCs w:val="28"/>
        </w:rPr>
        <w:t xml:space="preserve">на реализацию мероприятий Государственных программ в 2021 году </w:t>
      </w:r>
      <w:r w:rsidRPr="00467F9C">
        <w:rPr>
          <w:sz w:val="28"/>
          <w:szCs w:val="28"/>
        </w:rPr>
        <w:t xml:space="preserve">увеличен </w:t>
      </w:r>
      <w:r w:rsidRPr="00467F9C">
        <w:rPr>
          <w:bCs/>
          <w:sz w:val="28"/>
          <w:szCs w:val="28"/>
        </w:rPr>
        <w:t xml:space="preserve">на 6 476 360,1 тыс. рублей </w:t>
      </w:r>
      <w:r w:rsidRPr="00467F9C">
        <w:rPr>
          <w:sz w:val="28"/>
          <w:szCs w:val="28"/>
        </w:rPr>
        <w:t>или на 11,5</w:t>
      </w:r>
      <w:r w:rsidRPr="00467F9C">
        <w:rPr>
          <w:bCs/>
          <w:sz w:val="28"/>
          <w:szCs w:val="28"/>
        </w:rPr>
        <w:t xml:space="preserve">% </w:t>
      </w:r>
      <w:r w:rsidRPr="00467F9C">
        <w:rPr>
          <w:sz w:val="28"/>
          <w:szCs w:val="28"/>
        </w:rPr>
        <w:t xml:space="preserve">годовых бюджетных ассигнований. </w:t>
      </w:r>
      <w:r w:rsidRPr="00467F9C">
        <w:rPr>
          <w:bCs/>
          <w:sz w:val="28"/>
          <w:szCs w:val="28"/>
        </w:rPr>
        <w:t xml:space="preserve">Изменения </w:t>
      </w:r>
      <w:r w:rsidRPr="00467F9C">
        <w:rPr>
          <w:sz w:val="28"/>
          <w:szCs w:val="28"/>
        </w:rPr>
        <w:t>затрагивали финансовое обеспечение реализации 17 Государственных программ, в финансовое обеспечение программы «Обеспечение охраны общественного порядка и повышения безопасности дорожного движения Чукотского автономного округа» (20) изменения не вносились.</w:t>
      </w:r>
    </w:p>
    <w:p w:rsidR="009E26F4" w:rsidRPr="00467F9C" w:rsidRDefault="009E26F4" w:rsidP="00191861">
      <w:pPr>
        <w:autoSpaceDE w:val="0"/>
        <w:autoSpaceDN w:val="0"/>
        <w:adjustRightInd w:val="0"/>
        <w:ind w:firstLine="709"/>
        <w:jc w:val="both"/>
        <w:rPr>
          <w:sz w:val="28"/>
          <w:szCs w:val="28"/>
        </w:rPr>
      </w:pPr>
      <w:r w:rsidRPr="00467F9C">
        <w:rPr>
          <w:sz w:val="28"/>
          <w:szCs w:val="28"/>
        </w:rPr>
        <w:t>Сводной бюджетной росписью с изменениями, бюджетные ассигнования на реализацию программных мероприятий в 2021 году предусмотрены в сумме 54 182 345,5 тыс.</w:t>
      </w:r>
      <w:r w:rsidRPr="00467F9C">
        <w:rPr>
          <w:bCs/>
          <w:sz w:val="28"/>
          <w:szCs w:val="28"/>
        </w:rPr>
        <w:t xml:space="preserve"> рублей</w:t>
      </w:r>
      <w:r w:rsidRPr="00467F9C">
        <w:rPr>
          <w:sz w:val="28"/>
          <w:szCs w:val="28"/>
        </w:rPr>
        <w:t>, что больше на 120 064,0 тыс. рублей, утвержденных Законом об окружном бюджете.</w:t>
      </w:r>
    </w:p>
    <w:p w:rsidR="009E26F4" w:rsidRPr="00467F9C" w:rsidRDefault="009E26F4" w:rsidP="00191861">
      <w:pPr>
        <w:ind w:firstLine="709"/>
        <w:jc w:val="both"/>
        <w:rPr>
          <w:sz w:val="28"/>
          <w:szCs w:val="28"/>
        </w:rPr>
      </w:pPr>
      <w:r w:rsidRPr="00467F9C">
        <w:rPr>
          <w:sz w:val="28"/>
          <w:szCs w:val="28"/>
        </w:rPr>
        <w:t xml:space="preserve">Показатели исполнения мероприятий Государственных программ представлены в таблице №13. </w:t>
      </w:r>
    </w:p>
    <w:p w:rsidR="009E26F4" w:rsidRPr="00467F9C" w:rsidRDefault="009E26F4" w:rsidP="00191861">
      <w:pPr>
        <w:ind w:firstLine="709"/>
        <w:jc w:val="right"/>
        <w:rPr>
          <w:bCs/>
          <w:iCs/>
          <w:sz w:val="28"/>
          <w:szCs w:val="28"/>
        </w:rPr>
      </w:pPr>
      <w:r w:rsidRPr="00467F9C">
        <w:rPr>
          <w:bCs/>
          <w:iCs/>
          <w:sz w:val="28"/>
          <w:szCs w:val="28"/>
        </w:rPr>
        <w:t>Таблица №13</w:t>
      </w:r>
    </w:p>
    <w:p w:rsidR="009E26F4" w:rsidRPr="00467F9C" w:rsidRDefault="009E26F4" w:rsidP="00191861">
      <w:pPr>
        <w:pStyle w:val="af8"/>
        <w:jc w:val="right"/>
        <w:rPr>
          <w:bCs/>
          <w:iCs/>
          <w:sz w:val="28"/>
          <w:szCs w:val="28"/>
        </w:rPr>
      </w:pPr>
      <w:r w:rsidRPr="00467F9C">
        <w:rPr>
          <w:bCs/>
          <w:iCs/>
          <w:sz w:val="28"/>
          <w:szCs w:val="28"/>
        </w:rPr>
        <w:t>(тыс. рублей)</w:t>
      </w:r>
    </w:p>
    <w:tbl>
      <w:tblPr>
        <w:tblW w:w="9907" w:type="dxa"/>
        <w:tblInd w:w="-5" w:type="dxa"/>
        <w:tblLook w:val="04A0" w:firstRow="1" w:lastRow="0" w:firstColumn="1" w:lastColumn="0" w:noHBand="0" w:noVBand="1"/>
      </w:tblPr>
      <w:tblGrid>
        <w:gridCol w:w="3969"/>
        <w:gridCol w:w="1366"/>
        <w:gridCol w:w="1277"/>
        <w:gridCol w:w="1141"/>
        <w:gridCol w:w="1167"/>
        <w:gridCol w:w="987"/>
      </w:tblGrid>
      <w:tr w:rsidR="009E26F4" w:rsidRPr="007278C9" w:rsidTr="007278C9">
        <w:trPr>
          <w:trHeight w:val="463"/>
          <w:tblHead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6F4" w:rsidRDefault="009E26F4" w:rsidP="00191861">
            <w:pPr>
              <w:jc w:val="center"/>
              <w:rPr>
                <w:sz w:val="20"/>
                <w:szCs w:val="20"/>
              </w:rPr>
            </w:pPr>
            <w:r w:rsidRPr="007278C9">
              <w:rPr>
                <w:sz w:val="20"/>
                <w:szCs w:val="20"/>
              </w:rPr>
              <w:t xml:space="preserve">Наименование </w:t>
            </w:r>
            <w:r w:rsidRPr="007278C9">
              <w:rPr>
                <w:sz w:val="20"/>
                <w:szCs w:val="20"/>
              </w:rPr>
              <w:br/>
              <w:t xml:space="preserve">Государственной программы </w:t>
            </w:r>
            <w:r w:rsidRPr="007278C9">
              <w:rPr>
                <w:sz w:val="20"/>
                <w:szCs w:val="20"/>
              </w:rPr>
              <w:br/>
              <w:t>Чукотского автономного округа</w:t>
            </w:r>
          </w:p>
          <w:p w:rsidR="00A30693" w:rsidRPr="00A30693" w:rsidRDefault="00A30693" w:rsidP="00191861">
            <w:pPr>
              <w:jc w:val="center"/>
              <w:rPr>
                <w:sz w:val="4"/>
                <w:szCs w:val="4"/>
              </w:rPr>
            </w:pP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7278C9">
            <w:pPr>
              <w:ind w:left="-140"/>
              <w:jc w:val="center"/>
              <w:rPr>
                <w:sz w:val="20"/>
                <w:szCs w:val="20"/>
              </w:rPr>
            </w:pPr>
            <w:r w:rsidRPr="007278C9">
              <w:rPr>
                <w:sz w:val="20"/>
                <w:szCs w:val="20"/>
              </w:rPr>
              <w:t>Утверждено (СБР)</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7278C9">
            <w:pPr>
              <w:ind w:left="-105"/>
              <w:jc w:val="center"/>
              <w:rPr>
                <w:sz w:val="20"/>
                <w:szCs w:val="20"/>
              </w:rPr>
            </w:pPr>
            <w:r w:rsidRPr="007278C9">
              <w:rPr>
                <w:sz w:val="20"/>
                <w:szCs w:val="20"/>
              </w:rPr>
              <w:t>Исполнено</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7278C9">
            <w:pPr>
              <w:ind w:left="-103" w:right="-100"/>
              <w:jc w:val="center"/>
              <w:rPr>
                <w:sz w:val="20"/>
                <w:szCs w:val="20"/>
              </w:rPr>
            </w:pPr>
            <w:r w:rsidRPr="007278C9">
              <w:rPr>
                <w:sz w:val="20"/>
                <w:szCs w:val="20"/>
              </w:rPr>
              <w:t xml:space="preserve">Отклонение </w:t>
            </w:r>
            <w:r w:rsidRPr="007278C9">
              <w:rPr>
                <w:sz w:val="20"/>
                <w:szCs w:val="20"/>
              </w:rPr>
              <w:br/>
              <w:t>(гр.3-гр.2)</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191861">
            <w:pPr>
              <w:ind w:left="-104" w:right="-113"/>
              <w:jc w:val="center"/>
              <w:rPr>
                <w:sz w:val="20"/>
                <w:szCs w:val="20"/>
              </w:rPr>
            </w:pPr>
            <w:r w:rsidRPr="007278C9">
              <w:rPr>
                <w:sz w:val="20"/>
                <w:szCs w:val="20"/>
              </w:rPr>
              <w:t>Уровень исполнения,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9E26F4" w:rsidRPr="007278C9" w:rsidRDefault="009E26F4" w:rsidP="007278C9">
            <w:pPr>
              <w:ind w:left="-112"/>
              <w:jc w:val="center"/>
              <w:rPr>
                <w:sz w:val="20"/>
                <w:szCs w:val="20"/>
              </w:rPr>
            </w:pPr>
            <w:r w:rsidRPr="007278C9">
              <w:rPr>
                <w:sz w:val="20"/>
                <w:szCs w:val="20"/>
              </w:rPr>
              <w:t>Удельный вес, %</w:t>
            </w:r>
          </w:p>
        </w:tc>
      </w:tr>
      <w:tr w:rsidR="009E26F4" w:rsidRPr="007278C9" w:rsidTr="007278C9">
        <w:trPr>
          <w:trHeight w:val="184"/>
          <w:tblHeader/>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1</w:t>
            </w:r>
          </w:p>
        </w:tc>
        <w:tc>
          <w:tcPr>
            <w:tcW w:w="1366"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40" w:firstLine="140"/>
              <w:jc w:val="center"/>
              <w:rPr>
                <w:sz w:val="20"/>
                <w:szCs w:val="20"/>
              </w:rPr>
            </w:pPr>
            <w:r w:rsidRPr="007278C9">
              <w:rPr>
                <w:sz w:val="20"/>
                <w:szCs w:val="20"/>
              </w:rPr>
              <w:t>2</w:t>
            </w:r>
          </w:p>
        </w:tc>
        <w:tc>
          <w:tcPr>
            <w:tcW w:w="12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5"/>
              <w:jc w:val="center"/>
              <w:rPr>
                <w:sz w:val="20"/>
                <w:szCs w:val="20"/>
              </w:rPr>
            </w:pPr>
            <w:r w:rsidRPr="007278C9">
              <w:rPr>
                <w:sz w:val="20"/>
                <w:szCs w:val="20"/>
              </w:rPr>
              <w:t>3</w:t>
            </w:r>
          </w:p>
        </w:tc>
        <w:tc>
          <w:tcPr>
            <w:tcW w:w="11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3"/>
              <w:jc w:val="center"/>
              <w:rPr>
                <w:sz w:val="20"/>
                <w:szCs w:val="20"/>
              </w:rPr>
            </w:pPr>
            <w:r w:rsidRPr="007278C9">
              <w:rPr>
                <w:sz w:val="20"/>
                <w:szCs w:val="20"/>
              </w:rPr>
              <w:t>4</w:t>
            </w:r>
          </w:p>
        </w:tc>
        <w:tc>
          <w:tcPr>
            <w:tcW w:w="116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5</w:t>
            </w:r>
          </w:p>
        </w:tc>
        <w:tc>
          <w:tcPr>
            <w:tcW w:w="98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6</w:t>
            </w:r>
          </w:p>
        </w:tc>
      </w:tr>
      <w:tr w:rsidR="009E26F4" w:rsidRPr="007278C9" w:rsidTr="007278C9">
        <w:trPr>
          <w:trHeight w:val="286"/>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7278C9">
            <w:pPr>
              <w:ind w:right="-70"/>
              <w:rPr>
                <w:b/>
                <w:bCs/>
                <w:sz w:val="20"/>
                <w:szCs w:val="20"/>
              </w:rPr>
            </w:pPr>
            <w:r w:rsidRPr="007278C9">
              <w:rPr>
                <w:b/>
                <w:bCs/>
                <w:sz w:val="20"/>
                <w:szCs w:val="20"/>
              </w:rPr>
              <w:t>Расходы бюджета - всего</w:t>
            </w:r>
          </w:p>
        </w:tc>
        <w:tc>
          <w:tcPr>
            <w:tcW w:w="1366"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40" w:firstLine="140"/>
              <w:jc w:val="right"/>
              <w:rPr>
                <w:b/>
                <w:bCs/>
                <w:sz w:val="20"/>
                <w:szCs w:val="20"/>
              </w:rPr>
            </w:pPr>
            <w:r w:rsidRPr="007278C9">
              <w:rPr>
                <w:b/>
                <w:bCs/>
                <w:sz w:val="20"/>
                <w:szCs w:val="20"/>
              </w:rPr>
              <w:t>54 182 345,5</w:t>
            </w:r>
          </w:p>
        </w:tc>
        <w:tc>
          <w:tcPr>
            <w:tcW w:w="12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5"/>
              <w:jc w:val="right"/>
              <w:rPr>
                <w:b/>
                <w:bCs/>
                <w:sz w:val="20"/>
                <w:szCs w:val="20"/>
              </w:rPr>
            </w:pPr>
            <w:r w:rsidRPr="007278C9">
              <w:rPr>
                <w:b/>
                <w:bCs/>
                <w:sz w:val="20"/>
                <w:szCs w:val="20"/>
              </w:rPr>
              <w:t>52 677 350,5</w:t>
            </w:r>
          </w:p>
        </w:tc>
        <w:tc>
          <w:tcPr>
            <w:tcW w:w="11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3"/>
              <w:jc w:val="right"/>
              <w:rPr>
                <w:b/>
                <w:bCs/>
                <w:sz w:val="20"/>
                <w:szCs w:val="20"/>
              </w:rPr>
            </w:pPr>
            <w:r w:rsidRPr="007278C9">
              <w:rPr>
                <w:b/>
                <w:bCs/>
                <w:sz w:val="20"/>
                <w:szCs w:val="20"/>
              </w:rPr>
              <w:t>-1 504 995,0</w:t>
            </w:r>
          </w:p>
        </w:tc>
        <w:tc>
          <w:tcPr>
            <w:tcW w:w="116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b/>
                <w:bCs/>
                <w:sz w:val="20"/>
                <w:szCs w:val="20"/>
              </w:rPr>
            </w:pPr>
            <w:r w:rsidRPr="007278C9">
              <w:rPr>
                <w:b/>
                <w:bCs/>
                <w:sz w:val="20"/>
                <w:szCs w:val="20"/>
              </w:rPr>
              <w:t>97,2</w:t>
            </w:r>
          </w:p>
        </w:tc>
        <w:tc>
          <w:tcPr>
            <w:tcW w:w="98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b/>
                <w:bCs/>
                <w:sz w:val="20"/>
                <w:szCs w:val="20"/>
              </w:rPr>
            </w:pPr>
            <w:r w:rsidRPr="007278C9">
              <w:rPr>
                <w:b/>
                <w:bCs/>
                <w:sz w:val="20"/>
                <w:szCs w:val="20"/>
              </w:rPr>
              <w:t>100,0</w:t>
            </w:r>
          </w:p>
        </w:tc>
      </w:tr>
      <w:tr w:rsidR="009E26F4" w:rsidRPr="007278C9" w:rsidTr="007278C9">
        <w:trPr>
          <w:trHeight w:val="37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7278C9">
            <w:pPr>
              <w:ind w:right="-70"/>
              <w:rPr>
                <w:sz w:val="20"/>
                <w:szCs w:val="20"/>
              </w:rPr>
            </w:pPr>
            <w:r w:rsidRPr="007278C9">
              <w:rPr>
                <w:sz w:val="20"/>
                <w:szCs w:val="20"/>
              </w:rPr>
              <w:t>1. Развитие здравоохранения Чукотского автономного округа (01)</w:t>
            </w:r>
          </w:p>
        </w:tc>
        <w:tc>
          <w:tcPr>
            <w:tcW w:w="1366"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40" w:firstLine="140"/>
              <w:jc w:val="right"/>
              <w:rPr>
                <w:sz w:val="20"/>
                <w:szCs w:val="20"/>
              </w:rPr>
            </w:pPr>
            <w:r w:rsidRPr="007278C9">
              <w:rPr>
                <w:sz w:val="20"/>
                <w:szCs w:val="20"/>
              </w:rPr>
              <w:t>4 066 887,2</w:t>
            </w:r>
          </w:p>
        </w:tc>
        <w:tc>
          <w:tcPr>
            <w:tcW w:w="12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5"/>
              <w:jc w:val="right"/>
              <w:rPr>
                <w:sz w:val="20"/>
                <w:szCs w:val="20"/>
              </w:rPr>
            </w:pPr>
            <w:r w:rsidRPr="007278C9">
              <w:rPr>
                <w:sz w:val="20"/>
                <w:szCs w:val="20"/>
              </w:rPr>
              <w:t>3 993 629,2</w:t>
            </w:r>
          </w:p>
        </w:tc>
        <w:tc>
          <w:tcPr>
            <w:tcW w:w="11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3"/>
              <w:jc w:val="right"/>
              <w:rPr>
                <w:sz w:val="20"/>
                <w:szCs w:val="20"/>
              </w:rPr>
            </w:pPr>
            <w:r w:rsidRPr="007278C9">
              <w:rPr>
                <w:sz w:val="20"/>
                <w:szCs w:val="20"/>
              </w:rPr>
              <w:t>-73 258,0</w:t>
            </w:r>
          </w:p>
        </w:tc>
        <w:tc>
          <w:tcPr>
            <w:tcW w:w="116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98,2</w:t>
            </w:r>
          </w:p>
        </w:tc>
        <w:tc>
          <w:tcPr>
            <w:tcW w:w="98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7,6</w:t>
            </w:r>
          </w:p>
        </w:tc>
      </w:tr>
      <w:tr w:rsidR="009E26F4" w:rsidRPr="007278C9" w:rsidTr="007278C9">
        <w:trPr>
          <w:trHeight w:val="37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7278C9">
            <w:pPr>
              <w:ind w:right="-70"/>
              <w:rPr>
                <w:sz w:val="20"/>
                <w:szCs w:val="20"/>
              </w:rPr>
            </w:pPr>
            <w:r w:rsidRPr="007278C9">
              <w:rPr>
                <w:sz w:val="20"/>
                <w:szCs w:val="20"/>
              </w:rPr>
              <w:t>2. Социальная поддержка населения Чукотского автономного округа (03)</w:t>
            </w:r>
          </w:p>
        </w:tc>
        <w:tc>
          <w:tcPr>
            <w:tcW w:w="1366"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40" w:firstLine="140"/>
              <w:jc w:val="right"/>
              <w:rPr>
                <w:sz w:val="20"/>
                <w:szCs w:val="20"/>
              </w:rPr>
            </w:pPr>
            <w:r w:rsidRPr="007278C9">
              <w:rPr>
                <w:sz w:val="20"/>
                <w:szCs w:val="20"/>
              </w:rPr>
              <w:t>2 454 449,7</w:t>
            </w:r>
          </w:p>
        </w:tc>
        <w:tc>
          <w:tcPr>
            <w:tcW w:w="12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5"/>
              <w:jc w:val="right"/>
              <w:rPr>
                <w:sz w:val="20"/>
                <w:szCs w:val="20"/>
              </w:rPr>
            </w:pPr>
            <w:r w:rsidRPr="007278C9">
              <w:rPr>
                <w:sz w:val="20"/>
                <w:szCs w:val="20"/>
              </w:rPr>
              <w:t>2 386 336,7</w:t>
            </w:r>
          </w:p>
        </w:tc>
        <w:tc>
          <w:tcPr>
            <w:tcW w:w="11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3"/>
              <w:jc w:val="right"/>
              <w:rPr>
                <w:sz w:val="20"/>
                <w:szCs w:val="20"/>
              </w:rPr>
            </w:pPr>
            <w:r w:rsidRPr="007278C9">
              <w:rPr>
                <w:sz w:val="20"/>
                <w:szCs w:val="20"/>
              </w:rPr>
              <w:t>-68 113,0</w:t>
            </w:r>
          </w:p>
        </w:tc>
        <w:tc>
          <w:tcPr>
            <w:tcW w:w="116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97,2</w:t>
            </w:r>
          </w:p>
        </w:tc>
        <w:tc>
          <w:tcPr>
            <w:tcW w:w="98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4,5</w:t>
            </w:r>
          </w:p>
        </w:tc>
      </w:tr>
      <w:tr w:rsidR="009E26F4" w:rsidRPr="007278C9" w:rsidTr="007278C9">
        <w:trPr>
          <w:trHeight w:val="37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7278C9">
            <w:pPr>
              <w:ind w:right="-70"/>
              <w:rPr>
                <w:sz w:val="20"/>
                <w:szCs w:val="20"/>
              </w:rPr>
            </w:pPr>
            <w:r w:rsidRPr="007278C9">
              <w:rPr>
                <w:sz w:val="20"/>
                <w:szCs w:val="20"/>
              </w:rPr>
              <w:t>3. Стимулирование экономической активности населения Чукотского автономного округа (04)</w:t>
            </w:r>
          </w:p>
        </w:tc>
        <w:tc>
          <w:tcPr>
            <w:tcW w:w="1366"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40" w:firstLine="140"/>
              <w:jc w:val="right"/>
              <w:rPr>
                <w:sz w:val="20"/>
                <w:szCs w:val="20"/>
              </w:rPr>
            </w:pPr>
            <w:r w:rsidRPr="007278C9">
              <w:rPr>
                <w:sz w:val="20"/>
                <w:szCs w:val="20"/>
              </w:rPr>
              <w:t>494 685,6</w:t>
            </w:r>
          </w:p>
        </w:tc>
        <w:tc>
          <w:tcPr>
            <w:tcW w:w="12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5"/>
              <w:jc w:val="right"/>
              <w:rPr>
                <w:sz w:val="20"/>
                <w:szCs w:val="20"/>
              </w:rPr>
            </w:pPr>
            <w:r w:rsidRPr="007278C9">
              <w:rPr>
                <w:sz w:val="20"/>
                <w:szCs w:val="20"/>
              </w:rPr>
              <w:t>490 283,7</w:t>
            </w:r>
          </w:p>
        </w:tc>
        <w:tc>
          <w:tcPr>
            <w:tcW w:w="11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3"/>
              <w:jc w:val="right"/>
              <w:rPr>
                <w:sz w:val="20"/>
                <w:szCs w:val="20"/>
              </w:rPr>
            </w:pPr>
            <w:r w:rsidRPr="007278C9">
              <w:rPr>
                <w:sz w:val="20"/>
                <w:szCs w:val="20"/>
              </w:rPr>
              <w:t>-4 401,9</w:t>
            </w:r>
          </w:p>
        </w:tc>
        <w:tc>
          <w:tcPr>
            <w:tcW w:w="116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99,1</w:t>
            </w:r>
          </w:p>
        </w:tc>
        <w:tc>
          <w:tcPr>
            <w:tcW w:w="98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0,9</w:t>
            </w:r>
          </w:p>
        </w:tc>
      </w:tr>
      <w:tr w:rsidR="009E26F4" w:rsidRPr="007278C9" w:rsidTr="007278C9">
        <w:trPr>
          <w:trHeight w:val="37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7278C9">
            <w:pPr>
              <w:ind w:right="-70"/>
              <w:rPr>
                <w:sz w:val="20"/>
                <w:szCs w:val="20"/>
              </w:rPr>
            </w:pPr>
            <w:r w:rsidRPr="007278C9">
              <w:rPr>
                <w:sz w:val="20"/>
                <w:szCs w:val="20"/>
              </w:rPr>
              <w:t>4. Развитие культуры, спорта и туризма Чукотского автономного округа (05)</w:t>
            </w:r>
          </w:p>
        </w:tc>
        <w:tc>
          <w:tcPr>
            <w:tcW w:w="1366"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40" w:firstLine="140"/>
              <w:jc w:val="right"/>
              <w:rPr>
                <w:sz w:val="20"/>
                <w:szCs w:val="20"/>
              </w:rPr>
            </w:pPr>
            <w:r w:rsidRPr="007278C9">
              <w:rPr>
                <w:sz w:val="20"/>
                <w:szCs w:val="20"/>
              </w:rPr>
              <w:t>1 011 186,9</w:t>
            </w:r>
          </w:p>
        </w:tc>
        <w:tc>
          <w:tcPr>
            <w:tcW w:w="12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5"/>
              <w:jc w:val="right"/>
              <w:rPr>
                <w:sz w:val="20"/>
                <w:szCs w:val="20"/>
              </w:rPr>
            </w:pPr>
            <w:r w:rsidRPr="007278C9">
              <w:rPr>
                <w:sz w:val="20"/>
                <w:szCs w:val="20"/>
              </w:rPr>
              <w:t>972 658,9</w:t>
            </w:r>
          </w:p>
        </w:tc>
        <w:tc>
          <w:tcPr>
            <w:tcW w:w="11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3"/>
              <w:jc w:val="right"/>
              <w:rPr>
                <w:sz w:val="20"/>
                <w:szCs w:val="20"/>
              </w:rPr>
            </w:pPr>
            <w:r w:rsidRPr="007278C9">
              <w:rPr>
                <w:sz w:val="20"/>
                <w:szCs w:val="20"/>
              </w:rPr>
              <w:t>-38 528,0</w:t>
            </w:r>
          </w:p>
        </w:tc>
        <w:tc>
          <w:tcPr>
            <w:tcW w:w="116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96,2</w:t>
            </w:r>
          </w:p>
        </w:tc>
        <w:tc>
          <w:tcPr>
            <w:tcW w:w="98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1,8</w:t>
            </w:r>
          </w:p>
        </w:tc>
      </w:tr>
      <w:tr w:rsidR="009E26F4" w:rsidRPr="007278C9" w:rsidTr="007278C9">
        <w:trPr>
          <w:trHeight w:val="37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7278C9">
            <w:pPr>
              <w:ind w:right="-70"/>
              <w:rPr>
                <w:sz w:val="20"/>
                <w:szCs w:val="20"/>
              </w:rPr>
            </w:pPr>
            <w:r w:rsidRPr="007278C9">
              <w:rPr>
                <w:sz w:val="20"/>
                <w:szCs w:val="20"/>
              </w:rPr>
              <w:t>5. Развитие агропромышленного комплекса Чукотского автономного округа (06)</w:t>
            </w:r>
          </w:p>
        </w:tc>
        <w:tc>
          <w:tcPr>
            <w:tcW w:w="1366"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40" w:firstLine="140"/>
              <w:jc w:val="right"/>
              <w:rPr>
                <w:sz w:val="20"/>
                <w:szCs w:val="20"/>
              </w:rPr>
            </w:pPr>
            <w:r w:rsidRPr="007278C9">
              <w:rPr>
                <w:sz w:val="20"/>
                <w:szCs w:val="20"/>
              </w:rPr>
              <w:t>3 060 742,7</w:t>
            </w:r>
          </w:p>
        </w:tc>
        <w:tc>
          <w:tcPr>
            <w:tcW w:w="12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5"/>
              <w:jc w:val="right"/>
              <w:rPr>
                <w:sz w:val="20"/>
                <w:szCs w:val="20"/>
              </w:rPr>
            </w:pPr>
            <w:r w:rsidRPr="007278C9">
              <w:rPr>
                <w:sz w:val="20"/>
                <w:szCs w:val="20"/>
              </w:rPr>
              <w:t>3 043 967,8</w:t>
            </w:r>
          </w:p>
        </w:tc>
        <w:tc>
          <w:tcPr>
            <w:tcW w:w="11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3"/>
              <w:jc w:val="right"/>
              <w:rPr>
                <w:sz w:val="20"/>
                <w:szCs w:val="20"/>
              </w:rPr>
            </w:pPr>
            <w:r w:rsidRPr="007278C9">
              <w:rPr>
                <w:sz w:val="20"/>
                <w:szCs w:val="20"/>
              </w:rPr>
              <w:t>-16 774,9</w:t>
            </w:r>
          </w:p>
        </w:tc>
        <w:tc>
          <w:tcPr>
            <w:tcW w:w="116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99,5</w:t>
            </w:r>
          </w:p>
        </w:tc>
        <w:tc>
          <w:tcPr>
            <w:tcW w:w="98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5,8</w:t>
            </w:r>
          </w:p>
        </w:tc>
      </w:tr>
      <w:tr w:rsidR="009E26F4" w:rsidRPr="007278C9" w:rsidTr="007278C9">
        <w:trPr>
          <w:trHeight w:val="37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7278C9">
            <w:pPr>
              <w:ind w:right="-70"/>
              <w:rPr>
                <w:sz w:val="20"/>
                <w:szCs w:val="20"/>
              </w:rPr>
            </w:pPr>
            <w:r w:rsidRPr="007278C9">
              <w:rPr>
                <w:sz w:val="20"/>
                <w:szCs w:val="20"/>
              </w:rPr>
              <w:t>6. Информационное общество Чукотского автономного округа (07)</w:t>
            </w:r>
          </w:p>
        </w:tc>
        <w:tc>
          <w:tcPr>
            <w:tcW w:w="1366"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40" w:firstLine="140"/>
              <w:jc w:val="right"/>
              <w:rPr>
                <w:sz w:val="20"/>
                <w:szCs w:val="20"/>
              </w:rPr>
            </w:pPr>
            <w:r w:rsidRPr="007278C9">
              <w:rPr>
                <w:sz w:val="20"/>
                <w:szCs w:val="20"/>
              </w:rPr>
              <w:t>620 579,6</w:t>
            </w:r>
          </w:p>
        </w:tc>
        <w:tc>
          <w:tcPr>
            <w:tcW w:w="12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5"/>
              <w:jc w:val="right"/>
              <w:rPr>
                <w:sz w:val="20"/>
                <w:szCs w:val="20"/>
              </w:rPr>
            </w:pPr>
            <w:r w:rsidRPr="007278C9">
              <w:rPr>
                <w:sz w:val="20"/>
                <w:szCs w:val="20"/>
              </w:rPr>
              <w:t>617 275,8</w:t>
            </w:r>
          </w:p>
        </w:tc>
        <w:tc>
          <w:tcPr>
            <w:tcW w:w="11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3"/>
              <w:jc w:val="right"/>
              <w:rPr>
                <w:sz w:val="20"/>
                <w:szCs w:val="20"/>
              </w:rPr>
            </w:pPr>
            <w:r w:rsidRPr="007278C9">
              <w:rPr>
                <w:sz w:val="20"/>
                <w:szCs w:val="20"/>
              </w:rPr>
              <w:t>-3 303,8</w:t>
            </w:r>
          </w:p>
        </w:tc>
        <w:tc>
          <w:tcPr>
            <w:tcW w:w="116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99,5</w:t>
            </w:r>
          </w:p>
        </w:tc>
        <w:tc>
          <w:tcPr>
            <w:tcW w:w="98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1,2</w:t>
            </w:r>
          </w:p>
        </w:tc>
      </w:tr>
      <w:tr w:rsidR="009E26F4" w:rsidRPr="007278C9" w:rsidTr="007278C9">
        <w:trPr>
          <w:trHeight w:val="55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9E26F4" w:rsidRDefault="009E26F4" w:rsidP="007278C9">
            <w:pPr>
              <w:ind w:right="-70"/>
              <w:rPr>
                <w:sz w:val="20"/>
                <w:szCs w:val="20"/>
              </w:rPr>
            </w:pPr>
            <w:r w:rsidRPr="007278C9">
              <w:rPr>
                <w:sz w:val="20"/>
                <w:szCs w:val="20"/>
              </w:rPr>
              <w:t>7. Развитие жилищно-коммунального хозяйства и водохозяйственного комплекса Чукотского автономного округа (08)</w:t>
            </w:r>
          </w:p>
          <w:p w:rsidR="00A30693" w:rsidRPr="00A30693" w:rsidRDefault="00A30693" w:rsidP="007278C9">
            <w:pPr>
              <w:ind w:right="-70"/>
              <w:rPr>
                <w:sz w:val="4"/>
                <w:szCs w:val="4"/>
              </w:rPr>
            </w:pPr>
          </w:p>
        </w:tc>
        <w:tc>
          <w:tcPr>
            <w:tcW w:w="1366"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40" w:firstLine="140"/>
              <w:jc w:val="right"/>
              <w:rPr>
                <w:sz w:val="20"/>
                <w:szCs w:val="20"/>
              </w:rPr>
            </w:pPr>
            <w:r w:rsidRPr="007278C9">
              <w:rPr>
                <w:sz w:val="20"/>
                <w:szCs w:val="20"/>
              </w:rPr>
              <w:t>9 194 785,1</w:t>
            </w:r>
          </w:p>
        </w:tc>
        <w:tc>
          <w:tcPr>
            <w:tcW w:w="12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5"/>
              <w:jc w:val="right"/>
              <w:rPr>
                <w:sz w:val="20"/>
                <w:szCs w:val="20"/>
              </w:rPr>
            </w:pPr>
            <w:r w:rsidRPr="007278C9">
              <w:rPr>
                <w:sz w:val="20"/>
                <w:szCs w:val="20"/>
              </w:rPr>
              <w:t>9 183 447,8</w:t>
            </w:r>
          </w:p>
        </w:tc>
        <w:tc>
          <w:tcPr>
            <w:tcW w:w="11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3"/>
              <w:jc w:val="right"/>
              <w:rPr>
                <w:sz w:val="20"/>
                <w:szCs w:val="20"/>
              </w:rPr>
            </w:pPr>
            <w:r w:rsidRPr="007278C9">
              <w:rPr>
                <w:sz w:val="20"/>
                <w:szCs w:val="20"/>
              </w:rPr>
              <w:t>-11 337,3</w:t>
            </w:r>
          </w:p>
        </w:tc>
        <w:tc>
          <w:tcPr>
            <w:tcW w:w="116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99,9</w:t>
            </w:r>
          </w:p>
        </w:tc>
        <w:tc>
          <w:tcPr>
            <w:tcW w:w="98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17,4</w:t>
            </w:r>
          </w:p>
        </w:tc>
      </w:tr>
      <w:tr w:rsidR="009E26F4" w:rsidRPr="007278C9" w:rsidTr="007278C9">
        <w:trPr>
          <w:trHeight w:val="37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7278C9">
            <w:pPr>
              <w:ind w:right="-70"/>
              <w:rPr>
                <w:sz w:val="20"/>
                <w:szCs w:val="20"/>
              </w:rPr>
            </w:pPr>
            <w:r w:rsidRPr="007278C9">
              <w:rPr>
                <w:sz w:val="20"/>
                <w:szCs w:val="20"/>
              </w:rPr>
              <w:t>8. Развитие образования и науки Чукотского автономного округа (09)</w:t>
            </w:r>
          </w:p>
        </w:tc>
        <w:tc>
          <w:tcPr>
            <w:tcW w:w="1366"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40" w:firstLine="140"/>
              <w:jc w:val="right"/>
              <w:rPr>
                <w:sz w:val="20"/>
                <w:szCs w:val="20"/>
              </w:rPr>
            </w:pPr>
            <w:r w:rsidRPr="007278C9">
              <w:rPr>
                <w:sz w:val="20"/>
                <w:szCs w:val="20"/>
              </w:rPr>
              <w:t>7 457 083,0</w:t>
            </w:r>
          </w:p>
        </w:tc>
        <w:tc>
          <w:tcPr>
            <w:tcW w:w="12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5"/>
              <w:jc w:val="right"/>
              <w:rPr>
                <w:sz w:val="20"/>
                <w:szCs w:val="20"/>
              </w:rPr>
            </w:pPr>
            <w:r w:rsidRPr="007278C9">
              <w:rPr>
                <w:sz w:val="20"/>
                <w:szCs w:val="20"/>
              </w:rPr>
              <w:t>6 932 219,5</w:t>
            </w:r>
          </w:p>
        </w:tc>
        <w:tc>
          <w:tcPr>
            <w:tcW w:w="11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3"/>
              <w:jc w:val="right"/>
              <w:rPr>
                <w:sz w:val="20"/>
                <w:szCs w:val="20"/>
              </w:rPr>
            </w:pPr>
            <w:r w:rsidRPr="007278C9">
              <w:rPr>
                <w:sz w:val="20"/>
                <w:szCs w:val="20"/>
              </w:rPr>
              <w:t>-524 863,5</w:t>
            </w:r>
          </w:p>
        </w:tc>
        <w:tc>
          <w:tcPr>
            <w:tcW w:w="116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93,0</w:t>
            </w:r>
          </w:p>
        </w:tc>
        <w:tc>
          <w:tcPr>
            <w:tcW w:w="98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13,2</w:t>
            </w:r>
          </w:p>
        </w:tc>
      </w:tr>
      <w:tr w:rsidR="009E26F4" w:rsidRPr="007278C9" w:rsidTr="007278C9">
        <w:trPr>
          <w:trHeight w:val="37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7278C9">
            <w:pPr>
              <w:ind w:right="-70"/>
              <w:rPr>
                <w:sz w:val="20"/>
                <w:szCs w:val="20"/>
              </w:rPr>
            </w:pPr>
            <w:r w:rsidRPr="007278C9">
              <w:rPr>
                <w:sz w:val="20"/>
                <w:szCs w:val="20"/>
              </w:rPr>
              <w:t>9. Развитие лесного хозяйства Чукотского автономного округа (10)</w:t>
            </w:r>
          </w:p>
        </w:tc>
        <w:tc>
          <w:tcPr>
            <w:tcW w:w="1366"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40" w:firstLine="140"/>
              <w:jc w:val="right"/>
              <w:rPr>
                <w:sz w:val="20"/>
                <w:szCs w:val="20"/>
              </w:rPr>
            </w:pPr>
            <w:r w:rsidRPr="007278C9">
              <w:rPr>
                <w:sz w:val="20"/>
                <w:szCs w:val="20"/>
              </w:rPr>
              <w:t>259 305,2</w:t>
            </w:r>
          </w:p>
        </w:tc>
        <w:tc>
          <w:tcPr>
            <w:tcW w:w="12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5"/>
              <w:jc w:val="right"/>
              <w:rPr>
                <w:sz w:val="20"/>
                <w:szCs w:val="20"/>
              </w:rPr>
            </w:pPr>
            <w:r w:rsidRPr="007278C9">
              <w:rPr>
                <w:sz w:val="20"/>
                <w:szCs w:val="20"/>
              </w:rPr>
              <w:t>254 698,4</w:t>
            </w:r>
          </w:p>
        </w:tc>
        <w:tc>
          <w:tcPr>
            <w:tcW w:w="11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3"/>
              <w:jc w:val="right"/>
              <w:rPr>
                <w:sz w:val="20"/>
                <w:szCs w:val="20"/>
              </w:rPr>
            </w:pPr>
            <w:r w:rsidRPr="007278C9">
              <w:rPr>
                <w:sz w:val="20"/>
                <w:szCs w:val="20"/>
              </w:rPr>
              <w:t>-4 606,8</w:t>
            </w:r>
          </w:p>
        </w:tc>
        <w:tc>
          <w:tcPr>
            <w:tcW w:w="116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98,2</w:t>
            </w:r>
          </w:p>
        </w:tc>
        <w:tc>
          <w:tcPr>
            <w:tcW w:w="98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0,5</w:t>
            </w:r>
          </w:p>
        </w:tc>
      </w:tr>
      <w:tr w:rsidR="009E26F4" w:rsidRPr="007278C9" w:rsidTr="007278C9">
        <w:trPr>
          <w:trHeight w:val="37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9E26F4" w:rsidRDefault="009E26F4" w:rsidP="007278C9">
            <w:pPr>
              <w:ind w:right="-70"/>
              <w:rPr>
                <w:sz w:val="20"/>
                <w:szCs w:val="20"/>
              </w:rPr>
            </w:pPr>
            <w:r w:rsidRPr="007278C9">
              <w:rPr>
                <w:sz w:val="20"/>
                <w:szCs w:val="20"/>
              </w:rPr>
              <w:t>10. Развитие транспортной инфраструктуры Чукотского автономного округа (11)</w:t>
            </w:r>
          </w:p>
          <w:p w:rsidR="00504159" w:rsidRPr="00504159" w:rsidRDefault="00504159" w:rsidP="007278C9">
            <w:pPr>
              <w:ind w:right="-70"/>
              <w:rPr>
                <w:sz w:val="4"/>
                <w:szCs w:val="4"/>
              </w:rPr>
            </w:pPr>
          </w:p>
        </w:tc>
        <w:tc>
          <w:tcPr>
            <w:tcW w:w="1366"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40" w:firstLine="140"/>
              <w:jc w:val="right"/>
              <w:rPr>
                <w:sz w:val="20"/>
                <w:szCs w:val="20"/>
              </w:rPr>
            </w:pPr>
            <w:r w:rsidRPr="007278C9">
              <w:rPr>
                <w:sz w:val="20"/>
                <w:szCs w:val="20"/>
              </w:rPr>
              <w:t>6 838 211,0</w:t>
            </w:r>
          </w:p>
        </w:tc>
        <w:tc>
          <w:tcPr>
            <w:tcW w:w="12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5"/>
              <w:jc w:val="right"/>
              <w:rPr>
                <w:sz w:val="20"/>
                <w:szCs w:val="20"/>
              </w:rPr>
            </w:pPr>
            <w:r w:rsidRPr="007278C9">
              <w:rPr>
                <w:sz w:val="20"/>
                <w:szCs w:val="20"/>
              </w:rPr>
              <w:t>6 736 819,3</w:t>
            </w:r>
          </w:p>
        </w:tc>
        <w:tc>
          <w:tcPr>
            <w:tcW w:w="11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3"/>
              <w:jc w:val="right"/>
              <w:rPr>
                <w:sz w:val="20"/>
                <w:szCs w:val="20"/>
              </w:rPr>
            </w:pPr>
            <w:r w:rsidRPr="007278C9">
              <w:rPr>
                <w:sz w:val="20"/>
                <w:szCs w:val="20"/>
              </w:rPr>
              <w:t>-101 391,7</w:t>
            </w:r>
          </w:p>
        </w:tc>
        <w:tc>
          <w:tcPr>
            <w:tcW w:w="116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98,5</w:t>
            </w:r>
          </w:p>
        </w:tc>
        <w:tc>
          <w:tcPr>
            <w:tcW w:w="98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12,8</w:t>
            </w:r>
          </w:p>
        </w:tc>
      </w:tr>
      <w:tr w:rsidR="009E26F4" w:rsidRPr="007278C9" w:rsidTr="007278C9">
        <w:trPr>
          <w:trHeight w:val="37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7278C9">
            <w:pPr>
              <w:ind w:right="-70"/>
              <w:rPr>
                <w:sz w:val="20"/>
                <w:szCs w:val="20"/>
              </w:rPr>
            </w:pPr>
            <w:r w:rsidRPr="007278C9">
              <w:rPr>
                <w:sz w:val="20"/>
                <w:szCs w:val="20"/>
              </w:rPr>
              <w:lastRenderedPageBreak/>
              <w:t>11. Управление региональными финансами и имуществом Чукотского автономного округа (12)</w:t>
            </w:r>
          </w:p>
        </w:tc>
        <w:tc>
          <w:tcPr>
            <w:tcW w:w="1366"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40" w:firstLine="140"/>
              <w:jc w:val="right"/>
              <w:rPr>
                <w:sz w:val="20"/>
                <w:szCs w:val="20"/>
              </w:rPr>
            </w:pPr>
            <w:r w:rsidRPr="007278C9">
              <w:rPr>
                <w:sz w:val="20"/>
                <w:szCs w:val="20"/>
              </w:rPr>
              <w:t>6 513 285,5</w:t>
            </w:r>
          </w:p>
        </w:tc>
        <w:tc>
          <w:tcPr>
            <w:tcW w:w="12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5"/>
              <w:jc w:val="right"/>
              <w:rPr>
                <w:sz w:val="20"/>
                <w:szCs w:val="20"/>
              </w:rPr>
            </w:pPr>
            <w:r w:rsidRPr="007278C9">
              <w:rPr>
                <w:sz w:val="20"/>
                <w:szCs w:val="20"/>
              </w:rPr>
              <w:t>6 479 350,2</w:t>
            </w:r>
          </w:p>
        </w:tc>
        <w:tc>
          <w:tcPr>
            <w:tcW w:w="11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3"/>
              <w:jc w:val="right"/>
              <w:rPr>
                <w:sz w:val="20"/>
                <w:szCs w:val="20"/>
              </w:rPr>
            </w:pPr>
            <w:r w:rsidRPr="007278C9">
              <w:rPr>
                <w:sz w:val="20"/>
                <w:szCs w:val="20"/>
              </w:rPr>
              <w:t>-33 935,3</w:t>
            </w:r>
          </w:p>
        </w:tc>
        <w:tc>
          <w:tcPr>
            <w:tcW w:w="116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99,5</w:t>
            </w:r>
          </w:p>
        </w:tc>
        <w:tc>
          <w:tcPr>
            <w:tcW w:w="98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12,3</w:t>
            </w:r>
          </w:p>
        </w:tc>
      </w:tr>
      <w:tr w:rsidR="009E26F4" w:rsidRPr="007278C9" w:rsidTr="007278C9">
        <w:trPr>
          <w:trHeight w:val="37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7278C9">
            <w:pPr>
              <w:ind w:right="-70"/>
              <w:rPr>
                <w:sz w:val="20"/>
                <w:szCs w:val="20"/>
              </w:rPr>
            </w:pPr>
            <w:r w:rsidRPr="007278C9">
              <w:rPr>
                <w:sz w:val="20"/>
                <w:szCs w:val="20"/>
              </w:rPr>
              <w:t>12. Развитие жилищного строительства в Чукотском автономном округе (14)</w:t>
            </w:r>
          </w:p>
        </w:tc>
        <w:tc>
          <w:tcPr>
            <w:tcW w:w="1366"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40" w:firstLine="140"/>
              <w:jc w:val="right"/>
              <w:rPr>
                <w:sz w:val="20"/>
                <w:szCs w:val="20"/>
              </w:rPr>
            </w:pPr>
            <w:r w:rsidRPr="007278C9">
              <w:rPr>
                <w:sz w:val="20"/>
                <w:szCs w:val="20"/>
              </w:rPr>
              <w:t>501 359,0</w:t>
            </w:r>
          </w:p>
        </w:tc>
        <w:tc>
          <w:tcPr>
            <w:tcW w:w="12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5"/>
              <w:jc w:val="right"/>
              <w:rPr>
                <w:sz w:val="20"/>
                <w:szCs w:val="20"/>
              </w:rPr>
            </w:pPr>
            <w:r w:rsidRPr="007278C9">
              <w:rPr>
                <w:sz w:val="20"/>
                <w:szCs w:val="20"/>
              </w:rPr>
              <w:t>362 345,4</w:t>
            </w:r>
          </w:p>
        </w:tc>
        <w:tc>
          <w:tcPr>
            <w:tcW w:w="11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3"/>
              <w:jc w:val="right"/>
              <w:rPr>
                <w:sz w:val="20"/>
                <w:szCs w:val="20"/>
              </w:rPr>
            </w:pPr>
            <w:r w:rsidRPr="007278C9">
              <w:rPr>
                <w:sz w:val="20"/>
                <w:szCs w:val="20"/>
              </w:rPr>
              <w:t>-139 013,6</w:t>
            </w:r>
          </w:p>
        </w:tc>
        <w:tc>
          <w:tcPr>
            <w:tcW w:w="116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72,3</w:t>
            </w:r>
          </w:p>
        </w:tc>
        <w:tc>
          <w:tcPr>
            <w:tcW w:w="98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0,7</w:t>
            </w:r>
          </w:p>
        </w:tc>
      </w:tr>
      <w:tr w:rsidR="009E26F4" w:rsidRPr="007278C9" w:rsidTr="007278C9">
        <w:trPr>
          <w:trHeight w:val="55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7278C9">
            <w:pPr>
              <w:ind w:right="-70"/>
              <w:rPr>
                <w:sz w:val="20"/>
                <w:szCs w:val="20"/>
              </w:rPr>
            </w:pPr>
            <w:r w:rsidRPr="007278C9">
              <w:rPr>
                <w:sz w:val="20"/>
                <w:szCs w:val="20"/>
              </w:rPr>
              <w:t>13. Предупреждение чрезвычайных ситуаций природного и техногенного характера и обеспечение пожарной безопасности в Чукотском автономном округе (16)</w:t>
            </w:r>
          </w:p>
        </w:tc>
        <w:tc>
          <w:tcPr>
            <w:tcW w:w="1366"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40" w:firstLine="140"/>
              <w:jc w:val="right"/>
              <w:rPr>
                <w:sz w:val="20"/>
                <w:szCs w:val="20"/>
              </w:rPr>
            </w:pPr>
            <w:r w:rsidRPr="007278C9">
              <w:rPr>
                <w:sz w:val="20"/>
                <w:szCs w:val="20"/>
              </w:rPr>
              <w:t>471 397,5</w:t>
            </w:r>
          </w:p>
        </w:tc>
        <w:tc>
          <w:tcPr>
            <w:tcW w:w="12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5"/>
              <w:jc w:val="right"/>
              <w:rPr>
                <w:sz w:val="20"/>
                <w:szCs w:val="20"/>
              </w:rPr>
            </w:pPr>
            <w:r w:rsidRPr="007278C9">
              <w:rPr>
                <w:sz w:val="20"/>
                <w:szCs w:val="20"/>
              </w:rPr>
              <w:t>462 701,6</w:t>
            </w:r>
          </w:p>
        </w:tc>
        <w:tc>
          <w:tcPr>
            <w:tcW w:w="11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3"/>
              <w:jc w:val="right"/>
              <w:rPr>
                <w:sz w:val="20"/>
                <w:szCs w:val="20"/>
              </w:rPr>
            </w:pPr>
            <w:r w:rsidRPr="007278C9">
              <w:rPr>
                <w:sz w:val="20"/>
                <w:szCs w:val="20"/>
              </w:rPr>
              <w:t>-8 695,9</w:t>
            </w:r>
          </w:p>
        </w:tc>
        <w:tc>
          <w:tcPr>
            <w:tcW w:w="116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98,2</w:t>
            </w:r>
          </w:p>
        </w:tc>
        <w:tc>
          <w:tcPr>
            <w:tcW w:w="98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0,9</w:t>
            </w:r>
          </w:p>
        </w:tc>
      </w:tr>
      <w:tr w:rsidR="009E26F4" w:rsidRPr="007278C9" w:rsidTr="007278C9">
        <w:trPr>
          <w:trHeight w:val="37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7278C9">
            <w:pPr>
              <w:ind w:right="-70"/>
              <w:rPr>
                <w:sz w:val="20"/>
                <w:szCs w:val="20"/>
              </w:rPr>
            </w:pPr>
            <w:r w:rsidRPr="007278C9">
              <w:rPr>
                <w:sz w:val="20"/>
                <w:szCs w:val="20"/>
              </w:rPr>
              <w:t>14. Охрана окружающей среды и обеспечение рационального природопользования в Чукотском автономном округе (18)</w:t>
            </w:r>
          </w:p>
        </w:tc>
        <w:tc>
          <w:tcPr>
            <w:tcW w:w="1366"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40" w:firstLine="140"/>
              <w:jc w:val="right"/>
              <w:rPr>
                <w:sz w:val="20"/>
                <w:szCs w:val="20"/>
              </w:rPr>
            </w:pPr>
            <w:r w:rsidRPr="007278C9">
              <w:rPr>
                <w:sz w:val="20"/>
                <w:szCs w:val="20"/>
              </w:rPr>
              <w:t>227 572,5</w:t>
            </w:r>
          </w:p>
        </w:tc>
        <w:tc>
          <w:tcPr>
            <w:tcW w:w="12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5"/>
              <w:jc w:val="right"/>
              <w:rPr>
                <w:sz w:val="20"/>
                <w:szCs w:val="20"/>
              </w:rPr>
            </w:pPr>
            <w:r w:rsidRPr="007278C9">
              <w:rPr>
                <w:sz w:val="20"/>
                <w:szCs w:val="20"/>
              </w:rPr>
              <w:t>217 090,3</w:t>
            </w:r>
          </w:p>
        </w:tc>
        <w:tc>
          <w:tcPr>
            <w:tcW w:w="11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3"/>
              <w:jc w:val="right"/>
              <w:rPr>
                <w:sz w:val="20"/>
                <w:szCs w:val="20"/>
              </w:rPr>
            </w:pPr>
            <w:r w:rsidRPr="007278C9">
              <w:rPr>
                <w:sz w:val="20"/>
                <w:szCs w:val="20"/>
              </w:rPr>
              <w:t>-10 482,2</w:t>
            </w:r>
          </w:p>
        </w:tc>
        <w:tc>
          <w:tcPr>
            <w:tcW w:w="116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95,4</w:t>
            </w:r>
          </w:p>
        </w:tc>
        <w:tc>
          <w:tcPr>
            <w:tcW w:w="98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0,4</w:t>
            </w:r>
          </w:p>
        </w:tc>
      </w:tr>
      <w:tr w:rsidR="009E26F4" w:rsidRPr="007278C9" w:rsidTr="007278C9">
        <w:trPr>
          <w:trHeight w:val="184"/>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7278C9">
            <w:pPr>
              <w:ind w:right="-70"/>
              <w:rPr>
                <w:sz w:val="20"/>
                <w:szCs w:val="20"/>
              </w:rPr>
            </w:pPr>
            <w:r w:rsidRPr="007278C9">
              <w:rPr>
                <w:sz w:val="20"/>
                <w:szCs w:val="20"/>
              </w:rPr>
              <w:t>15. Развитие энергетики Чукотского автономного округа (19)</w:t>
            </w:r>
          </w:p>
        </w:tc>
        <w:tc>
          <w:tcPr>
            <w:tcW w:w="1366"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40" w:firstLine="140"/>
              <w:jc w:val="right"/>
              <w:rPr>
                <w:sz w:val="20"/>
                <w:szCs w:val="20"/>
              </w:rPr>
            </w:pPr>
            <w:r w:rsidRPr="007278C9">
              <w:rPr>
                <w:sz w:val="20"/>
                <w:szCs w:val="20"/>
              </w:rPr>
              <w:t>10 315 862,3</w:t>
            </w:r>
          </w:p>
        </w:tc>
        <w:tc>
          <w:tcPr>
            <w:tcW w:w="12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5"/>
              <w:jc w:val="right"/>
              <w:rPr>
                <w:sz w:val="20"/>
                <w:szCs w:val="20"/>
              </w:rPr>
            </w:pPr>
            <w:r w:rsidRPr="007278C9">
              <w:rPr>
                <w:sz w:val="20"/>
                <w:szCs w:val="20"/>
              </w:rPr>
              <w:t>9 861 302,4</w:t>
            </w:r>
          </w:p>
        </w:tc>
        <w:tc>
          <w:tcPr>
            <w:tcW w:w="11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3"/>
              <w:jc w:val="right"/>
              <w:rPr>
                <w:sz w:val="20"/>
                <w:szCs w:val="20"/>
              </w:rPr>
            </w:pPr>
            <w:r w:rsidRPr="007278C9">
              <w:rPr>
                <w:sz w:val="20"/>
                <w:szCs w:val="20"/>
              </w:rPr>
              <w:t>- 454 559,9</w:t>
            </w:r>
          </w:p>
        </w:tc>
        <w:tc>
          <w:tcPr>
            <w:tcW w:w="116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95,6</w:t>
            </w:r>
          </w:p>
        </w:tc>
        <w:tc>
          <w:tcPr>
            <w:tcW w:w="98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18,7</w:t>
            </w:r>
          </w:p>
        </w:tc>
      </w:tr>
      <w:tr w:rsidR="009E26F4" w:rsidRPr="007278C9" w:rsidTr="007278C9">
        <w:trPr>
          <w:trHeight w:val="55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9E26F4" w:rsidRPr="007278C9" w:rsidRDefault="009E26F4" w:rsidP="007278C9">
            <w:pPr>
              <w:ind w:right="-70"/>
              <w:rPr>
                <w:sz w:val="20"/>
                <w:szCs w:val="20"/>
              </w:rPr>
            </w:pPr>
            <w:r w:rsidRPr="007278C9">
              <w:rPr>
                <w:sz w:val="20"/>
                <w:szCs w:val="20"/>
              </w:rPr>
              <w:t>16. Обеспечение охраны общественного порядка и повышения безопасности дорожного движения в Чукотском автономном округе (20)</w:t>
            </w:r>
          </w:p>
        </w:tc>
        <w:tc>
          <w:tcPr>
            <w:tcW w:w="1366"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40" w:firstLine="140"/>
              <w:jc w:val="right"/>
              <w:rPr>
                <w:sz w:val="20"/>
                <w:szCs w:val="20"/>
              </w:rPr>
            </w:pPr>
            <w:r w:rsidRPr="007278C9">
              <w:rPr>
                <w:sz w:val="20"/>
                <w:szCs w:val="20"/>
              </w:rPr>
              <w:t>1 040,4</w:t>
            </w:r>
          </w:p>
        </w:tc>
        <w:tc>
          <w:tcPr>
            <w:tcW w:w="12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5"/>
              <w:jc w:val="right"/>
              <w:rPr>
                <w:sz w:val="20"/>
                <w:szCs w:val="20"/>
              </w:rPr>
            </w:pPr>
            <w:r w:rsidRPr="007278C9">
              <w:rPr>
                <w:sz w:val="20"/>
                <w:szCs w:val="20"/>
              </w:rPr>
              <w:t>510,4</w:t>
            </w:r>
          </w:p>
        </w:tc>
        <w:tc>
          <w:tcPr>
            <w:tcW w:w="11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3"/>
              <w:jc w:val="right"/>
              <w:rPr>
                <w:sz w:val="20"/>
                <w:szCs w:val="20"/>
              </w:rPr>
            </w:pPr>
            <w:r w:rsidRPr="007278C9">
              <w:rPr>
                <w:sz w:val="20"/>
                <w:szCs w:val="20"/>
              </w:rPr>
              <w:t>-530,0</w:t>
            </w:r>
          </w:p>
        </w:tc>
        <w:tc>
          <w:tcPr>
            <w:tcW w:w="116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49,1</w:t>
            </w:r>
          </w:p>
        </w:tc>
        <w:tc>
          <w:tcPr>
            <w:tcW w:w="98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0,1</w:t>
            </w:r>
          </w:p>
        </w:tc>
      </w:tr>
      <w:tr w:rsidR="009E26F4" w:rsidRPr="007278C9" w:rsidTr="007278C9">
        <w:trPr>
          <w:trHeight w:val="37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9E26F4" w:rsidRDefault="009E26F4" w:rsidP="007278C9">
            <w:pPr>
              <w:ind w:right="-70"/>
              <w:rPr>
                <w:sz w:val="20"/>
                <w:szCs w:val="20"/>
              </w:rPr>
            </w:pPr>
            <w:r w:rsidRPr="007278C9">
              <w:rPr>
                <w:sz w:val="20"/>
                <w:szCs w:val="20"/>
              </w:rPr>
              <w:t>17. Формирование комфортной городской среды в Чукотском автономном округе (21)</w:t>
            </w:r>
          </w:p>
          <w:p w:rsidR="00D80852" w:rsidRPr="00D80852" w:rsidRDefault="00D80852" w:rsidP="007278C9">
            <w:pPr>
              <w:ind w:right="-70"/>
              <w:rPr>
                <w:sz w:val="4"/>
                <w:szCs w:val="4"/>
              </w:rPr>
            </w:pPr>
          </w:p>
        </w:tc>
        <w:tc>
          <w:tcPr>
            <w:tcW w:w="1366"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40" w:firstLine="140"/>
              <w:jc w:val="right"/>
              <w:rPr>
                <w:sz w:val="20"/>
                <w:szCs w:val="20"/>
              </w:rPr>
            </w:pPr>
            <w:r w:rsidRPr="007278C9">
              <w:rPr>
                <w:sz w:val="20"/>
                <w:szCs w:val="20"/>
              </w:rPr>
              <w:t>33 571,6</w:t>
            </w:r>
          </w:p>
        </w:tc>
        <w:tc>
          <w:tcPr>
            <w:tcW w:w="12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5"/>
              <w:jc w:val="right"/>
              <w:rPr>
                <w:sz w:val="20"/>
                <w:szCs w:val="20"/>
              </w:rPr>
            </w:pPr>
            <w:r w:rsidRPr="007278C9">
              <w:rPr>
                <w:sz w:val="20"/>
                <w:szCs w:val="20"/>
              </w:rPr>
              <w:t>33 571,5</w:t>
            </w:r>
          </w:p>
        </w:tc>
        <w:tc>
          <w:tcPr>
            <w:tcW w:w="11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3"/>
              <w:jc w:val="right"/>
              <w:rPr>
                <w:sz w:val="20"/>
                <w:szCs w:val="20"/>
              </w:rPr>
            </w:pPr>
            <w:r w:rsidRPr="007278C9">
              <w:rPr>
                <w:sz w:val="20"/>
                <w:szCs w:val="20"/>
              </w:rPr>
              <w:t>- 0,1</w:t>
            </w:r>
          </w:p>
        </w:tc>
        <w:tc>
          <w:tcPr>
            <w:tcW w:w="116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99,9</w:t>
            </w:r>
          </w:p>
        </w:tc>
        <w:tc>
          <w:tcPr>
            <w:tcW w:w="98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0,1</w:t>
            </w:r>
          </w:p>
        </w:tc>
      </w:tr>
      <w:tr w:rsidR="009E26F4" w:rsidRPr="007278C9" w:rsidTr="007278C9">
        <w:trPr>
          <w:trHeight w:val="55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9E26F4" w:rsidRDefault="009E26F4" w:rsidP="007278C9">
            <w:pPr>
              <w:ind w:right="-70"/>
              <w:rPr>
                <w:sz w:val="20"/>
                <w:szCs w:val="20"/>
              </w:rPr>
            </w:pPr>
            <w:r w:rsidRPr="007278C9">
              <w:rPr>
                <w:sz w:val="20"/>
                <w:szCs w:val="20"/>
              </w:rPr>
              <w:t>18. Обеспечение устойчивого сокращения непригодного для проживания жилищного фонда в Чукотском автономном округе (22)</w:t>
            </w:r>
          </w:p>
          <w:p w:rsidR="00D80852" w:rsidRPr="00D80852" w:rsidRDefault="00D80852" w:rsidP="007278C9">
            <w:pPr>
              <w:ind w:right="-70"/>
              <w:rPr>
                <w:sz w:val="4"/>
                <w:szCs w:val="4"/>
              </w:rPr>
            </w:pPr>
          </w:p>
        </w:tc>
        <w:tc>
          <w:tcPr>
            <w:tcW w:w="1366"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40" w:firstLine="140"/>
              <w:jc w:val="right"/>
              <w:rPr>
                <w:sz w:val="20"/>
                <w:szCs w:val="20"/>
              </w:rPr>
            </w:pPr>
            <w:r w:rsidRPr="007278C9">
              <w:rPr>
                <w:sz w:val="20"/>
                <w:szCs w:val="20"/>
              </w:rPr>
              <w:t>660 340,7</w:t>
            </w:r>
          </w:p>
        </w:tc>
        <w:tc>
          <w:tcPr>
            <w:tcW w:w="127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5"/>
              <w:jc w:val="right"/>
              <w:rPr>
                <w:sz w:val="20"/>
                <w:szCs w:val="20"/>
              </w:rPr>
            </w:pPr>
            <w:r w:rsidRPr="007278C9">
              <w:rPr>
                <w:sz w:val="20"/>
                <w:szCs w:val="20"/>
              </w:rPr>
              <w:t>649 141,6</w:t>
            </w:r>
          </w:p>
        </w:tc>
        <w:tc>
          <w:tcPr>
            <w:tcW w:w="1141"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7278C9">
            <w:pPr>
              <w:ind w:left="-103"/>
              <w:jc w:val="right"/>
              <w:rPr>
                <w:sz w:val="20"/>
                <w:szCs w:val="20"/>
              </w:rPr>
            </w:pPr>
            <w:r w:rsidRPr="007278C9">
              <w:rPr>
                <w:sz w:val="20"/>
                <w:szCs w:val="20"/>
              </w:rPr>
              <w:t>-11 199,1</w:t>
            </w:r>
          </w:p>
        </w:tc>
        <w:tc>
          <w:tcPr>
            <w:tcW w:w="116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98,3</w:t>
            </w:r>
          </w:p>
        </w:tc>
        <w:tc>
          <w:tcPr>
            <w:tcW w:w="987" w:type="dxa"/>
            <w:tcBorders>
              <w:top w:val="nil"/>
              <w:left w:val="nil"/>
              <w:bottom w:val="single" w:sz="4" w:space="0" w:color="auto"/>
              <w:right w:val="single" w:sz="4" w:space="0" w:color="auto"/>
            </w:tcBorders>
            <w:shd w:val="clear" w:color="auto" w:fill="auto"/>
            <w:vAlign w:val="center"/>
            <w:hideMark/>
          </w:tcPr>
          <w:p w:rsidR="009E26F4" w:rsidRPr="007278C9" w:rsidRDefault="009E26F4" w:rsidP="00191861">
            <w:pPr>
              <w:jc w:val="center"/>
              <w:rPr>
                <w:sz w:val="20"/>
                <w:szCs w:val="20"/>
              </w:rPr>
            </w:pPr>
            <w:r w:rsidRPr="007278C9">
              <w:rPr>
                <w:sz w:val="20"/>
                <w:szCs w:val="20"/>
              </w:rPr>
              <w:t>1,1</w:t>
            </w:r>
          </w:p>
        </w:tc>
      </w:tr>
    </w:tbl>
    <w:p w:rsidR="009E26F4" w:rsidRPr="00467F9C" w:rsidRDefault="009E26F4" w:rsidP="00191861">
      <w:pPr>
        <w:spacing w:before="120"/>
        <w:ind w:firstLine="709"/>
        <w:jc w:val="both"/>
        <w:rPr>
          <w:sz w:val="28"/>
          <w:szCs w:val="28"/>
        </w:rPr>
      </w:pPr>
      <w:r w:rsidRPr="00467F9C">
        <w:rPr>
          <w:sz w:val="28"/>
          <w:szCs w:val="28"/>
        </w:rPr>
        <w:t>Разработка, реализация и оценка эффективности государственных программ осуществляется в соответствии с утвержденным Порядком №359</w:t>
      </w:r>
      <w:r w:rsidRPr="00467F9C">
        <w:rPr>
          <w:rStyle w:val="ab"/>
          <w:sz w:val="28"/>
          <w:szCs w:val="28"/>
        </w:rPr>
        <w:footnoteReference w:id="73"/>
      </w:r>
      <w:r w:rsidRPr="00467F9C">
        <w:rPr>
          <w:sz w:val="28"/>
          <w:szCs w:val="28"/>
        </w:rPr>
        <w:t>.</w:t>
      </w:r>
    </w:p>
    <w:p w:rsidR="009E26F4" w:rsidRPr="00467F9C" w:rsidRDefault="009E26F4" w:rsidP="00191861">
      <w:pPr>
        <w:ind w:firstLine="709"/>
        <w:jc w:val="both"/>
        <w:rPr>
          <w:iCs/>
          <w:sz w:val="28"/>
          <w:szCs w:val="28"/>
        </w:rPr>
      </w:pPr>
      <w:r w:rsidRPr="00467F9C">
        <w:rPr>
          <w:kern w:val="1"/>
          <w:sz w:val="28"/>
          <w:szCs w:val="28"/>
        </w:rPr>
        <w:t>В реализации мероприятий 18 Государственных программ в отчетном периоде принимали участие одиннадцать главных распорядителей средств окружного бюджета.</w:t>
      </w:r>
    </w:p>
    <w:p w:rsidR="009E26F4" w:rsidRPr="00467F9C" w:rsidRDefault="009E26F4" w:rsidP="00191861">
      <w:pPr>
        <w:ind w:firstLine="708"/>
        <w:jc w:val="both"/>
        <w:rPr>
          <w:sz w:val="28"/>
          <w:szCs w:val="28"/>
        </w:rPr>
      </w:pPr>
      <w:r w:rsidRPr="00467F9C">
        <w:rPr>
          <w:sz w:val="28"/>
          <w:szCs w:val="28"/>
        </w:rPr>
        <w:t>В 2021 году на реализацию Государственных программ из окружного бюджета направлено 52 677 350,5 тыс. рублей или 97,2% утвержденных, из них: 1 101 005,8 тыс. рублей (2,1%) в виде авансовых платежей на выполнение мероприятий пяти Государственных программ, 760 692,8 тыс. рублей – предоставлены бюджетные инвестиции.</w:t>
      </w:r>
    </w:p>
    <w:p w:rsidR="009E26F4" w:rsidRPr="00467F9C" w:rsidRDefault="009E26F4" w:rsidP="00191861">
      <w:pPr>
        <w:pStyle w:val="af8"/>
        <w:tabs>
          <w:tab w:val="left" w:pos="709"/>
        </w:tabs>
        <w:ind w:firstLine="708"/>
        <w:jc w:val="both"/>
        <w:rPr>
          <w:sz w:val="28"/>
          <w:szCs w:val="28"/>
        </w:rPr>
      </w:pPr>
      <w:r w:rsidRPr="00467F9C">
        <w:rPr>
          <w:sz w:val="28"/>
          <w:szCs w:val="28"/>
        </w:rPr>
        <w:t>Менее 75% предусмотренных ассигнований направлено на реализацию Государственных программ «Развитие жилищного строительства в Чукотском автономном округе» (72,3%), «Обеспечение охраны общественного порядка и повышения безопасности дорожного движения в Чукотском автономном округе» (49,1%).</w:t>
      </w:r>
    </w:p>
    <w:p w:rsidR="009E26F4" w:rsidRPr="00467F9C" w:rsidRDefault="009E26F4" w:rsidP="00191861">
      <w:pPr>
        <w:pStyle w:val="af8"/>
        <w:ind w:firstLine="708"/>
        <w:jc w:val="both"/>
        <w:rPr>
          <w:sz w:val="28"/>
          <w:szCs w:val="28"/>
        </w:rPr>
      </w:pPr>
      <w:r w:rsidRPr="00467F9C">
        <w:rPr>
          <w:sz w:val="28"/>
          <w:szCs w:val="28"/>
        </w:rPr>
        <w:t>Фактическое выполнение мероприятий Государственных программ составило 49 994 171,6 тыс. рублей или 94,9% направленных бюджетных ассигнований.</w:t>
      </w:r>
    </w:p>
    <w:p w:rsidR="009E26F4" w:rsidRPr="00467F9C" w:rsidRDefault="009E26F4" w:rsidP="00191861">
      <w:pPr>
        <w:ind w:firstLine="709"/>
        <w:jc w:val="both"/>
        <w:rPr>
          <w:sz w:val="28"/>
          <w:szCs w:val="28"/>
        </w:rPr>
      </w:pPr>
      <w:r w:rsidRPr="00467F9C">
        <w:rPr>
          <w:iCs/>
          <w:sz w:val="28"/>
          <w:szCs w:val="28"/>
        </w:rPr>
        <w:t xml:space="preserve">Анализ реализации Государственных программ в 2021 году проведен Счетной палатой в рамках экспертно-аналитического мероприятия «Анализ </w:t>
      </w:r>
      <w:r w:rsidRPr="00467F9C">
        <w:rPr>
          <w:iCs/>
          <w:sz w:val="28"/>
          <w:szCs w:val="28"/>
        </w:rPr>
        <w:lastRenderedPageBreak/>
        <w:t>сводного годового доклада о ходе реализации и оценке эффективности государственных программ Чукотского автономного округа за 2021 год</w:t>
      </w:r>
      <w:r w:rsidRPr="00467F9C">
        <w:rPr>
          <w:sz w:val="28"/>
          <w:szCs w:val="28"/>
        </w:rPr>
        <w:t xml:space="preserve">». </w:t>
      </w:r>
    </w:p>
    <w:p w:rsidR="009E26F4" w:rsidRPr="00467F9C" w:rsidRDefault="009E26F4" w:rsidP="00191861">
      <w:pPr>
        <w:ind w:firstLine="708"/>
        <w:jc w:val="both"/>
        <w:rPr>
          <w:rFonts w:eastAsia="Calibri"/>
          <w:sz w:val="28"/>
          <w:szCs w:val="28"/>
        </w:rPr>
      </w:pPr>
      <w:r w:rsidRPr="00467F9C">
        <w:rPr>
          <w:rFonts w:eastAsia="Calibri"/>
          <w:sz w:val="28"/>
          <w:szCs w:val="28"/>
        </w:rPr>
        <w:t>В рамках реализации мероприятий девяти Г</w:t>
      </w:r>
      <w:r w:rsidRPr="00467F9C">
        <w:rPr>
          <w:sz w:val="28"/>
          <w:szCs w:val="28"/>
        </w:rPr>
        <w:t>осударственных программ</w:t>
      </w:r>
      <w:r w:rsidRPr="00467F9C">
        <w:rPr>
          <w:rFonts w:eastAsia="Calibri"/>
          <w:sz w:val="28"/>
          <w:szCs w:val="28"/>
        </w:rPr>
        <w:t xml:space="preserve"> по состоянию на 1 января 2022 года объем неиспользованных бюджетных средств по предоставленным субсидиям и грантам (срок реализации за пределами 2021 года) составил </w:t>
      </w:r>
      <w:r w:rsidRPr="00467F9C">
        <w:rPr>
          <w:sz w:val="28"/>
          <w:szCs w:val="28"/>
        </w:rPr>
        <w:t>834 153,2 тыс. рублей или 1,6% общего объема бюджетных ассигнований</w:t>
      </w:r>
      <w:r w:rsidRPr="00467F9C">
        <w:rPr>
          <w:rFonts w:eastAsia="Calibri"/>
          <w:sz w:val="28"/>
          <w:szCs w:val="28"/>
        </w:rPr>
        <w:t>.</w:t>
      </w:r>
    </w:p>
    <w:p w:rsidR="009E26F4" w:rsidRPr="00467F9C" w:rsidRDefault="009E26F4" w:rsidP="00191861">
      <w:pPr>
        <w:ind w:firstLine="708"/>
        <w:jc w:val="both"/>
        <w:rPr>
          <w:sz w:val="28"/>
          <w:szCs w:val="28"/>
        </w:rPr>
      </w:pPr>
      <w:r w:rsidRPr="00467F9C">
        <w:rPr>
          <w:sz w:val="28"/>
          <w:szCs w:val="28"/>
        </w:rPr>
        <w:t>В отчетном периоде восемь главных распорядителей окружного бюджета (Департамент промышленной политики, Департамент социальной политики, Департамент финансов, Департамент сельского хозяйства, Департамент здравоохранения, Департамент образования, Департамент культуры, Департамент природных ресурсов) в ходе исполнения 15 Государственных программ принимали участие в реализации 29 региональных проектов Чукотского автономного округа (национальные проекты: Демография, Здравоохранение, Образование,  Культура, Малое и среднее предпринимательство и поддержка индивидуальной предпринимательской инициативы, Жилье и городская среда, Экология, Безопасные и качественные автомобильные дороги, Цифровая экономика).</w:t>
      </w:r>
    </w:p>
    <w:p w:rsidR="009E26F4" w:rsidRPr="00467F9C" w:rsidRDefault="009E26F4" w:rsidP="00191861">
      <w:pPr>
        <w:ind w:firstLine="708"/>
        <w:jc w:val="both"/>
        <w:rPr>
          <w:strike/>
          <w:sz w:val="28"/>
          <w:szCs w:val="28"/>
        </w:rPr>
      </w:pPr>
      <w:r w:rsidRPr="00467F9C">
        <w:rPr>
          <w:sz w:val="28"/>
          <w:szCs w:val="28"/>
        </w:rPr>
        <w:t>Сводной бюджетной росписью на реализацию региональных проектов утверждены бюджетные ассигнования в объеме 3 392 208,1 тыс. рублей или 6,3% общего объема бюджетных ассигнований предусмотренных на реализацию Государственных программ на 2021 год. Направлено на реализацию региональных проектов бюджетных средств в объеме 2 981 844,8 тыс. рублей или 87,9% утвержденных назначений.</w:t>
      </w:r>
      <w:r w:rsidRPr="00467F9C">
        <w:rPr>
          <w:strike/>
          <w:sz w:val="28"/>
          <w:szCs w:val="28"/>
        </w:rPr>
        <w:t xml:space="preserve"> </w:t>
      </w:r>
    </w:p>
    <w:p w:rsidR="009E26F4" w:rsidRPr="00467F9C" w:rsidRDefault="009E26F4" w:rsidP="00191861">
      <w:pPr>
        <w:ind w:left="57" w:right="57" w:firstLine="708"/>
        <w:jc w:val="both"/>
        <w:rPr>
          <w:sz w:val="28"/>
          <w:szCs w:val="28"/>
        </w:rPr>
      </w:pPr>
      <w:r w:rsidRPr="00467F9C">
        <w:rPr>
          <w:sz w:val="28"/>
          <w:szCs w:val="28"/>
        </w:rPr>
        <w:t>Фактическое исполнение мероприятий региональных проектов за 2021 год составило 1 810 706,9 тыс. рублей (из них 104 895,6 тыс. рублей за счет бюджетных ассигнований 2020 года), по данным Счетной палаты, фактическое исполнение мероприятий региональных проектов составило 1 746 987,5 тыс. рублей или 58,6% к полученному финансированию.</w:t>
      </w:r>
    </w:p>
    <w:p w:rsidR="009E26F4" w:rsidRPr="00467F9C" w:rsidRDefault="009E26F4" w:rsidP="00191861">
      <w:pPr>
        <w:ind w:left="57" w:right="57" w:firstLine="651"/>
        <w:jc w:val="both"/>
        <w:rPr>
          <w:sz w:val="28"/>
          <w:szCs w:val="28"/>
        </w:rPr>
      </w:pPr>
      <w:r w:rsidRPr="00467F9C">
        <w:rPr>
          <w:iCs/>
          <w:sz w:val="28"/>
          <w:szCs w:val="28"/>
        </w:rPr>
        <w:t>Анализ реализации региональных проектов Чукотского автономного округа в 2021 году проведен Счетной палатой в рамках экспертно-аналитического мероприятия «</w:t>
      </w:r>
      <w:r w:rsidRPr="00467F9C">
        <w:rPr>
          <w:sz w:val="28"/>
          <w:szCs w:val="28"/>
        </w:rPr>
        <w:t xml:space="preserve">Оценка хода реализации региональных проектов в Чукотском автономном округе за 2021 год». </w:t>
      </w:r>
    </w:p>
    <w:p w:rsidR="009E26F4" w:rsidRPr="00467F9C" w:rsidRDefault="009E26F4" w:rsidP="00191861">
      <w:pPr>
        <w:spacing w:before="240" w:after="120"/>
        <w:jc w:val="center"/>
        <w:rPr>
          <w:b/>
          <w:sz w:val="28"/>
          <w:szCs w:val="28"/>
        </w:rPr>
      </w:pPr>
      <w:r w:rsidRPr="00467F9C">
        <w:rPr>
          <w:b/>
          <w:sz w:val="28"/>
          <w:szCs w:val="28"/>
        </w:rPr>
        <w:t>5.4.2. Реализация непрограммных направлений деятельности</w:t>
      </w:r>
    </w:p>
    <w:p w:rsidR="009E26F4" w:rsidRPr="00467F9C" w:rsidRDefault="009E26F4" w:rsidP="00191861">
      <w:pPr>
        <w:pStyle w:val="35"/>
        <w:shd w:val="clear" w:color="auto" w:fill="auto"/>
        <w:spacing w:line="240" w:lineRule="auto"/>
        <w:ind w:firstLine="709"/>
        <w:jc w:val="both"/>
        <w:rPr>
          <w:sz w:val="28"/>
          <w:szCs w:val="28"/>
        </w:rPr>
      </w:pPr>
      <w:r w:rsidRPr="00467F9C">
        <w:rPr>
          <w:sz w:val="28"/>
          <w:szCs w:val="28"/>
        </w:rPr>
        <w:t xml:space="preserve">В соответствии с Законом об окружном бюджете бюджетные ассигнования на осуществление </w:t>
      </w:r>
      <w:r w:rsidRPr="00467F9C">
        <w:rPr>
          <w:bCs/>
          <w:sz w:val="28"/>
          <w:szCs w:val="28"/>
        </w:rPr>
        <w:t>непрограммных направлений деятельности утверждены по 7 направлениям.</w:t>
      </w:r>
      <w:r w:rsidRPr="00467F9C">
        <w:rPr>
          <w:sz w:val="28"/>
          <w:szCs w:val="28"/>
        </w:rPr>
        <w:t xml:space="preserve"> </w:t>
      </w:r>
      <w:r w:rsidRPr="00467F9C">
        <w:rPr>
          <w:bCs/>
          <w:sz w:val="28"/>
          <w:szCs w:val="28"/>
        </w:rPr>
        <w:t xml:space="preserve">Сводной бюджетной росписью, с учетом изменений, </w:t>
      </w:r>
      <w:r w:rsidRPr="00467F9C">
        <w:rPr>
          <w:sz w:val="28"/>
          <w:szCs w:val="28"/>
        </w:rPr>
        <w:t>расходы окружного бюджета по непрограммным направлениям установлены в сумме 1 968 998,4 тыс.</w:t>
      </w:r>
      <w:r w:rsidRPr="00467F9C">
        <w:rPr>
          <w:bCs/>
          <w:sz w:val="28"/>
          <w:szCs w:val="28"/>
        </w:rPr>
        <w:t xml:space="preserve"> рублей или 3,5% </w:t>
      </w:r>
      <w:r w:rsidRPr="00467F9C">
        <w:rPr>
          <w:sz w:val="28"/>
          <w:szCs w:val="28"/>
        </w:rPr>
        <w:t xml:space="preserve">общего объема утвержденных бюджетных ассигнований. </w:t>
      </w:r>
    </w:p>
    <w:p w:rsidR="009E26F4" w:rsidRPr="00467F9C" w:rsidRDefault="009E26F4" w:rsidP="00191861">
      <w:pPr>
        <w:autoSpaceDE w:val="0"/>
        <w:autoSpaceDN w:val="0"/>
        <w:adjustRightInd w:val="0"/>
        <w:ind w:firstLine="709"/>
        <w:jc w:val="both"/>
        <w:rPr>
          <w:sz w:val="28"/>
          <w:szCs w:val="28"/>
        </w:rPr>
      </w:pPr>
      <w:r w:rsidRPr="00467F9C">
        <w:rPr>
          <w:sz w:val="28"/>
          <w:szCs w:val="28"/>
        </w:rPr>
        <w:t>И</w:t>
      </w:r>
      <w:r w:rsidRPr="00467F9C">
        <w:rPr>
          <w:bCs/>
          <w:sz w:val="28"/>
          <w:szCs w:val="28"/>
        </w:rPr>
        <w:t xml:space="preserve">сполнение </w:t>
      </w:r>
      <w:r w:rsidRPr="00467F9C">
        <w:rPr>
          <w:sz w:val="28"/>
          <w:szCs w:val="28"/>
        </w:rPr>
        <w:t>расходов окружного бюджета по непрограммным направлениям осуществляли 15 главных распорядителей (деятельность Управления гражданской защиты финансируется в рамках программных мероприятий), в сумме 1 927 365,2 тыс. рублей или 97,9% установленных показателей (1 968 998,4 тыс.</w:t>
      </w:r>
      <w:r w:rsidRPr="00467F9C">
        <w:rPr>
          <w:bCs/>
          <w:sz w:val="28"/>
          <w:szCs w:val="28"/>
        </w:rPr>
        <w:t xml:space="preserve"> рублей)</w:t>
      </w:r>
      <w:r w:rsidRPr="00467F9C">
        <w:rPr>
          <w:sz w:val="28"/>
          <w:szCs w:val="28"/>
        </w:rPr>
        <w:t>.</w:t>
      </w:r>
    </w:p>
    <w:p w:rsidR="009E26F4" w:rsidRPr="00467F9C" w:rsidRDefault="009E26F4" w:rsidP="00191861">
      <w:pPr>
        <w:pStyle w:val="35"/>
        <w:shd w:val="clear" w:color="auto" w:fill="auto"/>
        <w:spacing w:line="240" w:lineRule="auto"/>
        <w:ind w:firstLine="709"/>
        <w:jc w:val="both"/>
        <w:rPr>
          <w:sz w:val="28"/>
          <w:szCs w:val="28"/>
        </w:rPr>
      </w:pPr>
      <w:r w:rsidRPr="00467F9C">
        <w:rPr>
          <w:sz w:val="28"/>
          <w:szCs w:val="28"/>
        </w:rPr>
        <w:lastRenderedPageBreak/>
        <w:t>Показатели исполнения непрограммных мероприятий представлены в таблице №14.</w:t>
      </w:r>
    </w:p>
    <w:p w:rsidR="009E26F4" w:rsidRPr="00467F9C" w:rsidRDefault="009E26F4" w:rsidP="00191861">
      <w:pPr>
        <w:pStyle w:val="af8"/>
        <w:jc w:val="right"/>
        <w:rPr>
          <w:bCs/>
          <w:iCs/>
          <w:sz w:val="28"/>
          <w:szCs w:val="28"/>
        </w:rPr>
      </w:pPr>
      <w:r w:rsidRPr="00467F9C">
        <w:rPr>
          <w:bCs/>
          <w:iCs/>
          <w:sz w:val="28"/>
          <w:szCs w:val="28"/>
        </w:rPr>
        <w:t>Таблица №14</w:t>
      </w:r>
    </w:p>
    <w:p w:rsidR="009E26F4" w:rsidRPr="00467F9C" w:rsidRDefault="009E26F4" w:rsidP="00191861">
      <w:pPr>
        <w:pStyle w:val="af8"/>
        <w:jc w:val="right"/>
        <w:rPr>
          <w:bCs/>
          <w:iCs/>
          <w:sz w:val="28"/>
          <w:szCs w:val="28"/>
        </w:rPr>
      </w:pPr>
      <w:r w:rsidRPr="00467F9C">
        <w:rPr>
          <w:bCs/>
          <w:iCs/>
          <w:sz w:val="28"/>
          <w:szCs w:val="28"/>
        </w:rPr>
        <w:t>(тыс. рублей)</w:t>
      </w:r>
    </w:p>
    <w:tbl>
      <w:tblPr>
        <w:tblW w:w="9989" w:type="dxa"/>
        <w:tblInd w:w="-5" w:type="dxa"/>
        <w:tblLook w:val="04A0" w:firstRow="1" w:lastRow="0" w:firstColumn="1" w:lastColumn="0" w:noHBand="0" w:noVBand="1"/>
      </w:tblPr>
      <w:tblGrid>
        <w:gridCol w:w="3828"/>
        <w:gridCol w:w="1155"/>
        <w:gridCol w:w="1260"/>
        <w:gridCol w:w="1275"/>
        <w:gridCol w:w="1372"/>
        <w:gridCol w:w="1099"/>
      </w:tblGrid>
      <w:tr w:rsidR="009E26F4" w:rsidRPr="00A30693" w:rsidTr="00A30693">
        <w:trPr>
          <w:trHeight w:val="442"/>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6F4" w:rsidRPr="00A30693" w:rsidRDefault="009E26F4" w:rsidP="00191861">
            <w:pPr>
              <w:jc w:val="center"/>
              <w:rPr>
                <w:sz w:val="20"/>
                <w:szCs w:val="20"/>
              </w:rPr>
            </w:pPr>
            <w:r w:rsidRPr="00A30693">
              <w:rPr>
                <w:sz w:val="20"/>
                <w:szCs w:val="20"/>
              </w:rPr>
              <w:t>Наименование мероприятия</w:t>
            </w:r>
          </w:p>
        </w:tc>
        <w:tc>
          <w:tcPr>
            <w:tcW w:w="1155" w:type="dxa"/>
            <w:tcBorders>
              <w:top w:val="single" w:sz="4" w:space="0" w:color="auto"/>
              <w:left w:val="nil"/>
              <w:bottom w:val="single" w:sz="4" w:space="0" w:color="auto"/>
              <w:right w:val="single" w:sz="4" w:space="0" w:color="auto"/>
            </w:tcBorders>
            <w:shd w:val="clear" w:color="auto" w:fill="auto"/>
            <w:vAlign w:val="center"/>
            <w:hideMark/>
          </w:tcPr>
          <w:p w:rsidR="009E26F4" w:rsidRPr="00A30693" w:rsidRDefault="009E26F4" w:rsidP="00A30693">
            <w:pPr>
              <w:ind w:left="-109"/>
              <w:jc w:val="center"/>
              <w:rPr>
                <w:sz w:val="20"/>
                <w:szCs w:val="20"/>
              </w:rPr>
            </w:pPr>
            <w:r w:rsidRPr="00A30693">
              <w:rPr>
                <w:sz w:val="20"/>
                <w:szCs w:val="20"/>
              </w:rPr>
              <w:t>Утверждено (СБР)</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9E26F4" w:rsidRPr="00A30693" w:rsidRDefault="009E26F4" w:rsidP="00191861">
            <w:pPr>
              <w:jc w:val="center"/>
              <w:rPr>
                <w:sz w:val="20"/>
                <w:szCs w:val="20"/>
              </w:rPr>
            </w:pPr>
            <w:r w:rsidRPr="00A30693">
              <w:rPr>
                <w:sz w:val="20"/>
                <w:szCs w:val="20"/>
              </w:rPr>
              <w:t>Исполнено</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E26F4" w:rsidRPr="00A30693" w:rsidRDefault="009E26F4" w:rsidP="00A30693">
            <w:pPr>
              <w:ind w:left="-103"/>
              <w:jc w:val="center"/>
              <w:rPr>
                <w:sz w:val="20"/>
                <w:szCs w:val="20"/>
              </w:rPr>
            </w:pPr>
            <w:r w:rsidRPr="00A30693">
              <w:rPr>
                <w:sz w:val="20"/>
                <w:szCs w:val="20"/>
              </w:rPr>
              <w:t xml:space="preserve">Отклонение </w:t>
            </w:r>
            <w:r w:rsidRPr="00A30693">
              <w:rPr>
                <w:sz w:val="20"/>
                <w:szCs w:val="20"/>
              </w:rPr>
              <w:br/>
              <w:t>(гр.3-гр.2)</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rsidR="009E26F4" w:rsidRDefault="009E26F4" w:rsidP="00A30693">
            <w:pPr>
              <w:ind w:left="-117" w:right="-77"/>
              <w:jc w:val="center"/>
              <w:rPr>
                <w:sz w:val="20"/>
                <w:szCs w:val="20"/>
              </w:rPr>
            </w:pPr>
            <w:r w:rsidRPr="00A30693">
              <w:rPr>
                <w:sz w:val="20"/>
                <w:szCs w:val="20"/>
              </w:rPr>
              <w:t>Уровень исполнения, %</w:t>
            </w:r>
          </w:p>
          <w:p w:rsidR="00A30693" w:rsidRPr="00A30693" w:rsidRDefault="00A30693" w:rsidP="00A30693">
            <w:pPr>
              <w:ind w:left="-117" w:right="-77"/>
              <w:jc w:val="center"/>
              <w:rPr>
                <w:sz w:val="4"/>
                <w:szCs w:val="4"/>
              </w:rPr>
            </w:pPr>
          </w:p>
          <w:p w:rsidR="00A30693" w:rsidRPr="00A30693" w:rsidRDefault="00A30693" w:rsidP="00A30693">
            <w:pPr>
              <w:ind w:left="-117" w:right="-77"/>
              <w:jc w:val="center"/>
              <w:rPr>
                <w:sz w:val="4"/>
                <w:szCs w:val="4"/>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9E26F4" w:rsidRPr="00A30693" w:rsidRDefault="009E26F4" w:rsidP="00191861">
            <w:pPr>
              <w:jc w:val="center"/>
              <w:rPr>
                <w:sz w:val="20"/>
                <w:szCs w:val="20"/>
              </w:rPr>
            </w:pPr>
            <w:r w:rsidRPr="00A30693">
              <w:rPr>
                <w:sz w:val="20"/>
                <w:szCs w:val="20"/>
              </w:rPr>
              <w:t>Удельный вес, %</w:t>
            </w:r>
          </w:p>
        </w:tc>
      </w:tr>
      <w:tr w:rsidR="009E26F4" w:rsidRPr="00A30693" w:rsidTr="00A30693">
        <w:trPr>
          <w:trHeight w:val="211"/>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9E26F4" w:rsidRPr="00A30693" w:rsidRDefault="009E26F4" w:rsidP="00191861">
            <w:pPr>
              <w:jc w:val="center"/>
              <w:rPr>
                <w:sz w:val="20"/>
                <w:szCs w:val="20"/>
              </w:rPr>
            </w:pPr>
            <w:r w:rsidRPr="00A30693">
              <w:rPr>
                <w:sz w:val="20"/>
                <w:szCs w:val="20"/>
              </w:rPr>
              <w:t>1</w:t>
            </w:r>
          </w:p>
        </w:tc>
        <w:tc>
          <w:tcPr>
            <w:tcW w:w="1155" w:type="dxa"/>
            <w:tcBorders>
              <w:top w:val="nil"/>
              <w:left w:val="nil"/>
              <w:bottom w:val="single" w:sz="4" w:space="0" w:color="auto"/>
              <w:right w:val="single" w:sz="4" w:space="0" w:color="auto"/>
            </w:tcBorders>
            <w:shd w:val="clear" w:color="auto" w:fill="auto"/>
            <w:vAlign w:val="center"/>
            <w:hideMark/>
          </w:tcPr>
          <w:p w:rsidR="009E26F4" w:rsidRPr="00A30693" w:rsidRDefault="009E26F4" w:rsidP="00A30693">
            <w:pPr>
              <w:ind w:left="-109"/>
              <w:jc w:val="center"/>
              <w:rPr>
                <w:sz w:val="20"/>
                <w:szCs w:val="20"/>
              </w:rPr>
            </w:pPr>
            <w:r w:rsidRPr="00A30693">
              <w:rPr>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9E26F4" w:rsidRPr="00A30693" w:rsidRDefault="009E26F4" w:rsidP="00191861">
            <w:pPr>
              <w:jc w:val="center"/>
              <w:rPr>
                <w:sz w:val="20"/>
                <w:szCs w:val="20"/>
              </w:rPr>
            </w:pPr>
            <w:r w:rsidRPr="00A30693">
              <w:rPr>
                <w:sz w:val="20"/>
                <w:szCs w:val="20"/>
              </w:rPr>
              <w:t>3</w:t>
            </w:r>
          </w:p>
        </w:tc>
        <w:tc>
          <w:tcPr>
            <w:tcW w:w="1275" w:type="dxa"/>
            <w:tcBorders>
              <w:top w:val="nil"/>
              <w:left w:val="nil"/>
              <w:bottom w:val="single" w:sz="4" w:space="0" w:color="auto"/>
              <w:right w:val="single" w:sz="4" w:space="0" w:color="auto"/>
            </w:tcBorders>
            <w:shd w:val="clear" w:color="auto" w:fill="auto"/>
            <w:vAlign w:val="center"/>
            <w:hideMark/>
          </w:tcPr>
          <w:p w:rsidR="009E26F4" w:rsidRPr="00A30693" w:rsidRDefault="009E26F4" w:rsidP="00A30693">
            <w:pPr>
              <w:ind w:left="-103"/>
              <w:jc w:val="center"/>
              <w:rPr>
                <w:sz w:val="20"/>
                <w:szCs w:val="20"/>
              </w:rPr>
            </w:pPr>
            <w:r w:rsidRPr="00A30693">
              <w:rPr>
                <w:sz w:val="20"/>
                <w:szCs w:val="20"/>
              </w:rPr>
              <w:t>4</w:t>
            </w:r>
          </w:p>
        </w:tc>
        <w:tc>
          <w:tcPr>
            <w:tcW w:w="1372" w:type="dxa"/>
            <w:tcBorders>
              <w:top w:val="nil"/>
              <w:left w:val="nil"/>
              <w:bottom w:val="single" w:sz="4" w:space="0" w:color="auto"/>
              <w:right w:val="single" w:sz="4" w:space="0" w:color="auto"/>
            </w:tcBorders>
            <w:shd w:val="clear" w:color="auto" w:fill="auto"/>
            <w:vAlign w:val="center"/>
            <w:hideMark/>
          </w:tcPr>
          <w:p w:rsidR="009E26F4" w:rsidRPr="00A30693" w:rsidRDefault="009E26F4" w:rsidP="00A30693">
            <w:pPr>
              <w:ind w:left="-117" w:right="-77"/>
              <w:jc w:val="center"/>
              <w:rPr>
                <w:sz w:val="20"/>
                <w:szCs w:val="20"/>
              </w:rPr>
            </w:pPr>
            <w:r w:rsidRPr="00A30693">
              <w:rPr>
                <w:sz w:val="20"/>
                <w:szCs w:val="20"/>
              </w:rPr>
              <w:t>5</w:t>
            </w:r>
          </w:p>
        </w:tc>
        <w:tc>
          <w:tcPr>
            <w:tcW w:w="1099" w:type="dxa"/>
            <w:tcBorders>
              <w:top w:val="nil"/>
              <w:left w:val="nil"/>
              <w:bottom w:val="single" w:sz="4" w:space="0" w:color="auto"/>
              <w:right w:val="single" w:sz="4" w:space="0" w:color="auto"/>
            </w:tcBorders>
            <w:shd w:val="clear" w:color="auto" w:fill="auto"/>
            <w:vAlign w:val="center"/>
            <w:hideMark/>
          </w:tcPr>
          <w:p w:rsidR="009E26F4" w:rsidRPr="00A30693" w:rsidRDefault="009E26F4" w:rsidP="00191861">
            <w:pPr>
              <w:jc w:val="center"/>
              <w:rPr>
                <w:sz w:val="20"/>
                <w:szCs w:val="20"/>
              </w:rPr>
            </w:pPr>
            <w:r w:rsidRPr="00A30693">
              <w:rPr>
                <w:sz w:val="20"/>
                <w:szCs w:val="20"/>
              </w:rPr>
              <w:t>6</w:t>
            </w:r>
          </w:p>
        </w:tc>
      </w:tr>
      <w:tr w:rsidR="009E26F4" w:rsidRPr="00A30693" w:rsidTr="00A30693">
        <w:trPr>
          <w:trHeight w:val="30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9E26F4" w:rsidRPr="00A30693" w:rsidRDefault="009E26F4" w:rsidP="00191861">
            <w:pPr>
              <w:rPr>
                <w:b/>
                <w:bCs/>
                <w:sz w:val="20"/>
                <w:szCs w:val="20"/>
              </w:rPr>
            </w:pPr>
            <w:r w:rsidRPr="00A30693">
              <w:rPr>
                <w:b/>
                <w:bCs/>
                <w:sz w:val="20"/>
                <w:szCs w:val="20"/>
              </w:rPr>
              <w:t>Расходы бюджета - всего</w:t>
            </w:r>
          </w:p>
        </w:tc>
        <w:tc>
          <w:tcPr>
            <w:tcW w:w="1155" w:type="dxa"/>
            <w:tcBorders>
              <w:top w:val="nil"/>
              <w:left w:val="nil"/>
              <w:bottom w:val="single" w:sz="4" w:space="0" w:color="auto"/>
              <w:right w:val="single" w:sz="4" w:space="0" w:color="auto"/>
            </w:tcBorders>
            <w:shd w:val="clear" w:color="auto" w:fill="auto"/>
            <w:vAlign w:val="center"/>
            <w:hideMark/>
          </w:tcPr>
          <w:p w:rsidR="009E26F4" w:rsidRPr="00A30693" w:rsidRDefault="009E26F4" w:rsidP="00A30693">
            <w:pPr>
              <w:ind w:left="-109"/>
              <w:jc w:val="right"/>
              <w:rPr>
                <w:b/>
                <w:bCs/>
                <w:sz w:val="20"/>
                <w:szCs w:val="20"/>
              </w:rPr>
            </w:pPr>
            <w:r w:rsidRPr="00A30693">
              <w:rPr>
                <w:b/>
                <w:bCs/>
                <w:sz w:val="20"/>
                <w:szCs w:val="20"/>
              </w:rPr>
              <w:t>1 968 998,4</w:t>
            </w:r>
          </w:p>
        </w:tc>
        <w:tc>
          <w:tcPr>
            <w:tcW w:w="1260" w:type="dxa"/>
            <w:tcBorders>
              <w:top w:val="nil"/>
              <w:left w:val="nil"/>
              <w:bottom w:val="single" w:sz="4" w:space="0" w:color="auto"/>
              <w:right w:val="single" w:sz="4" w:space="0" w:color="auto"/>
            </w:tcBorders>
            <w:shd w:val="clear" w:color="auto" w:fill="auto"/>
            <w:vAlign w:val="center"/>
            <w:hideMark/>
          </w:tcPr>
          <w:p w:rsidR="009E26F4" w:rsidRPr="00A30693" w:rsidRDefault="009E26F4" w:rsidP="00191861">
            <w:pPr>
              <w:jc w:val="right"/>
              <w:rPr>
                <w:b/>
                <w:bCs/>
                <w:sz w:val="20"/>
                <w:szCs w:val="20"/>
              </w:rPr>
            </w:pPr>
            <w:r w:rsidRPr="00A30693">
              <w:rPr>
                <w:b/>
                <w:bCs/>
                <w:sz w:val="20"/>
                <w:szCs w:val="20"/>
              </w:rPr>
              <w:t>1 927 365,2</w:t>
            </w:r>
          </w:p>
        </w:tc>
        <w:tc>
          <w:tcPr>
            <w:tcW w:w="1275" w:type="dxa"/>
            <w:tcBorders>
              <w:top w:val="nil"/>
              <w:left w:val="nil"/>
              <w:bottom w:val="single" w:sz="4" w:space="0" w:color="auto"/>
              <w:right w:val="single" w:sz="4" w:space="0" w:color="auto"/>
            </w:tcBorders>
            <w:shd w:val="clear" w:color="auto" w:fill="auto"/>
            <w:vAlign w:val="center"/>
            <w:hideMark/>
          </w:tcPr>
          <w:p w:rsidR="009E26F4" w:rsidRPr="00A30693" w:rsidRDefault="009E26F4" w:rsidP="00A30693">
            <w:pPr>
              <w:ind w:left="-103"/>
              <w:jc w:val="right"/>
              <w:rPr>
                <w:b/>
                <w:bCs/>
                <w:sz w:val="20"/>
                <w:szCs w:val="20"/>
              </w:rPr>
            </w:pPr>
            <w:r w:rsidRPr="00A30693">
              <w:rPr>
                <w:b/>
                <w:bCs/>
                <w:sz w:val="20"/>
                <w:szCs w:val="20"/>
              </w:rPr>
              <w:t>-41 633,2</w:t>
            </w:r>
          </w:p>
        </w:tc>
        <w:tc>
          <w:tcPr>
            <w:tcW w:w="1372" w:type="dxa"/>
            <w:tcBorders>
              <w:top w:val="nil"/>
              <w:left w:val="nil"/>
              <w:bottom w:val="single" w:sz="4" w:space="0" w:color="auto"/>
              <w:right w:val="single" w:sz="4" w:space="0" w:color="auto"/>
            </w:tcBorders>
            <w:shd w:val="clear" w:color="auto" w:fill="auto"/>
            <w:vAlign w:val="center"/>
            <w:hideMark/>
          </w:tcPr>
          <w:p w:rsidR="009E26F4" w:rsidRPr="00A30693" w:rsidRDefault="009E26F4" w:rsidP="00A30693">
            <w:pPr>
              <w:ind w:left="-117" w:right="-77"/>
              <w:jc w:val="center"/>
              <w:rPr>
                <w:b/>
                <w:bCs/>
                <w:sz w:val="20"/>
                <w:szCs w:val="20"/>
              </w:rPr>
            </w:pPr>
            <w:r w:rsidRPr="00A30693">
              <w:rPr>
                <w:b/>
                <w:bCs/>
                <w:sz w:val="20"/>
                <w:szCs w:val="20"/>
              </w:rPr>
              <w:t xml:space="preserve">97,9 </w:t>
            </w:r>
          </w:p>
        </w:tc>
        <w:tc>
          <w:tcPr>
            <w:tcW w:w="1099" w:type="dxa"/>
            <w:tcBorders>
              <w:top w:val="nil"/>
              <w:left w:val="nil"/>
              <w:bottom w:val="single" w:sz="4" w:space="0" w:color="auto"/>
              <w:right w:val="single" w:sz="4" w:space="0" w:color="auto"/>
            </w:tcBorders>
            <w:shd w:val="clear" w:color="auto" w:fill="auto"/>
            <w:vAlign w:val="center"/>
            <w:hideMark/>
          </w:tcPr>
          <w:p w:rsidR="009E26F4" w:rsidRPr="00A30693" w:rsidRDefault="009E26F4" w:rsidP="00191861">
            <w:pPr>
              <w:jc w:val="center"/>
              <w:rPr>
                <w:b/>
                <w:bCs/>
                <w:sz w:val="20"/>
                <w:szCs w:val="20"/>
              </w:rPr>
            </w:pPr>
            <w:r w:rsidRPr="00A30693">
              <w:rPr>
                <w:b/>
                <w:bCs/>
                <w:sz w:val="20"/>
                <w:szCs w:val="20"/>
              </w:rPr>
              <w:t xml:space="preserve">100,0 </w:t>
            </w:r>
          </w:p>
        </w:tc>
      </w:tr>
      <w:tr w:rsidR="009E26F4" w:rsidRPr="00A30693" w:rsidTr="00A30693">
        <w:trPr>
          <w:trHeight w:val="24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9E26F4" w:rsidRPr="00A30693" w:rsidRDefault="009E26F4" w:rsidP="00191861">
            <w:pPr>
              <w:rPr>
                <w:sz w:val="20"/>
                <w:szCs w:val="20"/>
              </w:rPr>
            </w:pPr>
            <w:r w:rsidRPr="00A30693">
              <w:rPr>
                <w:sz w:val="20"/>
                <w:szCs w:val="20"/>
              </w:rPr>
              <w:t>Обеспечение деятельности отдельных государственных органов и учреждений (80, 81, 83, 84, 85)</w:t>
            </w:r>
          </w:p>
        </w:tc>
        <w:tc>
          <w:tcPr>
            <w:tcW w:w="1155" w:type="dxa"/>
            <w:tcBorders>
              <w:top w:val="nil"/>
              <w:left w:val="nil"/>
              <w:bottom w:val="single" w:sz="4" w:space="0" w:color="auto"/>
              <w:right w:val="single" w:sz="4" w:space="0" w:color="auto"/>
            </w:tcBorders>
            <w:shd w:val="clear" w:color="auto" w:fill="auto"/>
            <w:vAlign w:val="center"/>
            <w:hideMark/>
          </w:tcPr>
          <w:p w:rsidR="009E26F4" w:rsidRPr="00A30693" w:rsidRDefault="009E26F4" w:rsidP="00A30693">
            <w:pPr>
              <w:ind w:left="-109"/>
              <w:jc w:val="right"/>
              <w:rPr>
                <w:sz w:val="20"/>
                <w:szCs w:val="20"/>
              </w:rPr>
            </w:pPr>
            <w:r w:rsidRPr="00A30693">
              <w:rPr>
                <w:sz w:val="20"/>
                <w:szCs w:val="20"/>
              </w:rPr>
              <w:t>1 517 492,0</w:t>
            </w:r>
          </w:p>
        </w:tc>
        <w:tc>
          <w:tcPr>
            <w:tcW w:w="1260" w:type="dxa"/>
            <w:tcBorders>
              <w:top w:val="nil"/>
              <w:left w:val="nil"/>
              <w:bottom w:val="single" w:sz="4" w:space="0" w:color="auto"/>
              <w:right w:val="single" w:sz="4" w:space="0" w:color="auto"/>
            </w:tcBorders>
            <w:shd w:val="clear" w:color="auto" w:fill="auto"/>
            <w:vAlign w:val="center"/>
            <w:hideMark/>
          </w:tcPr>
          <w:p w:rsidR="009E26F4" w:rsidRPr="00A30693" w:rsidRDefault="009E26F4" w:rsidP="00191861">
            <w:pPr>
              <w:jc w:val="right"/>
              <w:rPr>
                <w:sz w:val="20"/>
                <w:szCs w:val="20"/>
              </w:rPr>
            </w:pPr>
            <w:r w:rsidRPr="00A30693">
              <w:rPr>
                <w:sz w:val="20"/>
                <w:szCs w:val="20"/>
              </w:rPr>
              <w:t>1 484 799,0</w:t>
            </w:r>
          </w:p>
        </w:tc>
        <w:tc>
          <w:tcPr>
            <w:tcW w:w="1275" w:type="dxa"/>
            <w:tcBorders>
              <w:top w:val="nil"/>
              <w:left w:val="nil"/>
              <w:bottom w:val="single" w:sz="4" w:space="0" w:color="auto"/>
              <w:right w:val="single" w:sz="4" w:space="0" w:color="auto"/>
            </w:tcBorders>
            <w:shd w:val="clear" w:color="auto" w:fill="auto"/>
            <w:vAlign w:val="center"/>
            <w:hideMark/>
          </w:tcPr>
          <w:p w:rsidR="009E26F4" w:rsidRPr="00A30693" w:rsidRDefault="009E26F4" w:rsidP="00A30693">
            <w:pPr>
              <w:ind w:left="-103"/>
              <w:jc w:val="right"/>
              <w:rPr>
                <w:sz w:val="20"/>
                <w:szCs w:val="20"/>
              </w:rPr>
            </w:pPr>
            <w:r w:rsidRPr="00A30693">
              <w:rPr>
                <w:sz w:val="20"/>
                <w:szCs w:val="20"/>
              </w:rPr>
              <w:t>-32 693,0</w:t>
            </w:r>
          </w:p>
        </w:tc>
        <w:tc>
          <w:tcPr>
            <w:tcW w:w="1372" w:type="dxa"/>
            <w:tcBorders>
              <w:top w:val="nil"/>
              <w:left w:val="nil"/>
              <w:bottom w:val="single" w:sz="4" w:space="0" w:color="auto"/>
              <w:right w:val="single" w:sz="4" w:space="0" w:color="auto"/>
            </w:tcBorders>
            <w:shd w:val="clear" w:color="auto" w:fill="auto"/>
            <w:vAlign w:val="center"/>
            <w:hideMark/>
          </w:tcPr>
          <w:p w:rsidR="009E26F4" w:rsidRPr="00A30693" w:rsidRDefault="009E26F4" w:rsidP="00A30693">
            <w:pPr>
              <w:ind w:left="-117" w:right="-77"/>
              <w:jc w:val="center"/>
              <w:rPr>
                <w:sz w:val="20"/>
                <w:szCs w:val="20"/>
              </w:rPr>
            </w:pPr>
            <w:r w:rsidRPr="00A30693">
              <w:rPr>
                <w:sz w:val="20"/>
                <w:szCs w:val="20"/>
              </w:rPr>
              <w:t xml:space="preserve">97,8 </w:t>
            </w:r>
          </w:p>
        </w:tc>
        <w:tc>
          <w:tcPr>
            <w:tcW w:w="1099" w:type="dxa"/>
            <w:tcBorders>
              <w:top w:val="nil"/>
              <w:left w:val="nil"/>
              <w:bottom w:val="single" w:sz="4" w:space="0" w:color="auto"/>
              <w:right w:val="single" w:sz="4" w:space="0" w:color="auto"/>
            </w:tcBorders>
            <w:shd w:val="clear" w:color="auto" w:fill="auto"/>
            <w:vAlign w:val="center"/>
            <w:hideMark/>
          </w:tcPr>
          <w:p w:rsidR="009E26F4" w:rsidRPr="00A30693" w:rsidRDefault="009E26F4" w:rsidP="00191861">
            <w:pPr>
              <w:jc w:val="center"/>
              <w:rPr>
                <w:sz w:val="20"/>
                <w:szCs w:val="20"/>
              </w:rPr>
            </w:pPr>
            <w:r w:rsidRPr="00A30693">
              <w:rPr>
                <w:sz w:val="20"/>
                <w:szCs w:val="20"/>
              </w:rPr>
              <w:t xml:space="preserve">77,0 </w:t>
            </w:r>
          </w:p>
        </w:tc>
      </w:tr>
      <w:tr w:rsidR="009E26F4" w:rsidRPr="00A30693" w:rsidTr="00A30693">
        <w:trPr>
          <w:trHeight w:val="124"/>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9E26F4" w:rsidRDefault="009E26F4" w:rsidP="00191861">
            <w:pPr>
              <w:rPr>
                <w:sz w:val="20"/>
                <w:szCs w:val="20"/>
              </w:rPr>
            </w:pPr>
            <w:r w:rsidRPr="00A30693">
              <w:rPr>
                <w:sz w:val="20"/>
                <w:szCs w:val="20"/>
              </w:rPr>
              <w:t>Выполнение отдельных обязательств (82)</w:t>
            </w:r>
          </w:p>
          <w:p w:rsidR="00A30693" w:rsidRPr="00A30693" w:rsidRDefault="00A30693" w:rsidP="00191861">
            <w:pPr>
              <w:rPr>
                <w:sz w:val="4"/>
                <w:szCs w:val="4"/>
              </w:rPr>
            </w:pPr>
          </w:p>
        </w:tc>
        <w:tc>
          <w:tcPr>
            <w:tcW w:w="1155" w:type="dxa"/>
            <w:tcBorders>
              <w:top w:val="nil"/>
              <w:left w:val="nil"/>
              <w:bottom w:val="single" w:sz="4" w:space="0" w:color="auto"/>
              <w:right w:val="single" w:sz="4" w:space="0" w:color="auto"/>
            </w:tcBorders>
            <w:shd w:val="clear" w:color="auto" w:fill="auto"/>
            <w:vAlign w:val="center"/>
            <w:hideMark/>
          </w:tcPr>
          <w:p w:rsidR="009E26F4" w:rsidRPr="00A30693" w:rsidRDefault="009E26F4" w:rsidP="00A30693">
            <w:pPr>
              <w:ind w:left="-109"/>
              <w:jc w:val="right"/>
              <w:rPr>
                <w:sz w:val="20"/>
                <w:szCs w:val="20"/>
              </w:rPr>
            </w:pPr>
            <w:r w:rsidRPr="00A30693">
              <w:rPr>
                <w:sz w:val="20"/>
                <w:szCs w:val="20"/>
              </w:rPr>
              <w:t>406 249,1</w:t>
            </w:r>
          </w:p>
        </w:tc>
        <w:tc>
          <w:tcPr>
            <w:tcW w:w="1260" w:type="dxa"/>
            <w:tcBorders>
              <w:top w:val="nil"/>
              <w:left w:val="nil"/>
              <w:bottom w:val="single" w:sz="4" w:space="0" w:color="auto"/>
              <w:right w:val="single" w:sz="4" w:space="0" w:color="auto"/>
            </w:tcBorders>
            <w:shd w:val="clear" w:color="auto" w:fill="auto"/>
            <w:vAlign w:val="center"/>
            <w:hideMark/>
          </w:tcPr>
          <w:p w:rsidR="009E26F4" w:rsidRPr="00A30693" w:rsidRDefault="009E26F4" w:rsidP="00191861">
            <w:pPr>
              <w:jc w:val="right"/>
              <w:rPr>
                <w:sz w:val="20"/>
                <w:szCs w:val="20"/>
              </w:rPr>
            </w:pPr>
            <w:r w:rsidRPr="00A30693">
              <w:rPr>
                <w:sz w:val="20"/>
                <w:szCs w:val="20"/>
              </w:rPr>
              <w:t>399 147,5</w:t>
            </w:r>
          </w:p>
        </w:tc>
        <w:tc>
          <w:tcPr>
            <w:tcW w:w="1275" w:type="dxa"/>
            <w:tcBorders>
              <w:top w:val="nil"/>
              <w:left w:val="nil"/>
              <w:bottom w:val="single" w:sz="4" w:space="0" w:color="auto"/>
              <w:right w:val="single" w:sz="4" w:space="0" w:color="auto"/>
            </w:tcBorders>
            <w:shd w:val="clear" w:color="auto" w:fill="auto"/>
            <w:vAlign w:val="center"/>
            <w:hideMark/>
          </w:tcPr>
          <w:p w:rsidR="009E26F4" w:rsidRPr="00A30693" w:rsidRDefault="009E26F4" w:rsidP="00A30693">
            <w:pPr>
              <w:ind w:left="-103"/>
              <w:jc w:val="right"/>
              <w:rPr>
                <w:sz w:val="20"/>
                <w:szCs w:val="20"/>
              </w:rPr>
            </w:pPr>
            <w:r w:rsidRPr="00A30693">
              <w:rPr>
                <w:sz w:val="20"/>
                <w:szCs w:val="20"/>
              </w:rPr>
              <w:t>-7 101,6</w:t>
            </w:r>
          </w:p>
        </w:tc>
        <w:tc>
          <w:tcPr>
            <w:tcW w:w="1372" w:type="dxa"/>
            <w:tcBorders>
              <w:top w:val="nil"/>
              <w:left w:val="nil"/>
              <w:bottom w:val="single" w:sz="4" w:space="0" w:color="auto"/>
              <w:right w:val="single" w:sz="4" w:space="0" w:color="auto"/>
            </w:tcBorders>
            <w:shd w:val="clear" w:color="auto" w:fill="auto"/>
            <w:vAlign w:val="center"/>
            <w:hideMark/>
          </w:tcPr>
          <w:p w:rsidR="009E26F4" w:rsidRPr="00A30693" w:rsidRDefault="009E26F4" w:rsidP="00A30693">
            <w:pPr>
              <w:ind w:left="-117" w:right="-77"/>
              <w:jc w:val="center"/>
              <w:rPr>
                <w:sz w:val="20"/>
                <w:szCs w:val="20"/>
              </w:rPr>
            </w:pPr>
            <w:r w:rsidRPr="00A30693">
              <w:rPr>
                <w:sz w:val="20"/>
                <w:szCs w:val="20"/>
              </w:rPr>
              <w:t xml:space="preserve">98,3 </w:t>
            </w:r>
          </w:p>
        </w:tc>
        <w:tc>
          <w:tcPr>
            <w:tcW w:w="1099" w:type="dxa"/>
            <w:tcBorders>
              <w:top w:val="nil"/>
              <w:left w:val="nil"/>
              <w:bottom w:val="single" w:sz="4" w:space="0" w:color="auto"/>
              <w:right w:val="single" w:sz="4" w:space="0" w:color="auto"/>
            </w:tcBorders>
            <w:shd w:val="clear" w:color="auto" w:fill="auto"/>
            <w:vAlign w:val="center"/>
            <w:hideMark/>
          </w:tcPr>
          <w:p w:rsidR="009E26F4" w:rsidRPr="00A30693" w:rsidRDefault="009E26F4" w:rsidP="00191861">
            <w:pPr>
              <w:jc w:val="center"/>
              <w:rPr>
                <w:sz w:val="20"/>
                <w:szCs w:val="20"/>
              </w:rPr>
            </w:pPr>
            <w:r w:rsidRPr="00A30693">
              <w:rPr>
                <w:sz w:val="20"/>
                <w:szCs w:val="20"/>
              </w:rPr>
              <w:t xml:space="preserve">20,7 </w:t>
            </w:r>
          </w:p>
        </w:tc>
      </w:tr>
      <w:tr w:rsidR="009E26F4" w:rsidRPr="00A30693" w:rsidTr="00A30693">
        <w:trPr>
          <w:trHeight w:val="124"/>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9E26F4" w:rsidRDefault="009E26F4" w:rsidP="00191861">
            <w:pPr>
              <w:rPr>
                <w:sz w:val="20"/>
                <w:szCs w:val="20"/>
              </w:rPr>
            </w:pPr>
            <w:r w:rsidRPr="00A30693">
              <w:rPr>
                <w:sz w:val="20"/>
                <w:szCs w:val="20"/>
              </w:rPr>
              <w:t>Предоставление межбюджетных трансфертов (98)</w:t>
            </w:r>
          </w:p>
          <w:p w:rsidR="00BC00C4" w:rsidRPr="00BC00C4" w:rsidRDefault="00BC00C4" w:rsidP="00191861">
            <w:pPr>
              <w:rPr>
                <w:sz w:val="4"/>
                <w:szCs w:val="4"/>
              </w:rPr>
            </w:pPr>
          </w:p>
          <w:p w:rsidR="00A30693" w:rsidRPr="00A30693" w:rsidRDefault="00A30693" w:rsidP="00191861">
            <w:pPr>
              <w:rPr>
                <w:sz w:val="4"/>
                <w:szCs w:val="4"/>
              </w:rPr>
            </w:pPr>
          </w:p>
        </w:tc>
        <w:tc>
          <w:tcPr>
            <w:tcW w:w="1155" w:type="dxa"/>
            <w:tcBorders>
              <w:top w:val="nil"/>
              <w:left w:val="nil"/>
              <w:bottom w:val="single" w:sz="4" w:space="0" w:color="auto"/>
              <w:right w:val="single" w:sz="4" w:space="0" w:color="auto"/>
            </w:tcBorders>
            <w:shd w:val="clear" w:color="auto" w:fill="auto"/>
            <w:vAlign w:val="center"/>
            <w:hideMark/>
          </w:tcPr>
          <w:p w:rsidR="009E26F4" w:rsidRPr="00A30693" w:rsidRDefault="009E26F4" w:rsidP="00A30693">
            <w:pPr>
              <w:ind w:left="-109"/>
              <w:jc w:val="right"/>
              <w:rPr>
                <w:sz w:val="20"/>
                <w:szCs w:val="20"/>
              </w:rPr>
            </w:pPr>
            <w:r w:rsidRPr="00A30693">
              <w:rPr>
                <w:sz w:val="20"/>
                <w:szCs w:val="20"/>
              </w:rPr>
              <w:t>45 257,3</w:t>
            </w:r>
          </w:p>
        </w:tc>
        <w:tc>
          <w:tcPr>
            <w:tcW w:w="1260" w:type="dxa"/>
            <w:tcBorders>
              <w:top w:val="nil"/>
              <w:left w:val="nil"/>
              <w:bottom w:val="single" w:sz="4" w:space="0" w:color="auto"/>
              <w:right w:val="single" w:sz="4" w:space="0" w:color="auto"/>
            </w:tcBorders>
            <w:shd w:val="clear" w:color="auto" w:fill="auto"/>
            <w:vAlign w:val="center"/>
            <w:hideMark/>
          </w:tcPr>
          <w:p w:rsidR="009E26F4" w:rsidRPr="00A30693" w:rsidRDefault="009E26F4" w:rsidP="00191861">
            <w:pPr>
              <w:jc w:val="right"/>
              <w:rPr>
                <w:sz w:val="20"/>
                <w:szCs w:val="20"/>
              </w:rPr>
            </w:pPr>
            <w:r w:rsidRPr="00A30693">
              <w:rPr>
                <w:sz w:val="20"/>
                <w:szCs w:val="20"/>
              </w:rPr>
              <w:t>43 418,7</w:t>
            </w:r>
          </w:p>
        </w:tc>
        <w:tc>
          <w:tcPr>
            <w:tcW w:w="1275" w:type="dxa"/>
            <w:tcBorders>
              <w:top w:val="nil"/>
              <w:left w:val="nil"/>
              <w:bottom w:val="single" w:sz="4" w:space="0" w:color="auto"/>
              <w:right w:val="single" w:sz="4" w:space="0" w:color="auto"/>
            </w:tcBorders>
            <w:shd w:val="clear" w:color="auto" w:fill="auto"/>
            <w:vAlign w:val="center"/>
            <w:hideMark/>
          </w:tcPr>
          <w:p w:rsidR="009E26F4" w:rsidRPr="00A30693" w:rsidRDefault="009E26F4" w:rsidP="00A30693">
            <w:pPr>
              <w:ind w:left="-103"/>
              <w:jc w:val="right"/>
              <w:rPr>
                <w:sz w:val="20"/>
                <w:szCs w:val="20"/>
              </w:rPr>
            </w:pPr>
            <w:r w:rsidRPr="00A30693">
              <w:rPr>
                <w:sz w:val="20"/>
                <w:szCs w:val="20"/>
              </w:rPr>
              <w:t>-1 838,6</w:t>
            </w:r>
          </w:p>
        </w:tc>
        <w:tc>
          <w:tcPr>
            <w:tcW w:w="1372" w:type="dxa"/>
            <w:tcBorders>
              <w:top w:val="nil"/>
              <w:left w:val="nil"/>
              <w:bottom w:val="single" w:sz="4" w:space="0" w:color="auto"/>
              <w:right w:val="single" w:sz="4" w:space="0" w:color="auto"/>
            </w:tcBorders>
            <w:shd w:val="clear" w:color="auto" w:fill="auto"/>
            <w:vAlign w:val="center"/>
            <w:hideMark/>
          </w:tcPr>
          <w:p w:rsidR="009E26F4" w:rsidRPr="00A30693" w:rsidRDefault="009E26F4" w:rsidP="00A30693">
            <w:pPr>
              <w:ind w:left="-117" w:right="-77"/>
              <w:jc w:val="center"/>
              <w:rPr>
                <w:sz w:val="20"/>
                <w:szCs w:val="20"/>
              </w:rPr>
            </w:pPr>
            <w:r w:rsidRPr="00A30693">
              <w:rPr>
                <w:sz w:val="20"/>
                <w:szCs w:val="20"/>
              </w:rPr>
              <w:t xml:space="preserve">95,9 </w:t>
            </w:r>
          </w:p>
        </w:tc>
        <w:tc>
          <w:tcPr>
            <w:tcW w:w="1099" w:type="dxa"/>
            <w:tcBorders>
              <w:top w:val="nil"/>
              <w:left w:val="nil"/>
              <w:bottom w:val="single" w:sz="4" w:space="0" w:color="auto"/>
              <w:right w:val="single" w:sz="4" w:space="0" w:color="auto"/>
            </w:tcBorders>
            <w:shd w:val="clear" w:color="auto" w:fill="auto"/>
            <w:vAlign w:val="center"/>
            <w:hideMark/>
          </w:tcPr>
          <w:p w:rsidR="009E26F4" w:rsidRPr="00A30693" w:rsidRDefault="009E26F4" w:rsidP="00191861">
            <w:pPr>
              <w:jc w:val="center"/>
              <w:rPr>
                <w:sz w:val="20"/>
                <w:szCs w:val="20"/>
              </w:rPr>
            </w:pPr>
            <w:r w:rsidRPr="00A30693">
              <w:rPr>
                <w:sz w:val="20"/>
                <w:szCs w:val="20"/>
              </w:rPr>
              <w:t xml:space="preserve">2,3 </w:t>
            </w:r>
          </w:p>
        </w:tc>
      </w:tr>
    </w:tbl>
    <w:p w:rsidR="009E26F4" w:rsidRPr="00467F9C" w:rsidRDefault="009E26F4" w:rsidP="00191861">
      <w:pPr>
        <w:pStyle w:val="35"/>
        <w:shd w:val="clear" w:color="auto" w:fill="auto"/>
        <w:spacing w:before="120" w:line="240" w:lineRule="auto"/>
        <w:ind w:firstLine="709"/>
        <w:jc w:val="both"/>
        <w:rPr>
          <w:sz w:val="28"/>
          <w:szCs w:val="28"/>
        </w:rPr>
      </w:pPr>
      <w:r w:rsidRPr="00467F9C">
        <w:rPr>
          <w:sz w:val="28"/>
          <w:szCs w:val="28"/>
        </w:rPr>
        <w:t>Наибольший объем бюджетных ассигнований предусмотрен по направлению «Обеспечение деятельности отдельных государственных органов и учреждений» 77,1% или 1 517 492,0 тыс. рублей, исполнение составило 1 484 799,0 тыс. рублей или 97,8% утвержденных назначений.</w:t>
      </w:r>
    </w:p>
    <w:p w:rsidR="009E26F4" w:rsidRPr="00467F9C" w:rsidRDefault="009E26F4" w:rsidP="00191861">
      <w:pPr>
        <w:autoSpaceDE w:val="0"/>
        <w:autoSpaceDN w:val="0"/>
        <w:adjustRightInd w:val="0"/>
        <w:ind w:firstLine="709"/>
        <w:jc w:val="both"/>
        <w:rPr>
          <w:sz w:val="28"/>
          <w:szCs w:val="28"/>
        </w:rPr>
      </w:pPr>
      <w:r w:rsidRPr="00467F9C">
        <w:rPr>
          <w:sz w:val="28"/>
          <w:szCs w:val="28"/>
        </w:rPr>
        <w:t xml:space="preserve">Наибольший объем расходов приходится на Аппарат Губернатора и Правительства Чукотского автономного округа – 667 737,7 тыс. рублей (34,7% общего объема непрограммных расходов), Департамент промышленной политики – 179 828,2 тыс. рублей (9,3%). </w:t>
      </w:r>
    </w:p>
    <w:p w:rsidR="009E26F4" w:rsidRPr="00467F9C" w:rsidRDefault="009E26F4" w:rsidP="00191861">
      <w:pPr>
        <w:spacing w:before="240" w:after="120"/>
        <w:jc w:val="center"/>
        <w:rPr>
          <w:b/>
          <w:sz w:val="28"/>
          <w:szCs w:val="28"/>
        </w:rPr>
      </w:pPr>
      <w:r w:rsidRPr="00467F9C">
        <w:rPr>
          <w:b/>
          <w:sz w:val="28"/>
          <w:szCs w:val="28"/>
        </w:rPr>
        <w:t xml:space="preserve">5.5. Вложения в объекты недвижимого имущества </w:t>
      </w:r>
      <w:r w:rsidRPr="00467F9C">
        <w:rPr>
          <w:b/>
          <w:sz w:val="28"/>
          <w:szCs w:val="28"/>
        </w:rPr>
        <w:br/>
        <w:t>и незавершенного строительства</w:t>
      </w:r>
    </w:p>
    <w:p w:rsidR="009E26F4" w:rsidRPr="00467F9C" w:rsidRDefault="009E26F4" w:rsidP="00191861">
      <w:pPr>
        <w:autoSpaceDE w:val="0"/>
        <w:autoSpaceDN w:val="0"/>
        <w:adjustRightInd w:val="0"/>
        <w:ind w:firstLine="709"/>
        <w:jc w:val="both"/>
        <w:rPr>
          <w:sz w:val="28"/>
          <w:szCs w:val="28"/>
        </w:rPr>
      </w:pPr>
      <w:bookmarkStart w:id="31" w:name="_Hlk38963692"/>
      <w:r w:rsidRPr="00467F9C">
        <w:rPr>
          <w:sz w:val="28"/>
          <w:szCs w:val="28"/>
        </w:rPr>
        <w:t xml:space="preserve">По состоянию на 1 января 2022 года общая сметная стоимость объектов капитального строительства составляет 22 202 254,4 тыс. рублей – вложения в объекты недвижимого имущества и незавершенного строительства при приобретении, строительстве (создании), модернизации (реконструкции, в том числе с элементами реставрации, техническом перевооружении, достройке, дооборудовании), изготовлении, а также затраты, связанные с выполнением научно-исследовательских, опытно-конструкторских, технологических работ (далее – Капитальные вложения). </w:t>
      </w:r>
    </w:p>
    <w:p w:rsidR="009E26F4" w:rsidRPr="00467F9C" w:rsidRDefault="009E26F4" w:rsidP="00191861">
      <w:pPr>
        <w:autoSpaceDE w:val="0"/>
        <w:autoSpaceDN w:val="0"/>
        <w:adjustRightInd w:val="0"/>
        <w:ind w:firstLine="709"/>
        <w:jc w:val="both"/>
        <w:rPr>
          <w:sz w:val="28"/>
          <w:szCs w:val="28"/>
        </w:rPr>
      </w:pPr>
      <w:r w:rsidRPr="00467F9C">
        <w:rPr>
          <w:sz w:val="28"/>
          <w:szCs w:val="28"/>
        </w:rPr>
        <w:t>Информация о капитальных вложениях в объекты недвижимого имущества и незавершенного строительства в отчетном периоде представлена в </w:t>
      </w:r>
      <w:bookmarkEnd w:id="31"/>
      <w:r w:rsidRPr="00467F9C">
        <w:rPr>
          <w:sz w:val="28"/>
          <w:szCs w:val="28"/>
        </w:rPr>
        <w:t>таблице №15.</w:t>
      </w:r>
    </w:p>
    <w:p w:rsidR="009E26F4" w:rsidRPr="00467F9C" w:rsidRDefault="009E26F4" w:rsidP="00191861">
      <w:pPr>
        <w:pStyle w:val="Default"/>
        <w:ind w:firstLine="709"/>
        <w:jc w:val="right"/>
        <w:rPr>
          <w:color w:val="auto"/>
          <w:sz w:val="28"/>
          <w:szCs w:val="28"/>
        </w:rPr>
      </w:pPr>
      <w:r w:rsidRPr="00467F9C">
        <w:rPr>
          <w:color w:val="auto"/>
          <w:sz w:val="28"/>
          <w:szCs w:val="28"/>
        </w:rPr>
        <w:t>Таблица №15</w:t>
      </w:r>
    </w:p>
    <w:p w:rsidR="009E26F4" w:rsidRPr="00467F9C" w:rsidRDefault="009E26F4" w:rsidP="00191861">
      <w:pPr>
        <w:pStyle w:val="Default"/>
        <w:ind w:firstLine="709"/>
        <w:jc w:val="right"/>
        <w:rPr>
          <w:color w:val="auto"/>
          <w:sz w:val="28"/>
          <w:szCs w:val="28"/>
        </w:rPr>
      </w:pPr>
      <w:r w:rsidRPr="00467F9C">
        <w:rPr>
          <w:color w:val="auto"/>
          <w:sz w:val="28"/>
          <w:szCs w:val="28"/>
        </w:rPr>
        <w:t>(тыс. рублей)</w:t>
      </w:r>
    </w:p>
    <w:tbl>
      <w:tblPr>
        <w:tblW w:w="10350" w:type="dxa"/>
        <w:tblInd w:w="-289" w:type="dxa"/>
        <w:tblLook w:val="04A0" w:firstRow="1" w:lastRow="0" w:firstColumn="1" w:lastColumn="0" w:noHBand="0" w:noVBand="1"/>
      </w:tblPr>
      <w:tblGrid>
        <w:gridCol w:w="2865"/>
        <w:gridCol w:w="989"/>
        <w:gridCol w:w="1385"/>
        <w:gridCol w:w="1279"/>
        <w:gridCol w:w="1240"/>
        <w:gridCol w:w="1317"/>
        <w:gridCol w:w="1275"/>
      </w:tblGrid>
      <w:tr w:rsidR="009E26F4" w:rsidRPr="008E07EB" w:rsidTr="009E26F4">
        <w:trPr>
          <w:trHeight w:val="270"/>
        </w:trPr>
        <w:tc>
          <w:tcPr>
            <w:tcW w:w="286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E26F4" w:rsidRPr="008E07EB" w:rsidRDefault="009E26F4" w:rsidP="00191861">
            <w:pPr>
              <w:jc w:val="center"/>
              <w:rPr>
                <w:sz w:val="20"/>
                <w:szCs w:val="20"/>
              </w:rPr>
            </w:pPr>
            <w:r w:rsidRPr="008E07EB">
              <w:rPr>
                <w:sz w:val="20"/>
                <w:szCs w:val="20"/>
              </w:rPr>
              <w:t>Наименование показателя</w:t>
            </w:r>
          </w:p>
        </w:tc>
        <w:tc>
          <w:tcPr>
            <w:tcW w:w="989" w:type="dxa"/>
            <w:tcBorders>
              <w:top w:val="single" w:sz="4" w:space="0" w:color="auto"/>
              <w:left w:val="single" w:sz="4" w:space="0" w:color="auto"/>
              <w:bottom w:val="single" w:sz="4" w:space="0" w:color="auto"/>
              <w:right w:val="single" w:sz="4" w:space="0" w:color="auto"/>
            </w:tcBorders>
            <w:shd w:val="clear" w:color="000000" w:fill="FFFFFF"/>
            <w:vAlign w:val="center"/>
          </w:tcPr>
          <w:p w:rsidR="009E26F4" w:rsidRPr="008E07EB" w:rsidRDefault="009E26F4" w:rsidP="00191861">
            <w:pPr>
              <w:jc w:val="center"/>
              <w:rPr>
                <w:sz w:val="20"/>
                <w:szCs w:val="20"/>
              </w:rPr>
            </w:pPr>
            <w:r w:rsidRPr="008E07EB">
              <w:rPr>
                <w:sz w:val="20"/>
                <w:szCs w:val="20"/>
              </w:rPr>
              <w:t>Кол-во объектов</w:t>
            </w:r>
          </w:p>
        </w:tc>
        <w:tc>
          <w:tcPr>
            <w:tcW w:w="13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E26F4" w:rsidRPr="008E07EB" w:rsidRDefault="009E26F4" w:rsidP="00191861">
            <w:pPr>
              <w:jc w:val="center"/>
              <w:rPr>
                <w:sz w:val="20"/>
                <w:szCs w:val="20"/>
              </w:rPr>
            </w:pPr>
            <w:r w:rsidRPr="008E07EB">
              <w:rPr>
                <w:sz w:val="20"/>
                <w:szCs w:val="20"/>
              </w:rPr>
              <w:t>Сметная стоимость на отчетную дату</w:t>
            </w:r>
          </w:p>
        </w:tc>
        <w:tc>
          <w:tcPr>
            <w:tcW w:w="127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E26F4" w:rsidRPr="008E07EB" w:rsidRDefault="009E26F4" w:rsidP="00191861">
            <w:pPr>
              <w:jc w:val="center"/>
              <w:rPr>
                <w:sz w:val="20"/>
                <w:szCs w:val="20"/>
              </w:rPr>
            </w:pPr>
            <w:r w:rsidRPr="008E07EB">
              <w:rPr>
                <w:sz w:val="20"/>
                <w:szCs w:val="20"/>
              </w:rPr>
              <w:t xml:space="preserve">Расходы </w:t>
            </w:r>
            <w:r w:rsidRPr="008E07EB">
              <w:rPr>
                <w:sz w:val="20"/>
                <w:szCs w:val="20"/>
              </w:rPr>
              <w:br/>
              <w:t>на начало года</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E26F4" w:rsidRPr="008E07EB" w:rsidRDefault="009E26F4" w:rsidP="00191861">
            <w:pPr>
              <w:jc w:val="center"/>
              <w:rPr>
                <w:sz w:val="20"/>
                <w:szCs w:val="20"/>
              </w:rPr>
            </w:pPr>
            <w:r w:rsidRPr="008E07EB">
              <w:rPr>
                <w:sz w:val="20"/>
                <w:szCs w:val="20"/>
              </w:rPr>
              <w:t>Увеличение</w:t>
            </w:r>
          </w:p>
        </w:tc>
        <w:tc>
          <w:tcPr>
            <w:tcW w:w="13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E26F4" w:rsidRPr="008E07EB" w:rsidRDefault="009E26F4" w:rsidP="00191861">
            <w:pPr>
              <w:jc w:val="center"/>
              <w:rPr>
                <w:sz w:val="20"/>
                <w:szCs w:val="20"/>
              </w:rPr>
            </w:pPr>
            <w:r w:rsidRPr="008E07EB">
              <w:rPr>
                <w:sz w:val="20"/>
                <w:szCs w:val="20"/>
              </w:rPr>
              <w:t>Уменьшение</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E26F4" w:rsidRPr="008E07EB" w:rsidRDefault="009E26F4" w:rsidP="00191861">
            <w:pPr>
              <w:jc w:val="center"/>
              <w:rPr>
                <w:sz w:val="20"/>
                <w:szCs w:val="20"/>
              </w:rPr>
            </w:pPr>
            <w:r w:rsidRPr="008E07EB">
              <w:rPr>
                <w:sz w:val="20"/>
                <w:szCs w:val="20"/>
              </w:rPr>
              <w:t xml:space="preserve">Расходы </w:t>
            </w:r>
            <w:r w:rsidRPr="008E07EB">
              <w:rPr>
                <w:sz w:val="20"/>
                <w:szCs w:val="20"/>
              </w:rPr>
              <w:br/>
              <w:t>на конец года</w:t>
            </w:r>
          </w:p>
        </w:tc>
      </w:tr>
      <w:tr w:rsidR="009E26F4" w:rsidRPr="008E07EB" w:rsidTr="009E26F4">
        <w:trPr>
          <w:trHeight w:val="270"/>
        </w:trPr>
        <w:tc>
          <w:tcPr>
            <w:tcW w:w="28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26F4" w:rsidRPr="008E07EB" w:rsidRDefault="009E26F4" w:rsidP="00191861">
            <w:pPr>
              <w:jc w:val="center"/>
              <w:rPr>
                <w:sz w:val="20"/>
                <w:szCs w:val="20"/>
              </w:rPr>
            </w:pPr>
            <w:r w:rsidRPr="008E07EB">
              <w:rPr>
                <w:sz w:val="20"/>
                <w:szCs w:val="20"/>
              </w:rPr>
              <w:t>1</w:t>
            </w:r>
          </w:p>
        </w:tc>
        <w:tc>
          <w:tcPr>
            <w:tcW w:w="989" w:type="dxa"/>
            <w:tcBorders>
              <w:top w:val="single" w:sz="4" w:space="0" w:color="auto"/>
              <w:left w:val="single" w:sz="4" w:space="0" w:color="auto"/>
              <w:bottom w:val="single" w:sz="4" w:space="0" w:color="auto"/>
              <w:right w:val="single" w:sz="4" w:space="0" w:color="auto"/>
            </w:tcBorders>
            <w:shd w:val="clear" w:color="000000" w:fill="FFFFFF"/>
            <w:vAlign w:val="center"/>
          </w:tcPr>
          <w:p w:rsidR="009E26F4" w:rsidRPr="008E07EB" w:rsidRDefault="009E26F4" w:rsidP="00191861">
            <w:pPr>
              <w:jc w:val="center"/>
              <w:rPr>
                <w:sz w:val="20"/>
                <w:szCs w:val="20"/>
              </w:rPr>
            </w:pPr>
            <w:r w:rsidRPr="008E07EB">
              <w:rPr>
                <w:sz w:val="20"/>
                <w:szCs w:val="20"/>
              </w:rPr>
              <w:t>2</w:t>
            </w:r>
          </w:p>
        </w:tc>
        <w:tc>
          <w:tcPr>
            <w:tcW w:w="13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E26F4" w:rsidRPr="008E07EB" w:rsidRDefault="009E26F4" w:rsidP="00191861">
            <w:pPr>
              <w:jc w:val="center"/>
              <w:rPr>
                <w:sz w:val="20"/>
                <w:szCs w:val="20"/>
              </w:rPr>
            </w:pPr>
            <w:r w:rsidRPr="008E07EB">
              <w:rPr>
                <w:sz w:val="20"/>
                <w:szCs w:val="20"/>
              </w:rPr>
              <w:t>3</w:t>
            </w:r>
          </w:p>
        </w:tc>
        <w:tc>
          <w:tcPr>
            <w:tcW w:w="127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E26F4" w:rsidRPr="008E07EB" w:rsidRDefault="009E26F4" w:rsidP="00191861">
            <w:pPr>
              <w:jc w:val="center"/>
              <w:rPr>
                <w:sz w:val="20"/>
                <w:szCs w:val="20"/>
              </w:rPr>
            </w:pPr>
            <w:r w:rsidRPr="008E07EB">
              <w:rPr>
                <w:sz w:val="20"/>
                <w:szCs w:val="20"/>
              </w:rPr>
              <w:t>4</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E26F4" w:rsidRPr="008E07EB" w:rsidRDefault="009E26F4" w:rsidP="00191861">
            <w:pPr>
              <w:jc w:val="center"/>
              <w:rPr>
                <w:sz w:val="20"/>
                <w:szCs w:val="20"/>
              </w:rPr>
            </w:pPr>
            <w:r w:rsidRPr="008E07EB">
              <w:rPr>
                <w:sz w:val="20"/>
                <w:szCs w:val="20"/>
              </w:rPr>
              <w:t>5</w:t>
            </w:r>
          </w:p>
        </w:tc>
        <w:tc>
          <w:tcPr>
            <w:tcW w:w="13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E26F4" w:rsidRPr="008E07EB" w:rsidRDefault="009E26F4" w:rsidP="00191861">
            <w:pPr>
              <w:jc w:val="center"/>
              <w:rPr>
                <w:sz w:val="20"/>
                <w:szCs w:val="20"/>
              </w:rPr>
            </w:pPr>
            <w:r w:rsidRPr="008E07EB">
              <w:rPr>
                <w:sz w:val="20"/>
                <w:szCs w:val="20"/>
              </w:rPr>
              <w:t>6</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E26F4" w:rsidRPr="008E07EB" w:rsidRDefault="009E26F4" w:rsidP="00191861">
            <w:pPr>
              <w:jc w:val="center"/>
              <w:rPr>
                <w:sz w:val="20"/>
                <w:szCs w:val="20"/>
              </w:rPr>
            </w:pPr>
            <w:r w:rsidRPr="008E07EB">
              <w:rPr>
                <w:sz w:val="20"/>
                <w:szCs w:val="20"/>
              </w:rPr>
              <w:t>7</w:t>
            </w:r>
          </w:p>
        </w:tc>
      </w:tr>
      <w:tr w:rsidR="009E26F4" w:rsidRPr="008E07EB" w:rsidTr="009E26F4">
        <w:trPr>
          <w:trHeight w:val="336"/>
        </w:trPr>
        <w:tc>
          <w:tcPr>
            <w:tcW w:w="2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6F4" w:rsidRPr="008E07EB" w:rsidRDefault="009E26F4" w:rsidP="00191861">
            <w:pPr>
              <w:rPr>
                <w:b/>
                <w:bCs/>
                <w:sz w:val="20"/>
                <w:szCs w:val="20"/>
              </w:rPr>
            </w:pPr>
            <w:r w:rsidRPr="008E07EB">
              <w:rPr>
                <w:b/>
                <w:bCs/>
                <w:sz w:val="20"/>
                <w:szCs w:val="20"/>
              </w:rPr>
              <w:t>Итого</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9E26F4" w:rsidRPr="008E07EB" w:rsidRDefault="009E26F4" w:rsidP="00191861">
            <w:pPr>
              <w:jc w:val="center"/>
              <w:rPr>
                <w:b/>
                <w:bCs/>
                <w:sz w:val="20"/>
                <w:szCs w:val="20"/>
              </w:rPr>
            </w:pPr>
            <w:r w:rsidRPr="008E07EB">
              <w:rPr>
                <w:b/>
                <w:bCs/>
                <w:sz w:val="20"/>
                <w:szCs w:val="20"/>
              </w:rPr>
              <w:t>59</w:t>
            </w:r>
          </w:p>
        </w:tc>
        <w:tc>
          <w:tcPr>
            <w:tcW w:w="1385" w:type="dxa"/>
            <w:tcBorders>
              <w:top w:val="single" w:sz="4" w:space="0" w:color="auto"/>
              <w:left w:val="nil"/>
              <w:bottom w:val="single" w:sz="4" w:space="0" w:color="auto"/>
              <w:right w:val="single" w:sz="4" w:space="0" w:color="auto"/>
            </w:tcBorders>
            <w:shd w:val="clear" w:color="auto" w:fill="auto"/>
            <w:noWrap/>
            <w:vAlign w:val="center"/>
            <w:hideMark/>
          </w:tcPr>
          <w:p w:rsidR="009E26F4" w:rsidRPr="008E07EB" w:rsidRDefault="009E26F4" w:rsidP="00191861">
            <w:pPr>
              <w:jc w:val="right"/>
              <w:rPr>
                <w:b/>
                <w:bCs/>
                <w:sz w:val="20"/>
                <w:szCs w:val="20"/>
              </w:rPr>
            </w:pPr>
            <w:r w:rsidRPr="008E07EB">
              <w:rPr>
                <w:b/>
                <w:bCs/>
                <w:sz w:val="20"/>
                <w:szCs w:val="20"/>
              </w:rPr>
              <w:t>22 202 254,4</w:t>
            </w:r>
          </w:p>
        </w:tc>
        <w:tc>
          <w:tcPr>
            <w:tcW w:w="1279" w:type="dxa"/>
            <w:tcBorders>
              <w:top w:val="single" w:sz="4" w:space="0" w:color="auto"/>
              <w:left w:val="nil"/>
              <w:bottom w:val="single" w:sz="4" w:space="0" w:color="auto"/>
              <w:right w:val="single" w:sz="4" w:space="0" w:color="auto"/>
            </w:tcBorders>
            <w:shd w:val="clear" w:color="auto" w:fill="auto"/>
            <w:noWrap/>
            <w:vAlign w:val="center"/>
            <w:hideMark/>
          </w:tcPr>
          <w:p w:rsidR="009E26F4" w:rsidRPr="008E07EB" w:rsidRDefault="009E26F4" w:rsidP="00191861">
            <w:pPr>
              <w:jc w:val="right"/>
              <w:rPr>
                <w:b/>
                <w:bCs/>
                <w:sz w:val="20"/>
                <w:szCs w:val="20"/>
              </w:rPr>
            </w:pPr>
            <w:r w:rsidRPr="008E07EB">
              <w:rPr>
                <w:b/>
                <w:bCs/>
                <w:sz w:val="20"/>
                <w:szCs w:val="20"/>
              </w:rPr>
              <w:t>10 859 786,3</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9E26F4" w:rsidRPr="008E07EB" w:rsidRDefault="009E26F4" w:rsidP="00191861">
            <w:pPr>
              <w:jc w:val="right"/>
              <w:rPr>
                <w:b/>
                <w:bCs/>
                <w:sz w:val="20"/>
                <w:szCs w:val="20"/>
              </w:rPr>
            </w:pPr>
            <w:r w:rsidRPr="008E07EB">
              <w:rPr>
                <w:b/>
                <w:bCs/>
                <w:sz w:val="20"/>
                <w:szCs w:val="20"/>
              </w:rPr>
              <w:t>4 676 317,8</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9E26F4" w:rsidRPr="008E07EB" w:rsidRDefault="009E26F4" w:rsidP="00191861">
            <w:pPr>
              <w:jc w:val="right"/>
              <w:rPr>
                <w:b/>
                <w:bCs/>
                <w:sz w:val="20"/>
                <w:szCs w:val="20"/>
              </w:rPr>
            </w:pPr>
            <w:r w:rsidRPr="008E07EB">
              <w:rPr>
                <w:b/>
                <w:bCs/>
                <w:sz w:val="20"/>
                <w:szCs w:val="20"/>
              </w:rPr>
              <w:t>9 838 422,5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E26F4" w:rsidRPr="008E07EB" w:rsidRDefault="009E26F4" w:rsidP="00191861">
            <w:pPr>
              <w:jc w:val="right"/>
              <w:rPr>
                <w:b/>
                <w:bCs/>
                <w:sz w:val="20"/>
                <w:szCs w:val="20"/>
              </w:rPr>
            </w:pPr>
            <w:r w:rsidRPr="008E07EB">
              <w:rPr>
                <w:b/>
                <w:bCs/>
                <w:sz w:val="20"/>
                <w:szCs w:val="20"/>
              </w:rPr>
              <w:t>5 697 681,5</w:t>
            </w:r>
          </w:p>
        </w:tc>
      </w:tr>
      <w:tr w:rsidR="009E26F4" w:rsidRPr="008E07EB" w:rsidTr="009E26F4">
        <w:trPr>
          <w:trHeight w:val="279"/>
        </w:trPr>
        <w:tc>
          <w:tcPr>
            <w:tcW w:w="2865" w:type="dxa"/>
            <w:tcBorders>
              <w:top w:val="nil"/>
              <w:left w:val="single" w:sz="4" w:space="0" w:color="auto"/>
              <w:bottom w:val="single" w:sz="4" w:space="0" w:color="auto"/>
              <w:right w:val="single" w:sz="4" w:space="0" w:color="auto"/>
            </w:tcBorders>
            <w:shd w:val="clear" w:color="auto" w:fill="auto"/>
            <w:vAlign w:val="center"/>
            <w:hideMark/>
          </w:tcPr>
          <w:p w:rsidR="009E26F4" w:rsidRPr="008E07EB" w:rsidRDefault="009E26F4" w:rsidP="00191861">
            <w:pPr>
              <w:rPr>
                <w:bCs/>
                <w:sz w:val="20"/>
                <w:szCs w:val="20"/>
              </w:rPr>
            </w:pPr>
            <w:r w:rsidRPr="008E07EB">
              <w:rPr>
                <w:bCs/>
                <w:sz w:val="20"/>
                <w:szCs w:val="20"/>
              </w:rPr>
              <w:t>Реализация инвестиционного проекта</w:t>
            </w:r>
          </w:p>
        </w:tc>
        <w:tc>
          <w:tcPr>
            <w:tcW w:w="989" w:type="dxa"/>
            <w:tcBorders>
              <w:top w:val="nil"/>
              <w:left w:val="nil"/>
              <w:bottom w:val="single" w:sz="4" w:space="0" w:color="auto"/>
              <w:right w:val="single" w:sz="4" w:space="0" w:color="auto"/>
            </w:tcBorders>
            <w:shd w:val="clear" w:color="auto" w:fill="auto"/>
            <w:noWrap/>
            <w:vAlign w:val="center"/>
            <w:hideMark/>
          </w:tcPr>
          <w:p w:rsidR="009E26F4" w:rsidRPr="008E07EB" w:rsidRDefault="009E26F4" w:rsidP="00191861">
            <w:pPr>
              <w:jc w:val="center"/>
              <w:rPr>
                <w:bCs/>
                <w:sz w:val="20"/>
                <w:szCs w:val="20"/>
              </w:rPr>
            </w:pPr>
            <w:r w:rsidRPr="008E07EB">
              <w:rPr>
                <w:bCs/>
                <w:sz w:val="20"/>
                <w:szCs w:val="20"/>
              </w:rPr>
              <w:t>50</w:t>
            </w:r>
          </w:p>
        </w:tc>
        <w:tc>
          <w:tcPr>
            <w:tcW w:w="1385" w:type="dxa"/>
            <w:tcBorders>
              <w:top w:val="nil"/>
              <w:left w:val="nil"/>
              <w:bottom w:val="single" w:sz="4" w:space="0" w:color="auto"/>
              <w:right w:val="single" w:sz="4" w:space="0" w:color="auto"/>
            </w:tcBorders>
            <w:shd w:val="clear" w:color="auto" w:fill="auto"/>
            <w:noWrap/>
            <w:vAlign w:val="center"/>
            <w:hideMark/>
          </w:tcPr>
          <w:p w:rsidR="009E26F4" w:rsidRPr="008E07EB" w:rsidRDefault="009E26F4" w:rsidP="00191861">
            <w:pPr>
              <w:jc w:val="right"/>
              <w:rPr>
                <w:bCs/>
                <w:sz w:val="20"/>
                <w:szCs w:val="20"/>
              </w:rPr>
            </w:pPr>
            <w:r w:rsidRPr="008E07EB">
              <w:rPr>
                <w:bCs/>
                <w:sz w:val="20"/>
                <w:szCs w:val="20"/>
              </w:rPr>
              <w:t>12 265 514,8</w:t>
            </w:r>
          </w:p>
        </w:tc>
        <w:tc>
          <w:tcPr>
            <w:tcW w:w="1279" w:type="dxa"/>
            <w:tcBorders>
              <w:top w:val="nil"/>
              <w:left w:val="nil"/>
              <w:bottom w:val="single" w:sz="4" w:space="0" w:color="auto"/>
              <w:right w:val="single" w:sz="4" w:space="0" w:color="auto"/>
            </w:tcBorders>
            <w:shd w:val="clear" w:color="auto" w:fill="auto"/>
            <w:noWrap/>
            <w:vAlign w:val="center"/>
            <w:hideMark/>
          </w:tcPr>
          <w:p w:rsidR="009E26F4" w:rsidRPr="008E07EB" w:rsidRDefault="009E26F4" w:rsidP="00191861">
            <w:pPr>
              <w:jc w:val="right"/>
              <w:rPr>
                <w:bCs/>
                <w:sz w:val="20"/>
                <w:szCs w:val="20"/>
              </w:rPr>
            </w:pPr>
            <w:r w:rsidRPr="008E07EB">
              <w:rPr>
                <w:bCs/>
                <w:sz w:val="20"/>
                <w:szCs w:val="20"/>
              </w:rPr>
              <w:t>1 861 336,8</w:t>
            </w:r>
          </w:p>
        </w:tc>
        <w:tc>
          <w:tcPr>
            <w:tcW w:w="1240" w:type="dxa"/>
            <w:tcBorders>
              <w:top w:val="nil"/>
              <w:left w:val="nil"/>
              <w:bottom w:val="single" w:sz="4" w:space="0" w:color="auto"/>
              <w:right w:val="single" w:sz="4" w:space="0" w:color="auto"/>
            </w:tcBorders>
            <w:shd w:val="clear" w:color="auto" w:fill="auto"/>
            <w:noWrap/>
            <w:vAlign w:val="center"/>
            <w:hideMark/>
          </w:tcPr>
          <w:p w:rsidR="009E26F4" w:rsidRPr="008E07EB" w:rsidRDefault="009E26F4" w:rsidP="00191861">
            <w:pPr>
              <w:jc w:val="right"/>
              <w:rPr>
                <w:bCs/>
                <w:sz w:val="20"/>
                <w:szCs w:val="20"/>
              </w:rPr>
            </w:pPr>
            <w:r w:rsidRPr="008E07EB">
              <w:rPr>
                <w:bCs/>
                <w:sz w:val="20"/>
                <w:szCs w:val="20"/>
              </w:rPr>
              <w:t>3 836 590,6</w:t>
            </w:r>
          </w:p>
        </w:tc>
        <w:tc>
          <w:tcPr>
            <w:tcW w:w="1317" w:type="dxa"/>
            <w:tcBorders>
              <w:top w:val="nil"/>
              <w:left w:val="nil"/>
              <w:bottom w:val="single" w:sz="4" w:space="0" w:color="auto"/>
              <w:right w:val="single" w:sz="4" w:space="0" w:color="auto"/>
            </w:tcBorders>
            <w:shd w:val="clear" w:color="auto" w:fill="auto"/>
            <w:noWrap/>
            <w:vAlign w:val="center"/>
            <w:hideMark/>
          </w:tcPr>
          <w:p w:rsidR="009E26F4" w:rsidRPr="008E07EB" w:rsidRDefault="009E26F4" w:rsidP="00191861">
            <w:pPr>
              <w:jc w:val="right"/>
              <w:rPr>
                <w:bCs/>
                <w:sz w:val="20"/>
                <w:szCs w:val="20"/>
              </w:rPr>
            </w:pPr>
            <w:r w:rsidRPr="008E07EB">
              <w:rPr>
                <w:bCs/>
                <w:sz w:val="20"/>
                <w:szCs w:val="20"/>
              </w:rPr>
              <w:t>245,9</w:t>
            </w:r>
          </w:p>
        </w:tc>
        <w:tc>
          <w:tcPr>
            <w:tcW w:w="1275" w:type="dxa"/>
            <w:tcBorders>
              <w:top w:val="nil"/>
              <w:left w:val="nil"/>
              <w:bottom w:val="single" w:sz="4" w:space="0" w:color="auto"/>
              <w:right w:val="single" w:sz="4" w:space="0" w:color="auto"/>
            </w:tcBorders>
            <w:shd w:val="clear" w:color="auto" w:fill="auto"/>
            <w:noWrap/>
            <w:vAlign w:val="center"/>
            <w:hideMark/>
          </w:tcPr>
          <w:p w:rsidR="009E26F4" w:rsidRPr="008E07EB" w:rsidRDefault="009E26F4" w:rsidP="00191861">
            <w:pPr>
              <w:jc w:val="right"/>
              <w:rPr>
                <w:bCs/>
                <w:sz w:val="20"/>
                <w:szCs w:val="20"/>
              </w:rPr>
            </w:pPr>
            <w:r w:rsidRPr="008E07EB">
              <w:rPr>
                <w:bCs/>
                <w:sz w:val="20"/>
                <w:szCs w:val="20"/>
              </w:rPr>
              <w:t>5 697 681,5</w:t>
            </w:r>
          </w:p>
        </w:tc>
      </w:tr>
      <w:tr w:rsidR="009E26F4" w:rsidRPr="008E07EB" w:rsidTr="009E26F4">
        <w:trPr>
          <w:trHeight w:val="56"/>
        </w:trPr>
        <w:tc>
          <w:tcPr>
            <w:tcW w:w="2865" w:type="dxa"/>
            <w:tcBorders>
              <w:top w:val="nil"/>
              <w:left w:val="single" w:sz="4" w:space="0" w:color="auto"/>
              <w:bottom w:val="single" w:sz="4" w:space="0" w:color="auto"/>
              <w:right w:val="single" w:sz="4" w:space="0" w:color="auto"/>
            </w:tcBorders>
            <w:shd w:val="clear" w:color="auto" w:fill="auto"/>
            <w:vAlign w:val="center"/>
            <w:hideMark/>
          </w:tcPr>
          <w:p w:rsidR="009E26F4" w:rsidRPr="008E07EB" w:rsidRDefault="009E26F4" w:rsidP="00191861">
            <w:pPr>
              <w:rPr>
                <w:bCs/>
                <w:sz w:val="20"/>
                <w:szCs w:val="20"/>
              </w:rPr>
            </w:pPr>
            <w:r w:rsidRPr="008E07EB">
              <w:rPr>
                <w:bCs/>
                <w:sz w:val="20"/>
                <w:szCs w:val="20"/>
              </w:rPr>
              <w:t>Завершение реализации инвестиционного проекта</w:t>
            </w:r>
          </w:p>
        </w:tc>
        <w:tc>
          <w:tcPr>
            <w:tcW w:w="989" w:type="dxa"/>
            <w:tcBorders>
              <w:top w:val="nil"/>
              <w:left w:val="nil"/>
              <w:bottom w:val="single" w:sz="4" w:space="0" w:color="auto"/>
              <w:right w:val="single" w:sz="4" w:space="0" w:color="auto"/>
            </w:tcBorders>
            <w:shd w:val="clear" w:color="auto" w:fill="auto"/>
            <w:noWrap/>
            <w:vAlign w:val="center"/>
            <w:hideMark/>
          </w:tcPr>
          <w:p w:rsidR="009E26F4" w:rsidRPr="008E07EB" w:rsidRDefault="009E26F4" w:rsidP="00191861">
            <w:pPr>
              <w:jc w:val="center"/>
              <w:rPr>
                <w:bCs/>
                <w:sz w:val="20"/>
                <w:szCs w:val="20"/>
              </w:rPr>
            </w:pPr>
            <w:r w:rsidRPr="008E07EB">
              <w:rPr>
                <w:bCs/>
                <w:sz w:val="20"/>
                <w:szCs w:val="20"/>
              </w:rPr>
              <w:t>4</w:t>
            </w:r>
          </w:p>
        </w:tc>
        <w:tc>
          <w:tcPr>
            <w:tcW w:w="1385" w:type="dxa"/>
            <w:tcBorders>
              <w:top w:val="nil"/>
              <w:left w:val="nil"/>
              <w:bottom w:val="single" w:sz="4" w:space="0" w:color="auto"/>
              <w:right w:val="single" w:sz="4" w:space="0" w:color="auto"/>
            </w:tcBorders>
            <w:shd w:val="clear" w:color="auto" w:fill="auto"/>
            <w:noWrap/>
            <w:vAlign w:val="center"/>
            <w:hideMark/>
          </w:tcPr>
          <w:p w:rsidR="009E26F4" w:rsidRPr="008E07EB" w:rsidRDefault="009E26F4" w:rsidP="00191861">
            <w:pPr>
              <w:jc w:val="right"/>
              <w:rPr>
                <w:bCs/>
                <w:sz w:val="20"/>
                <w:szCs w:val="20"/>
              </w:rPr>
            </w:pPr>
            <w:r w:rsidRPr="008E07EB">
              <w:rPr>
                <w:bCs/>
                <w:sz w:val="20"/>
                <w:szCs w:val="20"/>
              </w:rPr>
              <w:t>5 520 774,1</w:t>
            </w:r>
          </w:p>
        </w:tc>
        <w:tc>
          <w:tcPr>
            <w:tcW w:w="1279" w:type="dxa"/>
            <w:tcBorders>
              <w:top w:val="nil"/>
              <w:left w:val="nil"/>
              <w:bottom w:val="single" w:sz="4" w:space="0" w:color="auto"/>
              <w:right w:val="single" w:sz="4" w:space="0" w:color="auto"/>
            </w:tcBorders>
            <w:shd w:val="clear" w:color="auto" w:fill="auto"/>
            <w:noWrap/>
            <w:vAlign w:val="center"/>
            <w:hideMark/>
          </w:tcPr>
          <w:p w:rsidR="009E26F4" w:rsidRPr="008E07EB" w:rsidRDefault="009E26F4" w:rsidP="00191861">
            <w:pPr>
              <w:jc w:val="right"/>
              <w:rPr>
                <w:bCs/>
                <w:sz w:val="20"/>
                <w:szCs w:val="20"/>
              </w:rPr>
            </w:pPr>
            <w:r w:rsidRPr="008E07EB">
              <w:rPr>
                <w:bCs/>
                <w:sz w:val="20"/>
                <w:szCs w:val="20"/>
              </w:rPr>
              <w:t>4 598 492,1</w:t>
            </w:r>
          </w:p>
        </w:tc>
        <w:tc>
          <w:tcPr>
            <w:tcW w:w="1240" w:type="dxa"/>
            <w:tcBorders>
              <w:top w:val="nil"/>
              <w:left w:val="nil"/>
              <w:bottom w:val="single" w:sz="4" w:space="0" w:color="auto"/>
              <w:right w:val="single" w:sz="4" w:space="0" w:color="auto"/>
            </w:tcBorders>
            <w:shd w:val="clear" w:color="auto" w:fill="auto"/>
            <w:noWrap/>
            <w:vAlign w:val="center"/>
            <w:hideMark/>
          </w:tcPr>
          <w:p w:rsidR="009E26F4" w:rsidRPr="008E07EB" w:rsidRDefault="009E26F4" w:rsidP="00191861">
            <w:pPr>
              <w:jc w:val="right"/>
              <w:rPr>
                <w:bCs/>
                <w:sz w:val="20"/>
                <w:szCs w:val="20"/>
              </w:rPr>
            </w:pPr>
            <w:r w:rsidRPr="008E07EB">
              <w:rPr>
                <w:bCs/>
                <w:sz w:val="20"/>
                <w:szCs w:val="20"/>
              </w:rPr>
              <w:t>823 719,1</w:t>
            </w:r>
          </w:p>
        </w:tc>
        <w:tc>
          <w:tcPr>
            <w:tcW w:w="1317" w:type="dxa"/>
            <w:tcBorders>
              <w:top w:val="nil"/>
              <w:left w:val="nil"/>
              <w:bottom w:val="single" w:sz="4" w:space="0" w:color="auto"/>
              <w:right w:val="single" w:sz="4" w:space="0" w:color="auto"/>
            </w:tcBorders>
            <w:shd w:val="clear" w:color="auto" w:fill="auto"/>
            <w:noWrap/>
            <w:vAlign w:val="center"/>
            <w:hideMark/>
          </w:tcPr>
          <w:p w:rsidR="009E26F4" w:rsidRPr="008E07EB" w:rsidRDefault="009E26F4" w:rsidP="00191861">
            <w:pPr>
              <w:jc w:val="right"/>
              <w:rPr>
                <w:bCs/>
                <w:sz w:val="20"/>
                <w:szCs w:val="20"/>
              </w:rPr>
            </w:pPr>
            <w:r w:rsidRPr="008E07EB">
              <w:rPr>
                <w:bCs/>
                <w:sz w:val="20"/>
                <w:szCs w:val="20"/>
              </w:rPr>
              <w:t>5 422 211,1</w:t>
            </w:r>
          </w:p>
        </w:tc>
        <w:tc>
          <w:tcPr>
            <w:tcW w:w="1275" w:type="dxa"/>
            <w:tcBorders>
              <w:top w:val="nil"/>
              <w:left w:val="nil"/>
              <w:bottom w:val="single" w:sz="4" w:space="0" w:color="auto"/>
              <w:right w:val="single" w:sz="4" w:space="0" w:color="auto"/>
            </w:tcBorders>
            <w:shd w:val="clear" w:color="auto" w:fill="auto"/>
            <w:noWrap/>
            <w:vAlign w:val="center"/>
            <w:hideMark/>
          </w:tcPr>
          <w:p w:rsidR="009E26F4" w:rsidRPr="008E07EB" w:rsidRDefault="009E26F4" w:rsidP="00191861">
            <w:pPr>
              <w:jc w:val="right"/>
              <w:rPr>
                <w:bCs/>
                <w:sz w:val="20"/>
                <w:szCs w:val="20"/>
              </w:rPr>
            </w:pPr>
            <w:r w:rsidRPr="008E07EB">
              <w:rPr>
                <w:bCs/>
                <w:sz w:val="20"/>
                <w:szCs w:val="20"/>
              </w:rPr>
              <w:t>-</w:t>
            </w:r>
          </w:p>
        </w:tc>
      </w:tr>
      <w:tr w:rsidR="009E26F4" w:rsidRPr="008E07EB" w:rsidTr="009E26F4">
        <w:trPr>
          <w:trHeight w:val="480"/>
        </w:trPr>
        <w:tc>
          <w:tcPr>
            <w:tcW w:w="2865" w:type="dxa"/>
            <w:tcBorders>
              <w:top w:val="nil"/>
              <w:left w:val="single" w:sz="4" w:space="0" w:color="auto"/>
              <w:bottom w:val="single" w:sz="4" w:space="0" w:color="auto"/>
              <w:right w:val="single" w:sz="4" w:space="0" w:color="auto"/>
            </w:tcBorders>
            <w:shd w:val="clear" w:color="auto" w:fill="auto"/>
            <w:hideMark/>
          </w:tcPr>
          <w:p w:rsidR="009E26F4" w:rsidRDefault="009E26F4" w:rsidP="00191861">
            <w:pPr>
              <w:rPr>
                <w:bCs/>
                <w:sz w:val="20"/>
                <w:szCs w:val="20"/>
              </w:rPr>
            </w:pPr>
            <w:r w:rsidRPr="008E07EB">
              <w:rPr>
                <w:bCs/>
                <w:sz w:val="20"/>
                <w:szCs w:val="20"/>
              </w:rPr>
              <w:t xml:space="preserve">Выбытие </w:t>
            </w:r>
            <w:proofErr w:type="spellStart"/>
            <w:r w:rsidRPr="008E07EB">
              <w:rPr>
                <w:bCs/>
                <w:sz w:val="20"/>
                <w:szCs w:val="20"/>
              </w:rPr>
              <w:t>кап.вложений</w:t>
            </w:r>
            <w:proofErr w:type="spellEnd"/>
            <w:r w:rsidRPr="008E07EB">
              <w:rPr>
                <w:bCs/>
                <w:sz w:val="20"/>
                <w:szCs w:val="20"/>
              </w:rPr>
              <w:t xml:space="preserve"> (объекта незавершенного строительства)</w:t>
            </w:r>
          </w:p>
          <w:p w:rsidR="006D6E96" w:rsidRPr="006D6E96" w:rsidRDefault="006D6E96" w:rsidP="00191861">
            <w:pPr>
              <w:rPr>
                <w:bCs/>
                <w:sz w:val="4"/>
                <w:szCs w:val="4"/>
              </w:rPr>
            </w:pPr>
          </w:p>
        </w:tc>
        <w:tc>
          <w:tcPr>
            <w:tcW w:w="989" w:type="dxa"/>
            <w:tcBorders>
              <w:top w:val="nil"/>
              <w:left w:val="nil"/>
              <w:bottom w:val="single" w:sz="4" w:space="0" w:color="auto"/>
              <w:right w:val="single" w:sz="4" w:space="0" w:color="auto"/>
            </w:tcBorders>
            <w:shd w:val="clear" w:color="auto" w:fill="auto"/>
            <w:noWrap/>
            <w:vAlign w:val="center"/>
            <w:hideMark/>
          </w:tcPr>
          <w:p w:rsidR="009E26F4" w:rsidRPr="008E07EB" w:rsidRDefault="009E26F4" w:rsidP="00191861">
            <w:pPr>
              <w:jc w:val="center"/>
              <w:rPr>
                <w:bCs/>
                <w:sz w:val="20"/>
                <w:szCs w:val="20"/>
              </w:rPr>
            </w:pPr>
            <w:r w:rsidRPr="008E07EB">
              <w:rPr>
                <w:bCs/>
                <w:sz w:val="20"/>
                <w:szCs w:val="20"/>
              </w:rPr>
              <w:t>5</w:t>
            </w:r>
          </w:p>
        </w:tc>
        <w:tc>
          <w:tcPr>
            <w:tcW w:w="1385" w:type="dxa"/>
            <w:tcBorders>
              <w:top w:val="nil"/>
              <w:left w:val="nil"/>
              <w:bottom w:val="single" w:sz="4" w:space="0" w:color="auto"/>
              <w:right w:val="single" w:sz="4" w:space="0" w:color="auto"/>
            </w:tcBorders>
            <w:shd w:val="clear" w:color="auto" w:fill="auto"/>
            <w:noWrap/>
            <w:vAlign w:val="center"/>
            <w:hideMark/>
          </w:tcPr>
          <w:p w:rsidR="009E26F4" w:rsidRPr="008E07EB" w:rsidRDefault="009E26F4" w:rsidP="00191861">
            <w:pPr>
              <w:jc w:val="right"/>
              <w:rPr>
                <w:bCs/>
                <w:sz w:val="20"/>
                <w:szCs w:val="20"/>
              </w:rPr>
            </w:pPr>
            <w:r w:rsidRPr="008E07EB">
              <w:rPr>
                <w:bCs/>
                <w:sz w:val="20"/>
                <w:szCs w:val="20"/>
              </w:rPr>
              <w:t>4 415 965,5</w:t>
            </w:r>
          </w:p>
        </w:tc>
        <w:tc>
          <w:tcPr>
            <w:tcW w:w="1279" w:type="dxa"/>
            <w:tcBorders>
              <w:top w:val="nil"/>
              <w:left w:val="nil"/>
              <w:bottom w:val="single" w:sz="4" w:space="0" w:color="auto"/>
              <w:right w:val="single" w:sz="4" w:space="0" w:color="auto"/>
            </w:tcBorders>
            <w:shd w:val="clear" w:color="auto" w:fill="auto"/>
            <w:noWrap/>
            <w:vAlign w:val="center"/>
            <w:hideMark/>
          </w:tcPr>
          <w:p w:rsidR="009E26F4" w:rsidRPr="008E07EB" w:rsidRDefault="009E26F4" w:rsidP="00191861">
            <w:pPr>
              <w:jc w:val="right"/>
              <w:rPr>
                <w:bCs/>
                <w:sz w:val="20"/>
                <w:szCs w:val="20"/>
              </w:rPr>
            </w:pPr>
            <w:r w:rsidRPr="008E07EB">
              <w:rPr>
                <w:bCs/>
                <w:sz w:val="20"/>
                <w:szCs w:val="20"/>
              </w:rPr>
              <w:t>4 399 957,4</w:t>
            </w:r>
          </w:p>
        </w:tc>
        <w:tc>
          <w:tcPr>
            <w:tcW w:w="1240" w:type="dxa"/>
            <w:tcBorders>
              <w:top w:val="nil"/>
              <w:left w:val="nil"/>
              <w:bottom w:val="single" w:sz="4" w:space="0" w:color="auto"/>
              <w:right w:val="single" w:sz="4" w:space="0" w:color="auto"/>
            </w:tcBorders>
            <w:shd w:val="clear" w:color="auto" w:fill="auto"/>
            <w:noWrap/>
            <w:vAlign w:val="center"/>
            <w:hideMark/>
          </w:tcPr>
          <w:p w:rsidR="009E26F4" w:rsidRPr="008E07EB" w:rsidRDefault="009E26F4" w:rsidP="00191861">
            <w:pPr>
              <w:jc w:val="right"/>
              <w:rPr>
                <w:bCs/>
                <w:sz w:val="20"/>
                <w:szCs w:val="20"/>
              </w:rPr>
            </w:pPr>
            <w:r w:rsidRPr="008E07EB">
              <w:rPr>
                <w:bCs/>
                <w:sz w:val="20"/>
                <w:szCs w:val="20"/>
              </w:rPr>
              <w:t>16 008,1</w:t>
            </w:r>
          </w:p>
        </w:tc>
        <w:tc>
          <w:tcPr>
            <w:tcW w:w="1317" w:type="dxa"/>
            <w:tcBorders>
              <w:top w:val="nil"/>
              <w:left w:val="nil"/>
              <w:bottom w:val="single" w:sz="4" w:space="0" w:color="auto"/>
              <w:right w:val="single" w:sz="4" w:space="0" w:color="auto"/>
            </w:tcBorders>
            <w:shd w:val="clear" w:color="auto" w:fill="auto"/>
            <w:noWrap/>
            <w:vAlign w:val="center"/>
            <w:hideMark/>
          </w:tcPr>
          <w:p w:rsidR="009E26F4" w:rsidRPr="008E07EB" w:rsidRDefault="009E26F4" w:rsidP="00191861">
            <w:pPr>
              <w:jc w:val="right"/>
              <w:rPr>
                <w:bCs/>
                <w:sz w:val="20"/>
                <w:szCs w:val="20"/>
              </w:rPr>
            </w:pPr>
            <w:r w:rsidRPr="008E07EB">
              <w:rPr>
                <w:bCs/>
                <w:sz w:val="20"/>
                <w:szCs w:val="20"/>
              </w:rPr>
              <w:t>4 415 965,5</w:t>
            </w:r>
          </w:p>
        </w:tc>
        <w:tc>
          <w:tcPr>
            <w:tcW w:w="1275" w:type="dxa"/>
            <w:tcBorders>
              <w:top w:val="nil"/>
              <w:left w:val="nil"/>
              <w:bottom w:val="single" w:sz="4" w:space="0" w:color="auto"/>
              <w:right w:val="single" w:sz="4" w:space="0" w:color="auto"/>
            </w:tcBorders>
            <w:shd w:val="clear" w:color="auto" w:fill="auto"/>
            <w:noWrap/>
            <w:vAlign w:val="center"/>
            <w:hideMark/>
          </w:tcPr>
          <w:p w:rsidR="009E26F4" w:rsidRPr="008E07EB" w:rsidRDefault="009E26F4" w:rsidP="00191861">
            <w:pPr>
              <w:jc w:val="right"/>
              <w:rPr>
                <w:bCs/>
                <w:sz w:val="20"/>
                <w:szCs w:val="20"/>
              </w:rPr>
            </w:pPr>
            <w:r w:rsidRPr="008E07EB">
              <w:rPr>
                <w:bCs/>
                <w:sz w:val="20"/>
                <w:szCs w:val="20"/>
              </w:rPr>
              <w:t>-</w:t>
            </w:r>
          </w:p>
        </w:tc>
      </w:tr>
    </w:tbl>
    <w:p w:rsidR="009E26F4" w:rsidRPr="00467F9C" w:rsidRDefault="009E26F4" w:rsidP="00191861">
      <w:pPr>
        <w:pStyle w:val="Default"/>
        <w:spacing w:before="120"/>
        <w:ind w:firstLine="709"/>
        <w:jc w:val="both"/>
        <w:rPr>
          <w:color w:val="auto"/>
          <w:sz w:val="28"/>
          <w:szCs w:val="28"/>
        </w:rPr>
      </w:pPr>
      <w:r w:rsidRPr="00467F9C">
        <w:rPr>
          <w:color w:val="auto"/>
          <w:sz w:val="28"/>
          <w:szCs w:val="28"/>
        </w:rPr>
        <w:lastRenderedPageBreak/>
        <w:t>Балансодержателями объектов незавершенного строительства (произведенных вложений в объекты недвижимого имущества) являются подведомственные Департаменту промышленной политики учреждения:</w:t>
      </w:r>
    </w:p>
    <w:p w:rsidR="009E26F4" w:rsidRPr="00467F9C" w:rsidRDefault="009E26F4" w:rsidP="00191861">
      <w:pPr>
        <w:pStyle w:val="af"/>
        <w:spacing w:after="0" w:line="240" w:lineRule="auto"/>
        <w:ind w:left="0" w:firstLine="709"/>
        <w:jc w:val="both"/>
        <w:rPr>
          <w:rFonts w:ascii="Times New Roman" w:hAnsi="Times New Roman" w:cs="Times New Roman"/>
          <w:sz w:val="28"/>
          <w:szCs w:val="28"/>
        </w:rPr>
      </w:pPr>
      <w:r w:rsidRPr="00467F9C">
        <w:rPr>
          <w:rFonts w:ascii="Times New Roman" w:hAnsi="Times New Roman" w:cs="Times New Roman"/>
          <w:sz w:val="28"/>
          <w:szCs w:val="28"/>
        </w:rPr>
        <w:t>- 33 объекта – Государственное казенное учреждение Чукотского автономного округа «Управление автомобильных дорог Чукотского автономного округа»;</w:t>
      </w:r>
    </w:p>
    <w:p w:rsidR="009E26F4" w:rsidRPr="00467F9C" w:rsidRDefault="009E26F4" w:rsidP="00191861">
      <w:pPr>
        <w:pStyle w:val="af"/>
        <w:spacing w:after="0" w:line="240" w:lineRule="auto"/>
        <w:ind w:left="0" w:firstLine="709"/>
        <w:jc w:val="both"/>
        <w:rPr>
          <w:rFonts w:ascii="Times New Roman" w:hAnsi="Times New Roman" w:cs="Times New Roman"/>
          <w:sz w:val="28"/>
          <w:szCs w:val="28"/>
        </w:rPr>
      </w:pPr>
      <w:r w:rsidRPr="00467F9C">
        <w:rPr>
          <w:rFonts w:ascii="Times New Roman" w:hAnsi="Times New Roman" w:cs="Times New Roman"/>
          <w:sz w:val="28"/>
          <w:szCs w:val="28"/>
        </w:rPr>
        <w:t xml:space="preserve">- 26 объектов – Государственное казенное учреждение Чукотского автономного округа «Управление капитального строительства Чукотского автономного округа». </w:t>
      </w:r>
    </w:p>
    <w:p w:rsidR="009E26F4" w:rsidRPr="00467F9C" w:rsidRDefault="009E26F4" w:rsidP="00191861">
      <w:pPr>
        <w:ind w:firstLine="709"/>
        <w:jc w:val="both"/>
        <w:rPr>
          <w:sz w:val="28"/>
          <w:szCs w:val="20"/>
        </w:rPr>
      </w:pPr>
      <w:bookmarkStart w:id="32" w:name="_Hlk38989150"/>
      <w:r w:rsidRPr="00467F9C">
        <w:rPr>
          <w:sz w:val="28"/>
          <w:szCs w:val="20"/>
        </w:rPr>
        <w:t xml:space="preserve">В отчетном периоде осуществлены расходы в сумме 24 267,4 тыс. рублей на реализацию 10 новых объектов общей сметной стоимостью 427 391,8 тыс. рублей (строительство (перенос) трансформаторной подстанции ТП-10Б в городе Анадырь, перенос кабельной линии 6 </w:t>
      </w:r>
      <w:proofErr w:type="spellStart"/>
      <w:r w:rsidRPr="00467F9C">
        <w:rPr>
          <w:sz w:val="28"/>
          <w:szCs w:val="20"/>
        </w:rPr>
        <w:t>кВ</w:t>
      </w:r>
      <w:proofErr w:type="spellEnd"/>
      <w:r w:rsidRPr="00467F9C">
        <w:rPr>
          <w:sz w:val="28"/>
          <w:szCs w:val="20"/>
        </w:rPr>
        <w:t xml:space="preserve"> от ЦРП-6 до ТП-30, начальная школа в селе </w:t>
      </w:r>
      <w:proofErr w:type="spellStart"/>
      <w:r w:rsidRPr="00467F9C">
        <w:rPr>
          <w:sz w:val="28"/>
          <w:szCs w:val="20"/>
        </w:rPr>
        <w:t>Лорино</w:t>
      </w:r>
      <w:proofErr w:type="spellEnd"/>
      <w:r w:rsidRPr="00467F9C">
        <w:rPr>
          <w:sz w:val="28"/>
          <w:szCs w:val="20"/>
        </w:rPr>
        <w:t>, фельдшерско-акушерский пункт в селе Ламутское, 6 участков автомобильной дороги «Колыма-Омсукчан-Омолон-Анадырь на территории Чукотского автономного округа»).</w:t>
      </w:r>
    </w:p>
    <w:p w:rsidR="009E26F4" w:rsidRPr="00467F9C" w:rsidRDefault="009E26F4" w:rsidP="00191861">
      <w:pPr>
        <w:autoSpaceDE w:val="0"/>
        <w:autoSpaceDN w:val="0"/>
        <w:adjustRightInd w:val="0"/>
        <w:ind w:firstLine="709"/>
        <w:jc w:val="both"/>
        <w:rPr>
          <w:sz w:val="28"/>
          <w:szCs w:val="28"/>
        </w:rPr>
      </w:pPr>
      <w:r w:rsidRPr="00467F9C">
        <w:rPr>
          <w:sz w:val="28"/>
          <w:szCs w:val="28"/>
        </w:rPr>
        <w:t xml:space="preserve">В отчетном периоде снято с учета 9 объектов с произведенными расходами в сумме 9 838 176,6 тыс. рублей по следующим основаниям. </w:t>
      </w:r>
    </w:p>
    <w:p w:rsidR="009E26F4" w:rsidRPr="00467F9C" w:rsidRDefault="009E26F4" w:rsidP="00191861">
      <w:pPr>
        <w:autoSpaceDE w:val="0"/>
        <w:autoSpaceDN w:val="0"/>
        <w:adjustRightInd w:val="0"/>
        <w:ind w:firstLine="709"/>
        <w:jc w:val="both"/>
        <w:rPr>
          <w:sz w:val="28"/>
          <w:szCs w:val="28"/>
        </w:rPr>
      </w:pPr>
      <w:r w:rsidRPr="00467F9C">
        <w:rPr>
          <w:sz w:val="28"/>
          <w:szCs w:val="28"/>
        </w:rPr>
        <w:t>1. На основании Распоряжений Правительства Чукотского автономного округа передано 4 объекта стоимостью 4 409 592,7 тыс. рублей:</w:t>
      </w:r>
    </w:p>
    <w:p w:rsidR="009E26F4" w:rsidRPr="00467F9C" w:rsidRDefault="009E26F4" w:rsidP="00191861">
      <w:pPr>
        <w:autoSpaceDE w:val="0"/>
        <w:autoSpaceDN w:val="0"/>
        <w:adjustRightInd w:val="0"/>
        <w:ind w:firstLine="709"/>
        <w:jc w:val="both"/>
        <w:rPr>
          <w:sz w:val="28"/>
          <w:szCs w:val="28"/>
        </w:rPr>
      </w:pPr>
      <w:r w:rsidRPr="00467F9C">
        <w:rPr>
          <w:sz w:val="28"/>
          <w:szCs w:val="28"/>
        </w:rPr>
        <w:t xml:space="preserve">- 11 754,6 тыс. рублей – Государственному бюджетному учреждению здравоохранения «Чукотская окружная больница» переданы морги модульного исполнения для сел </w:t>
      </w:r>
      <w:proofErr w:type="spellStart"/>
      <w:r w:rsidRPr="00467F9C">
        <w:rPr>
          <w:sz w:val="28"/>
          <w:szCs w:val="28"/>
        </w:rPr>
        <w:t>Марково</w:t>
      </w:r>
      <w:proofErr w:type="spellEnd"/>
      <w:r w:rsidRPr="00467F9C">
        <w:rPr>
          <w:sz w:val="28"/>
          <w:szCs w:val="28"/>
        </w:rPr>
        <w:t xml:space="preserve"> и </w:t>
      </w:r>
      <w:proofErr w:type="spellStart"/>
      <w:r w:rsidRPr="00467F9C">
        <w:rPr>
          <w:sz w:val="28"/>
          <w:szCs w:val="28"/>
        </w:rPr>
        <w:t>Ваеги</w:t>
      </w:r>
      <w:proofErr w:type="spellEnd"/>
      <w:r w:rsidRPr="00467F9C">
        <w:rPr>
          <w:sz w:val="28"/>
          <w:szCs w:val="28"/>
        </w:rPr>
        <w:t xml:space="preserve"> (Распоряжение Правительства Чукотского автономного округа от 9 сентября 2021 года №368-рп);</w:t>
      </w:r>
    </w:p>
    <w:p w:rsidR="009E26F4" w:rsidRPr="00467F9C" w:rsidRDefault="009E26F4" w:rsidP="00191861">
      <w:pPr>
        <w:autoSpaceDE w:val="0"/>
        <w:autoSpaceDN w:val="0"/>
        <w:adjustRightInd w:val="0"/>
        <w:ind w:firstLine="709"/>
        <w:jc w:val="both"/>
        <w:rPr>
          <w:sz w:val="28"/>
          <w:szCs w:val="28"/>
        </w:rPr>
      </w:pPr>
      <w:r w:rsidRPr="00467F9C">
        <w:rPr>
          <w:sz w:val="28"/>
          <w:szCs w:val="28"/>
        </w:rPr>
        <w:t>- 152 798,6 тыс. рублей – Государственному бюджетному учреждению здравоохранения «Чукотская окружная больница» передана участковая больница в селе Омолон (Распоряжение Правительства Чукотского автономного округа от 26 ноября 2021 года №464-рп);</w:t>
      </w:r>
    </w:p>
    <w:p w:rsidR="009E26F4" w:rsidRPr="00467F9C" w:rsidRDefault="009E26F4" w:rsidP="00191861">
      <w:pPr>
        <w:autoSpaceDE w:val="0"/>
        <w:autoSpaceDN w:val="0"/>
        <w:adjustRightInd w:val="0"/>
        <w:ind w:firstLine="709"/>
        <w:jc w:val="both"/>
        <w:rPr>
          <w:sz w:val="28"/>
          <w:szCs w:val="28"/>
        </w:rPr>
      </w:pPr>
      <w:r w:rsidRPr="00467F9C">
        <w:rPr>
          <w:sz w:val="28"/>
          <w:szCs w:val="28"/>
        </w:rPr>
        <w:t xml:space="preserve">- 4 199 928,6 тыс. рублей – передан в собственность Чукотского автономного округа объект «ВЛ-110 </w:t>
      </w:r>
      <w:proofErr w:type="spellStart"/>
      <w:r w:rsidRPr="00467F9C">
        <w:rPr>
          <w:sz w:val="28"/>
          <w:szCs w:val="28"/>
        </w:rPr>
        <w:t>кВ</w:t>
      </w:r>
      <w:proofErr w:type="spellEnd"/>
      <w:r w:rsidRPr="00467F9C">
        <w:rPr>
          <w:sz w:val="28"/>
          <w:szCs w:val="28"/>
        </w:rPr>
        <w:t xml:space="preserve"> </w:t>
      </w:r>
      <w:proofErr w:type="spellStart"/>
      <w:r w:rsidRPr="00467F9C">
        <w:rPr>
          <w:sz w:val="28"/>
          <w:szCs w:val="28"/>
        </w:rPr>
        <w:t>Билибино</w:t>
      </w:r>
      <w:proofErr w:type="spellEnd"/>
      <w:r w:rsidRPr="00467F9C">
        <w:rPr>
          <w:sz w:val="28"/>
          <w:szCs w:val="28"/>
        </w:rPr>
        <w:t xml:space="preserve">-Песчанка I цепь с отпайкой на ПС </w:t>
      </w:r>
      <w:proofErr w:type="spellStart"/>
      <w:r w:rsidRPr="00467F9C">
        <w:rPr>
          <w:sz w:val="28"/>
          <w:szCs w:val="28"/>
        </w:rPr>
        <w:t>Кекура</w:t>
      </w:r>
      <w:proofErr w:type="spellEnd"/>
      <w:r w:rsidRPr="00467F9C">
        <w:rPr>
          <w:sz w:val="28"/>
          <w:szCs w:val="28"/>
        </w:rPr>
        <w:t>» (Распоряжение Правительства Чукотского автономного округа от 25 марта 2021 года №111-рп);</w:t>
      </w:r>
    </w:p>
    <w:p w:rsidR="009E26F4" w:rsidRPr="00467F9C" w:rsidRDefault="009E26F4" w:rsidP="00191861">
      <w:pPr>
        <w:autoSpaceDE w:val="0"/>
        <w:autoSpaceDN w:val="0"/>
        <w:adjustRightInd w:val="0"/>
        <w:ind w:firstLine="709"/>
        <w:jc w:val="both"/>
        <w:rPr>
          <w:sz w:val="28"/>
          <w:szCs w:val="28"/>
        </w:rPr>
      </w:pPr>
      <w:r w:rsidRPr="00467F9C">
        <w:rPr>
          <w:sz w:val="28"/>
          <w:szCs w:val="28"/>
        </w:rPr>
        <w:t xml:space="preserve">- 45 110,9 тыс. рублей – городскому округу </w:t>
      </w:r>
      <w:proofErr w:type="spellStart"/>
      <w:r w:rsidRPr="00467F9C">
        <w:rPr>
          <w:sz w:val="28"/>
          <w:szCs w:val="28"/>
        </w:rPr>
        <w:t>Певек</w:t>
      </w:r>
      <w:proofErr w:type="spellEnd"/>
      <w:r w:rsidRPr="00467F9C">
        <w:rPr>
          <w:sz w:val="28"/>
          <w:szCs w:val="28"/>
        </w:rPr>
        <w:t xml:space="preserve"> передана многофункциональная спортивная площадка с искусственным покрытием (Распоряжение Правительства Чукотского автономного округа от 9 февраля 2021 года №40-рп).</w:t>
      </w:r>
    </w:p>
    <w:p w:rsidR="009E26F4" w:rsidRPr="00467F9C" w:rsidRDefault="009E26F4" w:rsidP="00191861">
      <w:pPr>
        <w:autoSpaceDE w:val="0"/>
        <w:autoSpaceDN w:val="0"/>
        <w:adjustRightInd w:val="0"/>
        <w:ind w:firstLine="709"/>
        <w:jc w:val="both"/>
        <w:rPr>
          <w:sz w:val="28"/>
          <w:szCs w:val="20"/>
        </w:rPr>
      </w:pPr>
      <w:r w:rsidRPr="00467F9C">
        <w:rPr>
          <w:sz w:val="28"/>
          <w:szCs w:val="28"/>
        </w:rPr>
        <w:t xml:space="preserve">2. Снято с учета 4 участка </w:t>
      </w:r>
      <w:r w:rsidRPr="00467F9C">
        <w:rPr>
          <w:sz w:val="28"/>
          <w:szCs w:val="20"/>
        </w:rPr>
        <w:t>автомобильной дороги «Колыма-Омсукчан-Омолон-Анадырь на территории Чукотского автономного округа» с произведенным расходами в размере 5 422 211,1 тыс. рублей, документы находятся на государственной регистрации.</w:t>
      </w:r>
    </w:p>
    <w:p w:rsidR="009E26F4" w:rsidRPr="00467F9C" w:rsidRDefault="009E26F4" w:rsidP="00191861">
      <w:pPr>
        <w:autoSpaceDE w:val="0"/>
        <w:autoSpaceDN w:val="0"/>
        <w:adjustRightInd w:val="0"/>
        <w:ind w:firstLine="709"/>
        <w:jc w:val="both"/>
        <w:rPr>
          <w:sz w:val="28"/>
          <w:szCs w:val="28"/>
        </w:rPr>
      </w:pPr>
      <w:r w:rsidRPr="00467F9C">
        <w:rPr>
          <w:sz w:val="28"/>
          <w:szCs w:val="20"/>
        </w:rPr>
        <w:t>3. </w:t>
      </w:r>
      <w:r w:rsidRPr="00467F9C">
        <w:rPr>
          <w:sz w:val="28"/>
          <w:szCs w:val="28"/>
        </w:rPr>
        <w:t>Списан как утративший актуальность комплект проектно-сметной документации на объект «Энергоблок (</w:t>
      </w:r>
      <w:proofErr w:type="spellStart"/>
      <w:r w:rsidRPr="00467F9C">
        <w:rPr>
          <w:sz w:val="28"/>
          <w:szCs w:val="28"/>
        </w:rPr>
        <w:t>ДЭС+котельная</w:t>
      </w:r>
      <w:proofErr w:type="spellEnd"/>
      <w:r w:rsidRPr="00467F9C">
        <w:rPr>
          <w:sz w:val="28"/>
          <w:szCs w:val="28"/>
        </w:rPr>
        <w:t xml:space="preserve">) в селе </w:t>
      </w:r>
      <w:proofErr w:type="spellStart"/>
      <w:r w:rsidRPr="00467F9C">
        <w:rPr>
          <w:sz w:val="28"/>
          <w:szCs w:val="28"/>
        </w:rPr>
        <w:t>Ваеги</w:t>
      </w:r>
      <w:proofErr w:type="spellEnd"/>
      <w:r w:rsidRPr="00467F9C">
        <w:rPr>
          <w:sz w:val="28"/>
          <w:szCs w:val="28"/>
        </w:rPr>
        <w:t xml:space="preserve">» общей стоимостью 6 372,8 тыс. рублей, работы выполнены в 2016 году, балансодержателем указанного объекта являлся ГКУ «Управление капитального строительства». </w:t>
      </w:r>
    </w:p>
    <w:p w:rsidR="009E26F4" w:rsidRPr="00467F9C" w:rsidRDefault="009E26F4" w:rsidP="00191861">
      <w:pPr>
        <w:autoSpaceDE w:val="0"/>
        <w:autoSpaceDN w:val="0"/>
        <w:adjustRightInd w:val="0"/>
        <w:ind w:firstLine="709"/>
        <w:jc w:val="both"/>
        <w:rPr>
          <w:strike/>
          <w:sz w:val="28"/>
          <w:szCs w:val="28"/>
        </w:rPr>
      </w:pPr>
      <w:r w:rsidRPr="00467F9C">
        <w:rPr>
          <w:sz w:val="28"/>
          <w:szCs w:val="28"/>
        </w:rPr>
        <w:lastRenderedPageBreak/>
        <w:t>Списание произведенных расходов на проектно-сметную документацию в сумме 6 372,8 тыс. рублей, которая своевременно не использована и морально устарела, в связи с чем непригодна для строительства объекта, является нерезультативными расходами окружного бюджета</w:t>
      </w:r>
      <w:r w:rsidRPr="00467F9C">
        <w:rPr>
          <w:spacing w:val="-4"/>
          <w:sz w:val="28"/>
          <w:szCs w:val="28"/>
        </w:rPr>
        <w:t xml:space="preserve">. </w:t>
      </w:r>
    </w:p>
    <w:p w:rsidR="009E26F4" w:rsidRPr="00467F9C" w:rsidRDefault="009E26F4" w:rsidP="00191861">
      <w:pPr>
        <w:widowControl w:val="0"/>
        <w:ind w:firstLine="709"/>
        <w:jc w:val="both"/>
        <w:rPr>
          <w:sz w:val="28"/>
          <w:szCs w:val="28"/>
        </w:rPr>
      </w:pPr>
      <w:bookmarkStart w:id="33" w:name="_Hlk103437935"/>
      <w:bookmarkEnd w:id="32"/>
      <w:r w:rsidRPr="00467F9C">
        <w:rPr>
          <w:sz w:val="28"/>
          <w:szCs w:val="28"/>
        </w:rPr>
        <w:t xml:space="preserve">Согласно отчетным данным по состоянию на 1 января 2022 года на учете состоит 50 объектов недвижимого имущества и незавершенного строительства, общий объем средств, направленный на реализацию мероприятий по строительству указанных объектов, составляет 5 697 681,5 тыс. рублей. </w:t>
      </w:r>
    </w:p>
    <w:bookmarkEnd w:id="33"/>
    <w:p w:rsidR="009E26F4" w:rsidRPr="00467F9C" w:rsidRDefault="009E26F4" w:rsidP="00191861">
      <w:pPr>
        <w:autoSpaceDE w:val="0"/>
        <w:autoSpaceDN w:val="0"/>
        <w:adjustRightInd w:val="0"/>
        <w:ind w:firstLine="709"/>
        <w:jc w:val="both"/>
        <w:rPr>
          <w:sz w:val="28"/>
          <w:szCs w:val="28"/>
        </w:rPr>
      </w:pPr>
      <w:r w:rsidRPr="00467F9C">
        <w:rPr>
          <w:sz w:val="28"/>
          <w:szCs w:val="28"/>
        </w:rPr>
        <w:t>Информация о капитальных вложениях в объекты недвижимого имущества и незавершенного строительства в разрезе сфер деятельности по состоянию на 1 января 2022 года представлена в таблице №16.</w:t>
      </w:r>
    </w:p>
    <w:p w:rsidR="009E26F4" w:rsidRPr="00467F9C" w:rsidRDefault="009E26F4" w:rsidP="00191861">
      <w:pPr>
        <w:pStyle w:val="Default"/>
        <w:ind w:firstLine="709"/>
        <w:jc w:val="right"/>
        <w:rPr>
          <w:color w:val="auto"/>
          <w:sz w:val="28"/>
          <w:szCs w:val="28"/>
        </w:rPr>
      </w:pPr>
      <w:r w:rsidRPr="00467F9C">
        <w:rPr>
          <w:color w:val="auto"/>
          <w:sz w:val="28"/>
          <w:szCs w:val="28"/>
        </w:rPr>
        <w:t>Таблица №16</w:t>
      </w:r>
    </w:p>
    <w:p w:rsidR="009E26F4" w:rsidRPr="00467F9C" w:rsidRDefault="009E26F4" w:rsidP="00191861">
      <w:pPr>
        <w:pStyle w:val="Default"/>
        <w:ind w:firstLine="709"/>
        <w:jc w:val="right"/>
        <w:rPr>
          <w:color w:val="auto"/>
          <w:sz w:val="28"/>
          <w:szCs w:val="28"/>
        </w:rPr>
      </w:pPr>
      <w:r w:rsidRPr="00467F9C">
        <w:rPr>
          <w:color w:val="auto"/>
          <w:sz w:val="28"/>
          <w:szCs w:val="28"/>
        </w:rPr>
        <w:t>(тыс. рублей)</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912"/>
        <w:gridCol w:w="1781"/>
        <w:gridCol w:w="1276"/>
      </w:tblGrid>
      <w:tr w:rsidR="009E26F4" w:rsidRPr="00467F9C" w:rsidTr="009E26F4">
        <w:trPr>
          <w:trHeight w:val="480"/>
          <w:tblHeader/>
        </w:trPr>
        <w:tc>
          <w:tcPr>
            <w:tcW w:w="5954" w:type="dxa"/>
            <w:shd w:val="clear" w:color="000000" w:fill="FFFFFF"/>
            <w:vAlign w:val="center"/>
            <w:hideMark/>
          </w:tcPr>
          <w:p w:rsidR="009E26F4" w:rsidRPr="00467F9C" w:rsidRDefault="009E26F4" w:rsidP="00191861">
            <w:pPr>
              <w:jc w:val="center"/>
              <w:rPr>
                <w:sz w:val="18"/>
                <w:szCs w:val="18"/>
              </w:rPr>
            </w:pPr>
            <w:r w:rsidRPr="00467F9C">
              <w:rPr>
                <w:sz w:val="18"/>
                <w:szCs w:val="18"/>
              </w:rPr>
              <w:t xml:space="preserve">Наименование показателя </w:t>
            </w:r>
            <w:r w:rsidRPr="00467F9C">
              <w:rPr>
                <w:sz w:val="18"/>
                <w:szCs w:val="18"/>
              </w:rPr>
              <w:br/>
              <w:t>(сферы деятельности)</w:t>
            </w:r>
          </w:p>
        </w:tc>
        <w:tc>
          <w:tcPr>
            <w:tcW w:w="912" w:type="dxa"/>
            <w:shd w:val="clear" w:color="auto" w:fill="auto"/>
            <w:vAlign w:val="center"/>
            <w:hideMark/>
          </w:tcPr>
          <w:p w:rsidR="009E26F4" w:rsidRPr="00467F9C" w:rsidRDefault="009E26F4" w:rsidP="00191861">
            <w:pPr>
              <w:jc w:val="center"/>
              <w:rPr>
                <w:sz w:val="18"/>
                <w:szCs w:val="18"/>
              </w:rPr>
            </w:pPr>
            <w:r w:rsidRPr="00467F9C">
              <w:rPr>
                <w:sz w:val="18"/>
                <w:szCs w:val="18"/>
              </w:rPr>
              <w:t>Кол-во объектов</w:t>
            </w:r>
          </w:p>
        </w:tc>
        <w:tc>
          <w:tcPr>
            <w:tcW w:w="1781" w:type="dxa"/>
            <w:shd w:val="clear" w:color="auto" w:fill="auto"/>
            <w:vAlign w:val="center"/>
            <w:hideMark/>
          </w:tcPr>
          <w:p w:rsidR="009E26F4" w:rsidRPr="00467F9C" w:rsidRDefault="009E26F4" w:rsidP="00191861">
            <w:pPr>
              <w:jc w:val="center"/>
              <w:rPr>
                <w:sz w:val="18"/>
                <w:szCs w:val="18"/>
              </w:rPr>
            </w:pPr>
            <w:r w:rsidRPr="00467F9C">
              <w:rPr>
                <w:sz w:val="18"/>
                <w:szCs w:val="18"/>
              </w:rPr>
              <w:t xml:space="preserve"> Объем вложений на отчетную дату </w:t>
            </w:r>
          </w:p>
        </w:tc>
        <w:tc>
          <w:tcPr>
            <w:tcW w:w="1276" w:type="dxa"/>
            <w:vAlign w:val="center"/>
          </w:tcPr>
          <w:p w:rsidR="009E26F4" w:rsidRPr="00467F9C" w:rsidRDefault="009E26F4" w:rsidP="00191861">
            <w:pPr>
              <w:jc w:val="center"/>
              <w:rPr>
                <w:sz w:val="18"/>
                <w:szCs w:val="18"/>
              </w:rPr>
            </w:pPr>
            <w:r w:rsidRPr="00467F9C">
              <w:rPr>
                <w:sz w:val="18"/>
                <w:szCs w:val="18"/>
              </w:rPr>
              <w:t>Удельный вес, %</w:t>
            </w:r>
          </w:p>
        </w:tc>
      </w:tr>
      <w:tr w:rsidR="009E26F4" w:rsidRPr="00467F9C" w:rsidTr="009E26F4">
        <w:trPr>
          <w:trHeight w:val="253"/>
          <w:tblHeader/>
        </w:trPr>
        <w:tc>
          <w:tcPr>
            <w:tcW w:w="5954" w:type="dxa"/>
            <w:shd w:val="clear" w:color="000000" w:fill="FFFFFF"/>
            <w:vAlign w:val="center"/>
          </w:tcPr>
          <w:p w:rsidR="009E26F4" w:rsidRPr="00467F9C" w:rsidRDefault="009E26F4" w:rsidP="00191861">
            <w:pPr>
              <w:jc w:val="center"/>
              <w:rPr>
                <w:sz w:val="18"/>
                <w:szCs w:val="18"/>
              </w:rPr>
            </w:pPr>
            <w:r w:rsidRPr="00467F9C">
              <w:rPr>
                <w:sz w:val="18"/>
                <w:szCs w:val="18"/>
              </w:rPr>
              <w:t>1</w:t>
            </w:r>
          </w:p>
        </w:tc>
        <w:tc>
          <w:tcPr>
            <w:tcW w:w="912" w:type="dxa"/>
            <w:shd w:val="clear" w:color="auto" w:fill="auto"/>
            <w:noWrap/>
            <w:vAlign w:val="center"/>
          </w:tcPr>
          <w:p w:rsidR="009E26F4" w:rsidRPr="00467F9C" w:rsidRDefault="009E26F4" w:rsidP="00191861">
            <w:pPr>
              <w:jc w:val="center"/>
              <w:rPr>
                <w:sz w:val="18"/>
                <w:szCs w:val="18"/>
              </w:rPr>
            </w:pPr>
            <w:r w:rsidRPr="00467F9C">
              <w:rPr>
                <w:sz w:val="18"/>
                <w:szCs w:val="18"/>
              </w:rPr>
              <w:t>2</w:t>
            </w:r>
          </w:p>
        </w:tc>
        <w:tc>
          <w:tcPr>
            <w:tcW w:w="1781" w:type="dxa"/>
            <w:shd w:val="clear" w:color="auto" w:fill="auto"/>
            <w:noWrap/>
            <w:vAlign w:val="center"/>
          </w:tcPr>
          <w:p w:rsidR="009E26F4" w:rsidRPr="00467F9C" w:rsidRDefault="009E26F4" w:rsidP="00191861">
            <w:pPr>
              <w:jc w:val="center"/>
              <w:rPr>
                <w:sz w:val="18"/>
                <w:szCs w:val="18"/>
              </w:rPr>
            </w:pPr>
            <w:r w:rsidRPr="00467F9C">
              <w:rPr>
                <w:sz w:val="18"/>
                <w:szCs w:val="18"/>
              </w:rPr>
              <w:t>3</w:t>
            </w:r>
          </w:p>
        </w:tc>
        <w:tc>
          <w:tcPr>
            <w:tcW w:w="1276" w:type="dxa"/>
            <w:vAlign w:val="center"/>
          </w:tcPr>
          <w:p w:rsidR="009E26F4" w:rsidRPr="00467F9C" w:rsidRDefault="009E26F4" w:rsidP="00191861">
            <w:pPr>
              <w:jc w:val="center"/>
              <w:rPr>
                <w:sz w:val="18"/>
                <w:szCs w:val="18"/>
              </w:rPr>
            </w:pPr>
          </w:p>
        </w:tc>
      </w:tr>
      <w:tr w:rsidR="009E26F4" w:rsidRPr="00467F9C" w:rsidTr="009E26F4">
        <w:trPr>
          <w:trHeight w:val="333"/>
        </w:trPr>
        <w:tc>
          <w:tcPr>
            <w:tcW w:w="5954" w:type="dxa"/>
            <w:shd w:val="clear" w:color="auto" w:fill="auto"/>
            <w:vAlign w:val="center"/>
            <w:hideMark/>
          </w:tcPr>
          <w:p w:rsidR="009E26F4" w:rsidRPr="00467F9C" w:rsidRDefault="009E26F4" w:rsidP="00191861">
            <w:pPr>
              <w:rPr>
                <w:b/>
                <w:bCs/>
                <w:sz w:val="20"/>
                <w:szCs w:val="20"/>
                <w:lang w:val="en-US"/>
              </w:rPr>
            </w:pPr>
            <w:r w:rsidRPr="00467F9C">
              <w:rPr>
                <w:b/>
                <w:bCs/>
                <w:sz w:val="20"/>
                <w:szCs w:val="20"/>
              </w:rPr>
              <w:t>Всего</w:t>
            </w:r>
          </w:p>
        </w:tc>
        <w:tc>
          <w:tcPr>
            <w:tcW w:w="912" w:type="dxa"/>
            <w:shd w:val="clear" w:color="auto" w:fill="auto"/>
            <w:noWrap/>
            <w:vAlign w:val="center"/>
            <w:hideMark/>
          </w:tcPr>
          <w:p w:rsidR="009E26F4" w:rsidRPr="00467F9C" w:rsidRDefault="009E26F4" w:rsidP="00191861">
            <w:pPr>
              <w:jc w:val="center"/>
              <w:rPr>
                <w:b/>
                <w:bCs/>
                <w:sz w:val="20"/>
                <w:szCs w:val="20"/>
              </w:rPr>
            </w:pPr>
            <w:r w:rsidRPr="00467F9C">
              <w:rPr>
                <w:b/>
                <w:bCs/>
                <w:sz w:val="20"/>
                <w:szCs w:val="20"/>
              </w:rPr>
              <w:t>50</w:t>
            </w:r>
          </w:p>
        </w:tc>
        <w:tc>
          <w:tcPr>
            <w:tcW w:w="1781" w:type="dxa"/>
            <w:shd w:val="clear" w:color="auto" w:fill="auto"/>
            <w:noWrap/>
            <w:vAlign w:val="center"/>
            <w:hideMark/>
          </w:tcPr>
          <w:p w:rsidR="009E26F4" w:rsidRPr="00467F9C" w:rsidRDefault="009E26F4" w:rsidP="00191861">
            <w:pPr>
              <w:jc w:val="right"/>
              <w:rPr>
                <w:b/>
                <w:bCs/>
                <w:sz w:val="20"/>
                <w:szCs w:val="20"/>
              </w:rPr>
            </w:pPr>
            <w:r w:rsidRPr="00467F9C">
              <w:rPr>
                <w:b/>
                <w:bCs/>
                <w:sz w:val="20"/>
                <w:szCs w:val="20"/>
              </w:rPr>
              <w:t>5 697 681,5</w:t>
            </w:r>
          </w:p>
        </w:tc>
        <w:tc>
          <w:tcPr>
            <w:tcW w:w="1276" w:type="dxa"/>
            <w:vAlign w:val="center"/>
          </w:tcPr>
          <w:p w:rsidR="009E26F4" w:rsidRPr="00467F9C" w:rsidRDefault="009E26F4" w:rsidP="00191861">
            <w:pPr>
              <w:jc w:val="center"/>
              <w:rPr>
                <w:b/>
                <w:bCs/>
                <w:sz w:val="20"/>
                <w:szCs w:val="20"/>
              </w:rPr>
            </w:pPr>
            <w:r w:rsidRPr="00467F9C">
              <w:rPr>
                <w:b/>
                <w:bCs/>
                <w:sz w:val="20"/>
                <w:szCs w:val="20"/>
              </w:rPr>
              <w:t>100,0</w:t>
            </w:r>
          </w:p>
        </w:tc>
      </w:tr>
      <w:tr w:rsidR="009E26F4" w:rsidRPr="00467F9C" w:rsidTr="009E26F4">
        <w:trPr>
          <w:trHeight w:val="480"/>
        </w:trPr>
        <w:tc>
          <w:tcPr>
            <w:tcW w:w="5954" w:type="dxa"/>
            <w:shd w:val="clear" w:color="auto" w:fill="auto"/>
            <w:vAlign w:val="center"/>
            <w:hideMark/>
          </w:tcPr>
          <w:p w:rsidR="009E26F4" w:rsidRPr="00467F9C" w:rsidRDefault="009E26F4" w:rsidP="00191861">
            <w:pPr>
              <w:rPr>
                <w:sz w:val="20"/>
                <w:szCs w:val="20"/>
              </w:rPr>
            </w:pPr>
            <w:r w:rsidRPr="00467F9C">
              <w:rPr>
                <w:sz w:val="20"/>
                <w:szCs w:val="20"/>
              </w:rPr>
              <w:t>03 14 Другие вопросы в области национальной безопасности и правоохранительной деятельности</w:t>
            </w:r>
          </w:p>
        </w:tc>
        <w:tc>
          <w:tcPr>
            <w:tcW w:w="912" w:type="dxa"/>
            <w:shd w:val="clear" w:color="auto" w:fill="auto"/>
            <w:noWrap/>
            <w:vAlign w:val="center"/>
            <w:hideMark/>
          </w:tcPr>
          <w:p w:rsidR="009E26F4" w:rsidRPr="00467F9C" w:rsidRDefault="009E26F4" w:rsidP="00191861">
            <w:pPr>
              <w:jc w:val="center"/>
              <w:rPr>
                <w:sz w:val="20"/>
                <w:szCs w:val="20"/>
              </w:rPr>
            </w:pPr>
            <w:r w:rsidRPr="00467F9C">
              <w:rPr>
                <w:sz w:val="20"/>
                <w:szCs w:val="20"/>
              </w:rPr>
              <w:t>1</w:t>
            </w:r>
          </w:p>
        </w:tc>
        <w:tc>
          <w:tcPr>
            <w:tcW w:w="1781" w:type="dxa"/>
            <w:shd w:val="clear" w:color="auto" w:fill="auto"/>
            <w:noWrap/>
            <w:vAlign w:val="center"/>
            <w:hideMark/>
          </w:tcPr>
          <w:p w:rsidR="009E26F4" w:rsidRPr="00467F9C" w:rsidRDefault="009E26F4" w:rsidP="00191861">
            <w:pPr>
              <w:jc w:val="right"/>
              <w:rPr>
                <w:sz w:val="20"/>
                <w:szCs w:val="20"/>
              </w:rPr>
            </w:pPr>
            <w:r w:rsidRPr="00467F9C">
              <w:rPr>
                <w:sz w:val="20"/>
                <w:szCs w:val="20"/>
              </w:rPr>
              <w:t>2 524,0</w:t>
            </w:r>
          </w:p>
        </w:tc>
        <w:tc>
          <w:tcPr>
            <w:tcW w:w="1276" w:type="dxa"/>
            <w:vAlign w:val="center"/>
          </w:tcPr>
          <w:p w:rsidR="009E26F4" w:rsidRPr="00467F9C" w:rsidRDefault="009E26F4" w:rsidP="00191861">
            <w:pPr>
              <w:jc w:val="center"/>
              <w:rPr>
                <w:sz w:val="20"/>
                <w:szCs w:val="20"/>
              </w:rPr>
            </w:pPr>
            <w:r w:rsidRPr="00467F9C">
              <w:rPr>
                <w:sz w:val="20"/>
                <w:szCs w:val="20"/>
              </w:rPr>
              <w:t>менее 0,1</w:t>
            </w:r>
          </w:p>
        </w:tc>
      </w:tr>
      <w:tr w:rsidR="009E26F4" w:rsidRPr="00467F9C" w:rsidTr="009E26F4">
        <w:trPr>
          <w:trHeight w:val="232"/>
        </w:trPr>
        <w:tc>
          <w:tcPr>
            <w:tcW w:w="5954" w:type="dxa"/>
            <w:shd w:val="clear" w:color="auto" w:fill="auto"/>
            <w:vAlign w:val="center"/>
            <w:hideMark/>
          </w:tcPr>
          <w:p w:rsidR="009E26F4" w:rsidRPr="00467F9C" w:rsidRDefault="009E26F4" w:rsidP="00191861">
            <w:pPr>
              <w:rPr>
                <w:sz w:val="20"/>
                <w:szCs w:val="20"/>
              </w:rPr>
            </w:pPr>
            <w:r w:rsidRPr="00467F9C">
              <w:rPr>
                <w:sz w:val="20"/>
                <w:szCs w:val="20"/>
              </w:rPr>
              <w:t>04 02 Топливно-энергетический комплекс</w:t>
            </w:r>
          </w:p>
        </w:tc>
        <w:tc>
          <w:tcPr>
            <w:tcW w:w="912" w:type="dxa"/>
            <w:shd w:val="clear" w:color="auto" w:fill="auto"/>
            <w:noWrap/>
            <w:vAlign w:val="center"/>
            <w:hideMark/>
          </w:tcPr>
          <w:p w:rsidR="009E26F4" w:rsidRPr="00467F9C" w:rsidRDefault="009E26F4" w:rsidP="00191861">
            <w:pPr>
              <w:jc w:val="center"/>
              <w:rPr>
                <w:sz w:val="20"/>
                <w:szCs w:val="20"/>
              </w:rPr>
            </w:pPr>
            <w:r w:rsidRPr="00467F9C">
              <w:rPr>
                <w:sz w:val="20"/>
                <w:szCs w:val="20"/>
              </w:rPr>
              <w:t>3</w:t>
            </w:r>
          </w:p>
        </w:tc>
        <w:tc>
          <w:tcPr>
            <w:tcW w:w="1781" w:type="dxa"/>
            <w:shd w:val="clear" w:color="auto" w:fill="auto"/>
            <w:noWrap/>
            <w:vAlign w:val="center"/>
            <w:hideMark/>
          </w:tcPr>
          <w:p w:rsidR="009E26F4" w:rsidRPr="00467F9C" w:rsidRDefault="009E26F4" w:rsidP="00191861">
            <w:pPr>
              <w:jc w:val="right"/>
              <w:rPr>
                <w:sz w:val="20"/>
                <w:szCs w:val="20"/>
              </w:rPr>
            </w:pPr>
            <w:r w:rsidRPr="00467F9C">
              <w:rPr>
                <w:sz w:val="20"/>
                <w:szCs w:val="20"/>
              </w:rPr>
              <w:t>132 466,6</w:t>
            </w:r>
          </w:p>
        </w:tc>
        <w:tc>
          <w:tcPr>
            <w:tcW w:w="1276" w:type="dxa"/>
            <w:vAlign w:val="center"/>
          </w:tcPr>
          <w:p w:rsidR="009E26F4" w:rsidRPr="00467F9C" w:rsidRDefault="009E26F4" w:rsidP="00191861">
            <w:pPr>
              <w:jc w:val="center"/>
              <w:rPr>
                <w:sz w:val="20"/>
                <w:szCs w:val="20"/>
              </w:rPr>
            </w:pPr>
            <w:r w:rsidRPr="00467F9C">
              <w:rPr>
                <w:sz w:val="20"/>
                <w:szCs w:val="20"/>
              </w:rPr>
              <w:t>2,3</w:t>
            </w:r>
          </w:p>
        </w:tc>
      </w:tr>
      <w:tr w:rsidR="009E26F4" w:rsidRPr="00467F9C" w:rsidTr="009E26F4">
        <w:trPr>
          <w:trHeight w:val="278"/>
        </w:trPr>
        <w:tc>
          <w:tcPr>
            <w:tcW w:w="5954" w:type="dxa"/>
            <w:shd w:val="clear" w:color="auto" w:fill="auto"/>
            <w:vAlign w:val="center"/>
            <w:hideMark/>
          </w:tcPr>
          <w:p w:rsidR="009E26F4" w:rsidRPr="00467F9C" w:rsidRDefault="009E26F4" w:rsidP="00191861">
            <w:pPr>
              <w:rPr>
                <w:sz w:val="20"/>
                <w:szCs w:val="20"/>
              </w:rPr>
            </w:pPr>
            <w:r w:rsidRPr="00467F9C">
              <w:rPr>
                <w:sz w:val="20"/>
                <w:szCs w:val="20"/>
              </w:rPr>
              <w:t>04 05 Сельское хозяйство и рыболовство</w:t>
            </w:r>
          </w:p>
        </w:tc>
        <w:tc>
          <w:tcPr>
            <w:tcW w:w="912" w:type="dxa"/>
            <w:shd w:val="clear" w:color="auto" w:fill="auto"/>
            <w:noWrap/>
            <w:vAlign w:val="center"/>
            <w:hideMark/>
          </w:tcPr>
          <w:p w:rsidR="009E26F4" w:rsidRPr="00467F9C" w:rsidRDefault="009E26F4" w:rsidP="00191861">
            <w:pPr>
              <w:jc w:val="center"/>
              <w:rPr>
                <w:sz w:val="20"/>
                <w:szCs w:val="20"/>
              </w:rPr>
            </w:pPr>
            <w:r w:rsidRPr="00467F9C">
              <w:rPr>
                <w:sz w:val="20"/>
                <w:szCs w:val="20"/>
              </w:rPr>
              <w:t>1</w:t>
            </w:r>
          </w:p>
        </w:tc>
        <w:tc>
          <w:tcPr>
            <w:tcW w:w="1781" w:type="dxa"/>
            <w:shd w:val="clear" w:color="auto" w:fill="auto"/>
            <w:noWrap/>
            <w:vAlign w:val="center"/>
            <w:hideMark/>
          </w:tcPr>
          <w:p w:rsidR="009E26F4" w:rsidRPr="00467F9C" w:rsidRDefault="009E26F4" w:rsidP="00191861">
            <w:pPr>
              <w:jc w:val="right"/>
              <w:rPr>
                <w:sz w:val="20"/>
                <w:szCs w:val="20"/>
              </w:rPr>
            </w:pPr>
            <w:r w:rsidRPr="00467F9C">
              <w:rPr>
                <w:sz w:val="20"/>
                <w:szCs w:val="20"/>
              </w:rPr>
              <w:t>450,0</w:t>
            </w:r>
          </w:p>
        </w:tc>
        <w:tc>
          <w:tcPr>
            <w:tcW w:w="1276" w:type="dxa"/>
            <w:vAlign w:val="center"/>
          </w:tcPr>
          <w:p w:rsidR="009E26F4" w:rsidRPr="00467F9C" w:rsidRDefault="009E26F4" w:rsidP="00191861">
            <w:pPr>
              <w:jc w:val="center"/>
              <w:rPr>
                <w:sz w:val="20"/>
                <w:szCs w:val="20"/>
              </w:rPr>
            </w:pPr>
            <w:r w:rsidRPr="00467F9C">
              <w:rPr>
                <w:sz w:val="20"/>
                <w:szCs w:val="20"/>
              </w:rPr>
              <w:t>менее 0,1</w:t>
            </w:r>
          </w:p>
        </w:tc>
      </w:tr>
      <w:tr w:rsidR="009E26F4" w:rsidRPr="00467F9C" w:rsidTr="009E26F4">
        <w:trPr>
          <w:trHeight w:val="268"/>
        </w:trPr>
        <w:tc>
          <w:tcPr>
            <w:tcW w:w="5954" w:type="dxa"/>
            <w:shd w:val="clear" w:color="auto" w:fill="auto"/>
            <w:vAlign w:val="center"/>
            <w:hideMark/>
          </w:tcPr>
          <w:p w:rsidR="009E26F4" w:rsidRPr="00467F9C" w:rsidRDefault="009E26F4" w:rsidP="00191861">
            <w:pPr>
              <w:rPr>
                <w:sz w:val="20"/>
                <w:szCs w:val="20"/>
              </w:rPr>
            </w:pPr>
            <w:r w:rsidRPr="00467F9C">
              <w:rPr>
                <w:sz w:val="20"/>
                <w:szCs w:val="20"/>
              </w:rPr>
              <w:t xml:space="preserve">04 08 Транспорт </w:t>
            </w:r>
          </w:p>
        </w:tc>
        <w:tc>
          <w:tcPr>
            <w:tcW w:w="912" w:type="dxa"/>
            <w:shd w:val="clear" w:color="auto" w:fill="auto"/>
            <w:noWrap/>
            <w:vAlign w:val="center"/>
            <w:hideMark/>
          </w:tcPr>
          <w:p w:rsidR="009E26F4" w:rsidRPr="00467F9C" w:rsidRDefault="009E26F4" w:rsidP="00191861">
            <w:pPr>
              <w:jc w:val="center"/>
              <w:rPr>
                <w:sz w:val="20"/>
                <w:szCs w:val="20"/>
              </w:rPr>
            </w:pPr>
            <w:r w:rsidRPr="00467F9C">
              <w:rPr>
                <w:sz w:val="20"/>
                <w:szCs w:val="20"/>
              </w:rPr>
              <w:t>1</w:t>
            </w:r>
          </w:p>
        </w:tc>
        <w:tc>
          <w:tcPr>
            <w:tcW w:w="1781" w:type="dxa"/>
            <w:shd w:val="clear" w:color="auto" w:fill="auto"/>
            <w:noWrap/>
            <w:vAlign w:val="center"/>
            <w:hideMark/>
          </w:tcPr>
          <w:p w:rsidR="009E26F4" w:rsidRPr="00467F9C" w:rsidRDefault="009E26F4" w:rsidP="00191861">
            <w:pPr>
              <w:jc w:val="right"/>
              <w:rPr>
                <w:sz w:val="20"/>
                <w:szCs w:val="20"/>
              </w:rPr>
            </w:pPr>
            <w:r w:rsidRPr="00467F9C">
              <w:rPr>
                <w:sz w:val="20"/>
                <w:szCs w:val="20"/>
              </w:rPr>
              <w:t>317 827,0</w:t>
            </w:r>
          </w:p>
        </w:tc>
        <w:tc>
          <w:tcPr>
            <w:tcW w:w="1276" w:type="dxa"/>
            <w:vAlign w:val="center"/>
          </w:tcPr>
          <w:p w:rsidR="009E26F4" w:rsidRPr="00467F9C" w:rsidRDefault="009E26F4" w:rsidP="00191861">
            <w:pPr>
              <w:jc w:val="center"/>
              <w:rPr>
                <w:sz w:val="20"/>
                <w:szCs w:val="20"/>
              </w:rPr>
            </w:pPr>
            <w:r w:rsidRPr="00467F9C">
              <w:rPr>
                <w:sz w:val="20"/>
                <w:szCs w:val="20"/>
              </w:rPr>
              <w:t>5,6</w:t>
            </w:r>
          </w:p>
        </w:tc>
      </w:tr>
      <w:tr w:rsidR="009E26F4" w:rsidRPr="00467F9C" w:rsidTr="009E26F4">
        <w:trPr>
          <w:trHeight w:val="323"/>
        </w:trPr>
        <w:tc>
          <w:tcPr>
            <w:tcW w:w="5954" w:type="dxa"/>
            <w:shd w:val="clear" w:color="auto" w:fill="auto"/>
            <w:vAlign w:val="center"/>
            <w:hideMark/>
          </w:tcPr>
          <w:p w:rsidR="009E26F4" w:rsidRPr="00467F9C" w:rsidRDefault="009E26F4" w:rsidP="00191861">
            <w:pPr>
              <w:rPr>
                <w:sz w:val="20"/>
                <w:szCs w:val="20"/>
              </w:rPr>
            </w:pPr>
            <w:r w:rsidRPr="00467F9C">
              <w:rPr>
                <w:sz w:val="20"/>
                <w:szCs w:val="20"/>
              </w:rPr>
              <w:t>04 09 Дорожное хозяйство (дорожные фонды)</w:t>
            </w:r>
          </w:p>
        </w:tc>
        <w:tc>
          <w:tcPr>
            <w:tcW w:w="912" w:type="dxa"/>
            <w:shd w:val="clear" w:color="auto" w:fill="auto"/>
            <w:noWrap/>
            <w:vAlign w:val="center"/>
            <w:hideMark/>
          </w:tcPr>
          <w:p w:rsidR="009E26F4" w:rsidRPr="00467F9C" w:rsidRDefault="009E26F4" w:rsidP="00191861">
            <w:pPr>
              <w:jc w:val="center"/>
              <w:rPr>
                <w:sz w:val="20"/>
                <w:szCs w:val="20"/>
              </w:rPr>
            </w:pPr>
            <w:r w:rsidRPr="00467F9C">
              <w:rPr>
                <w:sz w:val="20"/>
                <w:szCs w:val="20"/>
              </w:rPr>
              <w:t>29</w:t>
            </w:r>
          </w:p>
        </w:tc>
        <w:tc>
          <w:tcPr>
            <w:tcW w:w="1781" w:type="dxa"/>
            <w:shd w:val="clear" w:color="auto" w:fill="auto"/>
            <w:noWrap/>
            <w:vAlign w:val="center"/>
            <w:hideMark/>
          </w:tcPr>
          <w:p w:rsidR="009E26F4" w:rsidRPr="00467F9C" w:rsidRDefault="009E26F4" w:rsidP="00191861">
            <w:pPr>
              <w:jc w:val="right"/>
              <w:rPr>
                <w:sz w:val="20"/>
                <w:szCs w:val="20"/>
              </w:rPr>
            </w:pPr>
            <w:r w:rsidRPr="00467F9C">
              <w:rPr>
                <w:sz w:val="20"/>
                <w:szCs w:val="20"/>
              </w:rPr>
              <w:t>5 035 642,8</w:t>
            </w:r>
          </w:p>
        </w:tc>
        <w:tc>
          <w:tcPr>
            <w:tcW w:w="1276" w:type="dxa"/>
            <w:vAlign w:val="center"/>
          </w:tcPr>
          <w:p w:rsidR="009E26F4" w:rsidRPr="00467F9C" w:rsidRDefault="009E26F4" w:rsidP="00191861">
            <w:pPr>
              <w:jc w:val="center"/>
              <w:rPr>
                <w:sz w:val="20"/>
                <w:szCs w:val="20"/>
              </w:rPr>
            </w:pPr>
            <w:r w:rsidRPr="00467F9C">
              <w:rPr>
                <w:sz w:val="20"/>
                <w:szCs w:val="20"/>
              </w:rPr>
              <w:t>88,4</w:t>
            </w:r>
          </w:p>
        </w:tc>
      </w:tr>
      <w:tr w:rsidR="009E26F4" w:rsidRPr="00467F9C" w:rsidTr="009E26F4">
        <w:trPr>
          <w:trHeight w:val="246"/>
        </w:trPr>
        <w:tc>
          <w:tcPr>
            <w:tcW w:w="5954" w:type="dxa"/>
            <w:shd w:val="clear" w:color="auto" w:fill="auto"/>
            <w:vAlign w:val="center"/>
            <w:hideMark/>
          </w:tcPr>
          <w:p w:rsidR="009E26F4" w:rsidRPr="00467F9C" w:rsidRDefault="009E26F4" w:rsidP="00191861">
            <w:pPr>
              <w:rPr>
                <w:sz w:val="20"/>
                <w:szCs w:val="20"/>
              </w:rPr>
            </w:pPr>
            <w:r w:rsidRPr="00467F9C">
              <w:rPr>
                <w:sz w:val="20"/>
                <w:szCs w:val="20"/>
              </w:rPr>
              <w:t>05 02 Коммунальное хозяйство</w:t>
            </w:r>
          </w:p>
        </w:tc>
        <w:tc>
          <w:tcPr>
            <w:tcW w:w="912" w:type="dxa"/>
            <w:shd w:val="clear" w:color="auto" w:fill="auto"/>
            <w:noWrap/>
            <w:vAlign w:val="center"/>
            <w:hideMark/>
          </w:tcPr>
          <w:p w:rsidR="009E26F4" w:rsidRPr="00467F9C" w:rsidRDefault="009E26F4" w:rsidP="00191861">
            <w:pPr>
              <w:jc w:val="center"/>
              <w:rPr>
                <w:sz w:val="20"/>
                <w:szCs w:val="20"/>
              </w:rPr>
            </w:pPr>
            <w:r w:rsidRPr="00467F9C">
              <w:rPr>
                <w:sz w:val="20"/>
                <w:szCs w:val="20"/>
              </w:rPr>
              <w:t>1</w:t>
            </w:r>
          </w:p>
        </w:tc>
        <w:tc>
          <w:tcPr>
            <w:tcW w:w="1781" w:type="dxa"/>
            <w:shd w:val="clear" w:color="auto" w:fill="auto"/>
            <w:noWrap/>
            <w:vAlign w:val="center"/>
            <w:hideMark/>
          </w:tcPr>
          <w:p w:rsidR="009E26F4" w:rsidRPr="00467F9C" w:rsidRDefault="009E26F4" w:rsidP="00191861">
            <w:pPr>
              <w:jc w:val="right"/>
              <w:rPr>
                <w:sz w:val="20"/>
                <w:szCs w:val="20"/>
              </w:rPr>
            </w:pPr>
            <w:r w:rsidRPr="00467F9C">
              <w:rPr>
                <w:sz w:val="20"/>
                <w:szCs w:val="20"/>
              </w:rPr>
              <w:t>7 887,0</w:t>
            </w:r>
          </w:p>
        </w:tc>
        <w:tc>
          <w:tcPr>
            <w:tcW w:w="1276" w:type="dxa"/>
            <w:vAlign w:val="center"/>
          </w:tcPr>
          <w:p w:rsidR="009E26F4" w:rsidRPr="00467F9C" w:rsidRDefault="009E26F4" w:rsidP="00191861">
            <w:pPr>
              <w:jc w:val="center"/>
              <w:rPr>
                <w:sz w:val="20"/>
                <w:szCs w:val="20"/>
              </w:rPr>
            </w:pPr>
            <w:r w:rsidRPr="00467F9C">
              <w:rPr>
                <w:sz w:val="20"/>
                <w:szCs w:val="20"/>
              </w:rPr>
              <w:t>0,1</w:t>
            </w:r>
          </w:p>
        </w:tc>
      </w:tr>
      <w:tr w:rsidR="009E26F4" w:rsidRPr="00467F9C" w:rsidTr="009E26F4">
        <w:trPr>
          <w:trHeight w:val="324"/>
        </w:trPr>
        <w:tc>
          <w:tcPr>
            <w:tcW w:w="5954" w:type="dxa"/>
            <w:shd w:val="clear" w:color="auto" w:fill="auto"/>
            <w:vAlign w:val="center"/>
            <w:hideMark/>
          </w:tcPr>
          <w:p w:rsidR="009E26F4" w:rsidRPr="00467F9C" w:rsidRDefault="009E26F4" w:rsidP="00191861">
            <w:pPr>
              <w:rPr>
                <w:sz w:val="20"/>
                <w:szCs w:val="20"/>
              </w:rPr>
            </w:pPr>
            <w:r w:rsidRPr="00467F9C">
              <w:rPr>
                <w:sz w:val="20"/>
                <w:szCs w:val="20"/>
              </w:rPr>
              <w:t>07 01 Дошкольное образование</w:t>
            </w:r>
          </w:p>
        </w:tc>
        <w:tc>
          <w:tcPr>
            <w:tcW w:w="912" w:type="dxa"/>
            <w:shd w:val="clear" w:color="auto" w:fill="auto"/>
            <w:noWrap/>
            <w:vAlign w:val="center"/>
            <w:hideMark/>
          </w:tcPr>
          <w:p w:rsidR="009E26F4" w:rsidRPr="00467F9C" w:rsidRDefault="009E26F4" w:rsidP="00191861">
            <w:pPr>
              <w:jc w:val="center"/>
              <w:rPr>
                <w:sz w:val="20"/>
                <w:szCs w:val="20"/>
              </w:rPr>
            </w:pPr>
            <w:r w:rsidRPr="00467F9C">
              <w:rPr>
                <w:sz w:val="20"/>
                <w:szCs w:val="20"/>
              </w:rPr>
              <w:t>1</w:t>
            </w:r>
          </w:p>
        </w:tc>
        <w:tc>
          <w:tcPr>
            <w:tcW w:w="1781" w:type="dxa"/>
            <w:shd w:val="clear" w:color="auto" w:fill="auto"/>
            <w:noWrap/>
            <w:vAlign w:val="center"/>
            <w:hideMark/>
          </w:tcPr>
          <w:p w:rsidR="009E26F4" w:rsidRPr="00467F9C" w:rsidRDefault="009E26F4" w:rsidP="00191861">
            <w:pPr>
              <w:jc w:val="right"/>
              <w:rPr>
                <w:sz w:val="20"/>
                <w:szCs w:val="20"/>
              </w:rPr>
            </w:pPr>
            <w:r w:rsidRPr="00467F9C">
              <w:rPr>
                <w:sz w:val="20"/>
                <w:szCs w:val="20"/>
              </w:rPr>
              <w:t>69 957,0</w:t>
            </w:r>
          </w:p>
        </w:tc>
        <w:tc>
          <w:tcPr>
            <w:tcW w:w="1276" w:type="dxa"/>
            <w:vAlign w:val="center"/>
          </w:tcPr>
          <w:p w:rsidR="009E26F4" w:rsidRPr="00467F9C" w:rsidRDefault="009E26F4" w:rsidP="00191861">
            <w:pPr>
              <w:jc w:val="center"/>
              <w:rPr>
                <w:sz w:val="20"/>
                <w:szCs w:val="20"/>
              </w:rPr>
            </w:pPr>
            <w:r w:rsidRPr="00467F9C">
              <w:rPr>
                <w:sz w:val="20"/>
                <w:szCs w:val="20"/>
              </w:rPr>
              <w:t>1,2</w:t>
            </w:r>
          </w:p>
        </w:tc>
      </w:tr>
      <w:tr w:rsidR="009E26F4" w:rsidRPr="00467F9C" w:rsidTr="009E26F4">
        <w:trPr>
          <w:trHeight w:val="260"/>
        </w:trPr>
        <w:tc>
          <w:tcPr>
            <w:tcW w:w="5954" w:type="dxa"/>
            <w:shd w:val="clear" w:color="auto" w:fill="auto"/>
            <w:vAlign w:val="center"/>
            <w:hideMark/>
          </w:tcPr>
          <w:p w:rsidR="009E26F4" w:rsidRPr="00467F9C" w:rsidRDefault="009E26F4" w:rsidP="00191861">
            <w:pPr>
              <w:rPr>
                <w:sz w:val="20"/>
                <w:szCs w:val="20"/>
              </w:rPr>
            </w:pPr>
            <w:r w:rsidRPr="00467F9C">
              <w:rPr>
                <w:sz w:val="20"/>
                <w:szCs w:val="20"/>
              </w:rPr>
              <w:t>07 02 Общее образование</w:t>
            </w:r>
          </w:p>
        </w:tc>
        <w:tc>
          <w:tcPr>
            <w:tcW w:w="912" w:type="dxa"/>
            <w:shd w:val="clear" w:color="auto" w:fill="auto"/>
            <w:noWrap/>
            <w:vAlign w:val="center"/>
            <w:hideMark/>
          </w:tcPr>
          <w:p w:rsidR="009E26F4" w:rsidRPr="00467F9C" w:rsidRDefault="009E26F4" w:rsidP="00191861">
            <w:pPr>
              <w:jc w:val="center"/>
              <w:rPr>
                <w:sz w:val="20"/>
                <w:szCs w:val="20"/>
              </w:rPr>
            </w:pPr>
            <w:r w:rsidRPr="00467F9C">
              <w:rPr>
                <w:sz w:val="20"/>
                <w:szCs w:val="20"/>
              </w:rPr>
              <w:t>3</w:t>
            </w:r>
          </w:p>
        </w:tc>
        <w:tc>
          <w:tcPr>
            <w:tcW w:w="1781" w:type="dxa"/>
            <w:shd w:val="clear" w:color="auto" w:fill="auto"/>
            <w:noWrap/>
            <w:vAlign w:val="center"/>
            <w:hideMark/>
          </w:tcPr>
          <w:p w:rsidR="009E26F4" w:rsidRPr="00467F9C" w:rsidRDefault="009E26F4" w:rsidP="00191861">
            <w:pPr>
              <w:jc w:val="right"/>
              <w:rPr>
                <w:sz w:val="20"/>
                <w:szCs w:val="20"/>
              </w:rPr>
            </w:pPr>
            <w:r w:rsidRPr="00467F9C">
              <w:rPr>
                <w:sz w:val="20"/>
                <w:szCs w:val="20"/>
              </w:rPr>
              <w:t>45 791,3</w:t>
            </w:r>
          </w:p>
        </w:tc>
        <w:tc>
          <w:tcPr>
            <w:tcW w:w="1276" w:type="dxa"/>
            <w:vAlign w:val="center"/>
          </w:tcPr>
          <w:p w:rsidR="009E26F4" w:rsidRPr="00467F9C" w:rsidRDefault="009E26F4" w:rsidP="00191861">
            <w:pPr>
              <w:jc w:val="center"/>
              <w:rPr>
                <w:sz w:val="20"/>
                <w:szCs w:val="20"/>
              </w:rPr>
            </w:pPr>
            <w:r w:rsidRPr="00467F9C">
              <w:rPr>
                <w:sz w:val="20"/>
                <w:szCs w:val="20"/>
              </w:rPr>
              <w:t>0,8</w:t>
            </w:r>
          </w:p>
        </w:tc>
      </w:tr>
      <w:tr w:rsidR="009E26F4" w:rsidRPr="00467F9C" w:rsidTr="009E26F4">
        <w:trPr>
          <w:trHeight w:val="338"/>
        </w:trPr>
        <w:tc>
          <w:tcPr>
            <w:tcW w:w="5954" w:type="dxa"/>
            <w:shd w:val="clear" w:color="auto" w:fill="auto"/>
            <w:vAlign w:val="center"/>
            <w:hideMark/>
          </w:tcPr>
          <w:p w:rsidR="009E26F4" w:rsidRPr="00467F9C" w:rsidRDefault="009E26F4" w:rsidP="00191861">
            <w:pPr>
              <w:rPr>
                <w:sz w:val="20"/>
                <w:szCs w:val="20"/>
              </w:rPr>
            </w:pPr>
            <w:r w:rsidRPr="00467F9C">
              <w:rPr>
                <w:sz w:val="20"/>
                <w:szCs w:val="20"/>
              </w:rPr>
              <w:t>08 04 Другие вопросы в области культуры, кинематографии</w:t>
            </w:r>
          </w:p>
        </w:tc>
        <w:tc>
          <w:tcPr>
            <w:tcW w:w="912" w:type="dxa"/>
            <w:shd w:val="clear" w:color="auto" w:fill="auto"/>
            <w:noWrap/>
            <w:vAlign w:val="center"/>
            <w:hideMark/>
          </w:tcPr>
          <w:p w:rsidR="009E26F4" w:rsidRPr="00467F9C" w:rsidRDefault="009E26F4" w:rsidP="00191861">
            <w:pPr>
              <w:jc w:val="center"/>
              <w:rPr>
                <w:sz w:val="20"/>
                <w:szCs w:val="20"/>
              </w:rPr>
            </w:pPr>
            <w:r w:rsidRPr="00467F9C">
              <w:rPr>
                <w:sz w:val="20"/>
                <w:szCs w:val="20"/>
              </w:rPr>
              <w:t>1</w:t>
            </w:r>
          </w:p>
        </w:tc>
        <w:tc>
          <w:tcPr>
            <w:tcW w:w="1781" w:type="dxa"/>
            <w:shd w:val="clear" w:color="auto" w:fill="auto"/>
            <w:noWrap/>
            <w:vAlign w:val="center"/>
            <w:hideMark/>
          </w:tcPr>
          <w:p w:rsidR="009E26F4" w:rsidRPr="00467F9C" w:rsidRDefault="009E26F4" w:rsidP="00191861">
            <w:pPr>
              <w:jc w:val="right"/>
              <w:rPr>
                <w:sz w:val="20"/>
                <w:szCs w:val="20"/>
              </w:rPr>
            </w:pPr>
            <w:r w:rsidRPr="00467F9C">
              <w:rPr>
                <w:sz w:val="20"/>
                <w:szCs w:val="20"/>
              </w:rPr>
              <w:t>3 996,0</w:t>
            </w:r>
          </w:p>
        </w:tc>
        <w:tc>
          <w:tcPr>
            <w:tcW w:w="1276" w:type="dxa"/>
            <w:vAlign w:val="center"/>
          </w:tcPr>
          <w:p w:rsidR="009E26F4" w:rsidRPr="00467F9C" w:rsidRDefault="009E26F4" w:rsidP="00191861">
            <w:pPr>
              <w:jc w:val="center"/>
              <w:rPr>
                <w:sz w:val="20"/>
                <w:szCs w:val="20"/>
              </w:rPr>
            </w:pPr>
            <w:r w:rsidRPr="00467F9C">
              <w:rPr>
                <w:sz w:val="20"/>
                <w:szCs w:val="20"/>
              </w:rPr>
              <w:t>0,1</w:t>
            </w:r>
          </w:p>
        </w:tc>
      </w:tr>
      <w:tr w:rsidR="009E26F4" w:rsidRPr="00467F9C" w:rsidTr="009E26F4">
        <w:trPr>
          <w:trHeight w:val="274"/>
        </w:trPr>
        <w:tc>
          <w:tcPr>
            <w:tcW w:w="5954" w:type="dxa"/>
            <w:shd w:val="clear" w:color="auto" w:fill="auto"/>
            <w:vAlign w:val="center"/>
            <w:hideMark/>
          </w:tcPr>
          <w:p w:rsidR="009E26F4" w:rsidRPr="00467F9C" w:rsidRDefault="009E26F4" w:rsidP="00191861">
            <w:pPr>
              <w:rPr>
                <w:sz w:val="20"/>
                <w:szCs w:val="20"/>
              </w:rPr>
            </w:pPr>
            <w:r w:rsidRPr="00467F9C">
              <w:rPr>
                <w:sz w:val="20"/>
                <w:szCs w:val="20"/>
              </w:rPr>
              <w:t>09 09 Другие вопросы в области здравоохранения</w:t>
            </w:r>
          </w:p>
        </w:tc>
        <w:tc>
          <w:tcPr>
            <w:tcW w:w="912" w:type="dxa"/>
            <w:shd w:val="clear" w:color="auto" w:fill="auto"/>
            <w:noWrap/>
            <w:vAlign w:val="center"/>
            <w:hideMark/>
          </w:tcPr>
          <w:p w:rsidR="009E26F4" w:rsidRPr="00467F9C" w:rsidRDefault="009E26F4" w:rsidP="00191861">
            <w:pPr>
              <w:jc w:val="center"/>
              <w:rPr>
                <w:sz w:val="20"/>
                <w:szCs w:val="20"/>
              </w:rPr>
            </w:pPr>
            <w:r w:rsidRPr="00467F9C">
              <w:rPr>
                <w:sz w:val="20"/>
                <w:szCs w:val="20"/>
              </w:rPr>
              <w:t>5</w:t>
            </w:r>
          </w:p>
        </w:tc>
        <w:tc>
          <w:tcPr>
            <w:tcW w:w="1781" w:type="dxa"/>
            <w:shd w:val="clear" w:color="auto" w:fill="auto"/>
            <w:noWrap/>
            <w:vAlign w:val="center"/>
            <w:hideMark/>
          </w:tcPr>
          <w:p w:rsidR="009E26F4" w:rsidRPr="00467F9C" w:rsidRDefault="009E26F4" w:rsidP="00191861">
            <w:pPr>
              <w:jc w:val="right"/>
              <w:rPr>
                <w:sz w:val="20"/>
                <w:szCs w:val="20"/>
              </w:rPr>
            </w:pPr>
            <w:r w:rsidRPr="00467F9C">
              <w:rPr>
                <w:sz w:val="20"/>
                <w:szCs w:val="20"/>
              </w:rPr>
              <w:t>20 838,2</w:t>
            </w:r>
          </w:p>
        </w:tc>
        <w:tc>
          <w:tcPr>
            <w:tcW w:w="1276" w:type="dxa"/>
            <w:vAlign w:val="center"/>
          </w:tcPr>
          <w:p w:rsidR="009E26F4" w:rsidRPr="00467F9C" w:rsidRDefault="009E26F4" w:rsidP="00191861">
            <w:pPr>
              <w:jc w:val="center"/>
              <w:rPr>
                <w:sz w:val="20"/>
                <w:szCs w:val="20"/>
              </w:rPr>
            </w:pPr>
            <w:r w:rsidRPr="00467F9C">
              <w:rPr>
                <w:sz w:val="20"/>
                <w:szCs w:val="20"/>
              </w:rPr>
              <w:t>0,4</w:t>
            </w:r>
          </w:p>
        </w:tc>
      </w:tr>
      <w:tr w:rsidR="009E26F4" w:rsidRPr="00467F9C" w:rsidTr="009E26F4">
        <w:trPr>
          <w:trHeight w:val="278"/>
        </w:trPr>
        <w:tc>
          <w:tcPr>
            <w:tcW w:w="5954" w:type="dxa"/>
            <w:shd w:val="clear" w:color="auto" w:fill="auto"/>
            <w:vAlign w:val="center"/>
            <w:hideMark/>
          </w:tcPr>
          <w:p w:rsidR="009E26F4" w:rsidRPr="00467F9C" w:rsidRDefault="009E26F4" w:rsidP="00191861">
            <w:pPr>
              <w:rPr>
                <w:sz w:val="20"/>
                <w:szCs w:val="20"/>
              </w:rPr>
            </w:pPr>
            <w:r w:rsidRPr="00467F9C">
              <w:rPr>
                <w:sz w:val="20"/>
                <w:szCs w:val="20"/>
              </w:rPr>
              <w:t>10 02 Социальное обслуживание населения</w:t>
            </w:r>
          </w:p>
        </w:tc>
        <w:tc>
          <w:tcPr>
            <w:tcW w:w="912" w:type="dxa"/>
            <w:shd w:val="clear" w:color="auto" w:fill="auto"/>
            <w:noWrap/>
            <w:vAlign w:val="center"/>
            <w:hideMark/>
          </w:tcPr>
          <w:p w:rsidR="009E26F4" w:rsidRPr="00467F9C" w:rsidRDefault="009E26F4" w:rsidP="00191861">
            <w:pPr>
              <w:jc w:val="center"/>
              <w:rPr>
                <w:sz w:val="20"/>
                <w:szCs w:val="20"/>
              </w:rPr>
            </w:pPr>
            <w:r w:rsidRPr="00467F9C">
              <w:rPr>
                <w:sz w:val="20"/>
                <w:szCs w:val="20"/>
              </w:rPr>
              <w:t>1</w:t>
            </w:r>
          </w:p>
        </w:tc>
        <w:tc>
          <w:tcPr>
            <w:tcW w:w="1781" w:type="dxa"/>
            <w:shd w:val="clear" w:color="auto" w:fill="auto"/>
            <w:noWrap/>
            <w:vAlign w:val="center"/>
            <w:hideMark/>
          </w:tcPr>
          <w:p w:rsidR="009E26F4" w:rsidRPr="00467F9C" w:rsidRDefault="009E26F4" w:rsidP="00191861">
            <w:pPr>
              <w:jc w:val="right"/>
              <w:rPr>
                <w:sz w:val="20"/>
                <w:szCs w:val="20"/>
              </w:rPr>
            </w:pPr>
            <w:r w:rsidRPr="00467F9C">
              <w:rPr>
                <w:sz w:val="20"/>
                <w:szCs w:val="20"/>
              </w:rPr>
              <w:t>287,3</w:t>
            </w:r>
          </w:p>
        </w:tc>
        <w:tc>
          <w:tcPr>
            <w:tcW w:w="1276" w:type="dxa"/>
            <w:vAlign w:val="center"/>
          </w:tcPr>
          <w:p w:rsidR="009E26F4" w:rsidRPr="00467F9C" w:rsidRDefault="009E26F4" w:rsidP="00191861">
            <w:pPr>
              <w:jc w:val="center"/>
              <w:rPr>
                <w:sz w:val="20"/>
                <w:szCs w:val="20"/>
              </w:rPr>
            </w:pPr>
            <w:r w:rsidRPr="00467F9C">
              <w:rPr>
                <w:sz w:val="20"/>
                <w:szCs w:val="20"/>
              </w:rPr>
              <w:t>менее 0,1</w:t>
            </w:r>
          </w:p>
        </w:tc>
      </w:tr>
      <w:tr w:rsidR="009E26F4" w:rsidRPr="00467F9C" w:rsidTr="009E26F4">
        <w:trPr>
          <w:trHeight w:val="287"/>
        </w:trPr>
        <w:tc>
          <w:tcPr>
            <w:tcW w:w="5954" w:type="dxa"/>
            <w:shd w:val="clear" w:color="auto" w:fill="auto"/>
            <w:vAlign w:val="center"/>
            <w:hideMark/>
          </w:tcPr>
          <w:p w:rsidR="009E26F4" w:rsidRPr="00467F9C" w:rsidRDefault="009E26F4" w:rsidP="00191861">
            <w:pPr>
              <w:jc w:val="both"/>
              <w:rPr>
                <w:sz w:val="20"/>
                <w:szCs w:val="20"/>
              </w:rPr>
            </w:pPr>
            <w:r w:rsidRPr="00467F9C">
              <w:rPr>
                <w:sz w:val="20"/>
                <w:szCs w:val="20"/>
              </w:rPr>
              <w:t>11 01 Физическая культура</w:t>
            </w:r>
          </w:p>
        </w:tc>
        <w:tc>
          <w:tcPr>
            <w:tcW w:w="912" w:type="dxa"/>
            <w:shd w:val="clear" w:color="auto" w:fill="auto"/>
            <w:noWrap/>
            <w:vAlign w:val="center"/>
            <w:hideMark/>
          </w:tcPr>
          <w:p w:rsidR="009E26F4" w:rsidRPr="00467F9C" w:rsidRDefault="009E26F4" w:rsidP="00191861">
            <w:pPr>
              <w:jc w:val="center"/>
              <w:rPr>
                <w:sz w:val="20"/>
                <w:szCs w:val="20"/>
              </w:rPr>
            </w:pPr>
            <w:r w:rsidRPr="00467F9C">
              <w:rPr>
                <w:sz w:val="20"/>
                <w:szCs w:val="20"/>
              </w:rPr>
              <w:t>3</w:t>
            </w:r>
          </w:p>
        </w:tc>
        <w:tc>
          <w:tcPr>
            <w:tcW w:w="1781" w:type="dxa"/>
            <w:shd w:val="clear" w:color="auto" w:fill="auto"/>
            <w:noWrap/>
            <w:vAlign w:val="center"/>
            <w:hideMark/>
          </w:tcPr>
          <w:p w:rsidR="009E26F4" w:rsidRPr="00467F9C" w:rsidRDefault="009E26F4" w:rsidP="00191861">
            <w:pPr>
              <w:jc w:val="right"/>
              <w:rPr>
                <w:sz w:val="20"/>
                <w:szCs w:val="20"/>
              </w:rPr>
            </w:pPr>
            <w:r w:rsidRPr="00467F9C">
              <w:rPr>
                <w:sz w:val="20"/>
                <w:szCs w:val="20"/>
              </w:rPr>
              <w:t>60 014,3</w:t>
            </w:r>
          </w:p>
        </w:tc>
        <w:tc>
          <w:tcPr>
            <w:tcW w:w="1276" w:type="dxa"/>
            <w:vAlign w:val="center"/>
          </w:tcPr>
          <w:p w:rsidR="009E26F4" w:rsidRPr="00467F9C" w:rsidRDefault="009E26F4" w:rsidP="00191861">
            <w:pPr>
              <w:jc w:val="center"/>
              <w:rPr>
                <w:sz w:val="20"/>
                <w:szCs w:val="20"/>
              </w:rPr>
            </w:pPr>
            <w:r w:rsidRPr="00467F9C">
              <w:rPr>
                <w:sz w:val="20"/>
                <w:szCs w:val="20"/>
              </w:rPr>
              <w:t>1,1</w:t>
            </w:r>
          </w:p>
        </w:tc>
      </w:tr>
    </w:tbl>
    <w:p w:rsidR="009E26F4" w:rsidRPr="00467F9C" w:rsidRDefault="009E26F4" w:rsidP="00191861">
      <w:pPr>
        <w:widowControl w:val="0"/>
        <w:spacing w:before="120"/>
        <w:ind w:firstLine="709"/>
        <w:jc w:val="both"/>
        <w:rPr>
          <w:sz w:val="28"/>
          <w:szCs w:val="28"/>
        </w:rPr>
      </w:pPr>
      <w:bookmarkStart w:id="34" w:name="_Hlk103438002"/>
      <w:r w:rsidRPr="00467F9C">
        <w:rPr>
          <w:sz w:val="28"/>
          <w:szCs w:val="28"/>
        </w:rPr>
        <w:t xml:space="preserve">Наибольший удельный вес (88,4%) в объеме бюджетных ассигнований составили </w:t>
      </w:r>
      <w:r w:rsidRPr="00467F9C">
        <w:rPr>
          <w:bCs/>
          <w:sz w:val="28"/>
          <w:szCs w:val="28"/>
        </w:rPr>
        <w:t xml:space="preserve">бюджетные инвестиции </w:t>
      </w:r>
      <w:r w:rsidRPr="00467F9C">
        <w:rPr>
          <w:sz w:val="28"/>
          <w:szCs w:val="28"/>
        </w:rPr>
        <w:t>в строительство 15 участков автомобильной дороги «Колыма-Омсукчан-Омолон-Анадырь на территории Чукотского автономного округа» и реконструкцию 14 участков автомобильной дороги «</w:t>
      </w:r>
      <w:proofErr w:type="spellStart"/>
      <w:r w:rsidRPr="00467F9C">
        <w:rPr>
          <w:sz w:val="28"/>
          <w:szCs w:val="28"/>
        </w:rPr>
        <w:t>Билибино</w:t>
      </w:r>
      <w:proofErr w:type="spellEnd"/>
      <w:r w:rsidRPr="00467F9C">
        <w:rPr>
          <w:sz w:val="28"/>
          <w:szCs w:val="28"/>
        </w:rPr>
        <w:t>-Комсомольский-</w:t>
      </w:r>
      <w:proofErr w:type="spellStart"/>
      <w:r w:rsidRPr="00467F9C">
        <w:rPr>
          <w:sz w:val="28"/>
          <w:szCs w:val="28"/>
        </w:rPr>
        <w:t>Певек</w:t>
      </w:r>
      <w:proofErr w:type="spellEnd"/>
      <w:r w:rsidRPr="00467F9C">
        <w:rPr>
          <w:sz w:val="28"/>
          <w:szCs w:val="28"/>
        </w:rPr>
        <w:t>».</w:t>
      </w:r>
    </w:p>
    <w:bookmarkEnd w:id="34"/>
    <w:p w:rsidR="009E26F4" w:rsidRPr="00467F9C" w:rsidRDefault="009E26F4" w:rsidP="00191861">
      <w:pPr>
        <w:autoSpaceDE w:val="0"/>
        <w:autoSpaceDN w:val="0"/>
        <w:adjustRightInd w:val="0"/>
        <w:spacing w:before="240" w:after="120"/>
        <w:jc w:val="center"/>
        <w:rPr>
          <w:b/>
          <w:sz w:val="28"/>
          <w:szCs w:val="28"/>
        </w:rPr>
      </w:pPr>
      <w:r w:rsidRPr="00467F9C">
        <w:rPr>
          <w:b/>
          <w:sz w:val="28"/>
          <w:szCs w:val="28"/>
        </w:rPr>
        <w:t>5.6. Дорожный фонд Чукотского автономного округа</w:t>
      </w:r>
    </w:p>
    <w:p w:rsidR="009E26F4" w:rsidRPr="00467F9C" w:rsidRDefault="009E26F4" w:rsidP="00191861">
      <w:pPr>
        <w:ind w:firstLine="709"/>
        <w:jc w:val="both"/>
        <w:rPr>
          <w:sz w:val="28"/>
          <w:szCs w:val="28"/>
        </w:rPr>
      </w:pPr>
      <w:r w:rsidRPr="00467F9C">
        <w:rPr>
          <w:sz w:val="28"/>
          <w:szCs w:val="28"/>
        </w:rPr>
        <w:t>Законом об окружном бюджете объем бюджетных ассигнований Дорожного фонда Чукотского автономного округа (далее – Дорожный фонд) утвержден в сумме 4 767 667,1 тыс. рублей.</w:t>
      </w:r>
    </w:p>
    <w:p w:rsidR="009E26F4" w:rsidRPr="00467F9C" w:rsidRDefault="009E26F4" w:rsidP="00191861">
      <w:pPr>
        <w:ind w:firstLine="709"/>
        <w:jc w:val="both"/>
        <w:rPr>
          <w:sz w:val="28"/>
          <w:szCs w:val="28"/>
        </w:rPr>
      </w:pPr>
      <w:r w:rsidRPr="00467F9C">
        <w:rPr>
          <w:sz w:val="28"/>
          <w:szCs w:val="28"/>
        </w:rPr>
        <w:t>Поступления, учитываемые при формировании базового объема Дорожного фонда, в отчетном периоде составили 4 756 016,7 тыс. рублей, в том числе по источникам доходов:</w:t>
      </w:r>
    </w:p>
    <w:p w:rsidR="009E26F4" w:rsidRPr="00467F9C" w:rsidRDefault="009E26F4" w:rsidP="00191861">
      <w:pPr>
        <w:autoSpaceDE w:val="0"/>
        <w:autoSpaceDN w:val="0"/>
        <w:adjustRightInd w:val="0"/>
        <w:ind w:firstLine="708"/>
        <w:jc w:val="both"/>
        <w:rPr>
          <w:sz w:val="28"/>
          <w:szCs w:val="28"/>
        </w:rPr>
      </w:pPr>
      <w:r w:rsidRPr="00467F9C">
        <w:rPr>
          <w:sz w:val="28"/>
          <w:szCs w:val="28"/>
        </w:rPr>
        <w:t>- акцизы на нефтепродукты – 334 584,4 тыс. рублей;</w:t>
      </w:r>
    </w:p>
    <w:p w:rsidR="009E26F4" w:rsidRPr="00467F9C" w:rsidRDefault="009E26F4" w:rsidP="00191861">
      <w:pPr>
        <w:autoSpaceDE w:val="0"/>
        <w:autoSpaceDN w:val="0"/>
        <w:adjustRightInd w:val="0"/>
        <w:ind w:firstLine="708"/>
        <w:jc w:val="both"/>
        <w:rPr>
          <w:sz w:val="28"/>
          <w:szCs w:val="28"/>
        </w:rPr>
      </w:pPr>
      <w:r w:rsidRPr="00467F9C">
        <w:rPr>
          <w:sz w:val="28"/>
          <w:szCs w:val="28"/>
        </w:rPr>
        <w:t>- транспортный налог – 114 429,6 тыс. рублей;</w:t>
      </w:r>
    </w:p>
    <w:p w:rsidR="009E26F4" w:rsidRPr="00467F9C" w:rsidRDefault="009E26F4" w:rsidP="00191861">
      <w:pPr>
        <w:autoSpaceDE w:val="0"/>
        <w:autoSpaceDN w:val="0"/>
        <w:adjustRightInd w:val="0"/>
        <w:ind w:firstLine="708"/>
        <w:jc w:val="both"/>
        <w:rPr>
          <w:sz w:val="28"/>
          <w:szCs w:val="28"/>
        </w:rPr>
      </w:pPr>
      <w:r w:rsidRPr="00467F9C">
        <w:rPr>
          <w:sz w:val="28"/>
          <w:szCs w:val="28"/>
        </w:rPr>
        <w:t xml:space="preserve">- государственная пошлина за выдачу специального разрешения на движение по автомобильным дорогам регионального или межмуниципального значения </w:t>
      </w:r>
      <w:r w:rsidRPr="00467F9C">
        <w:rPr>
          <w:sz w:val="28"/>
          <w:szCs w:val="28"/>
        </w:rPr>
        <w:lastRenderedPageBreak/>
        <w:t>тяжеловесного и (или) крупногабаритного транспортного средства – 251,2 тыс. рублей;</w:t>
      </w:r>
    </w:p>
    <w:p w:rsidR="009E26F4" w:rsidRPr="00467F9C" w:rsidRDefault="009E26F4" w:rsidP="00191861">
      <w:pPr>
        <w:autoSpaceDE w:val="0"/>
        <w:autoSpaceDN w:val="0"/>
        <w:adjustRightInd w:val="0"/>
        <w:ind w:firstLine="708"/>
        <w:jc w:val="both"/>
        <w:rPr>
          <w:sz w:val="28"/>
          <w:szCs w:val="28"/>
        </w:rPr>
      </w:pPr>
      <w:r w:rsidRPr="00467F9C">
        <w:rPr>
          <w:sz w:val="28"/>
          <w:szCs w:val="28"/>
        </w:rPr>
        <w:t>- доход от денежных взысканий (штрафов) за нарушение законодательства Российской Федерации о безопасности дорожного движения – 8 478,3 тыс. рублей;</w:t>
      </w:r>
    </w:p>
    <w:p w:rsidR="009E26F4" w:rsidRPr="00467F9C" w:rsidRDefault="009E26F4" w:rsidP="00191861">
      <w:pPr>
        <w:autoSpaceDE w:val="0"/>
        <w:autoSpaceDN w:val="0"/>
        <w:adjustRightInd w:val="0"/>
        <w:ind w:firstLine="708"/>
        <w:jc w:val="both"/>
        <w:rPr>
          <w:sz w:val="28"/>
          <w:szCs w:val="28"/>
        </w:rPr>
      </w:pPr>
      <w:r w:rsidRPr="00467F9C">
        <w:rPr>
          <w:sz w:val="28"/>
          <w:szCs w:val="28"/>
        </w:rPr>
        <w:t xml:space="preserve">- платежи, уплачиваемые в целях возмещения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 – 13 618,5 тыс. рублей; </w:t>
      </w:r>
    </w:p>
    <w:p w:rsidR="009E26F4" w:rsidRPr="00467F9C" w:rsidRDefault="009E26F4" w:rsidP="00191861">
      <w:pPr>
        <w:autoSpaceDE w:val="0"/>
        <w:autoSpaceDN w:val="0"/>
        <w:adjustRightInd w:val="0"/>
        <w:ind w:firstLine="708"/>
        <w:jc w:val="both"/>
        <w:rPr>
          <w:sz w:val="28"/>
          <w:szCs w:val="28"/>
        </w:rPr>
      </w:pPr>
      <w:r w:rsidRPr="00467F9C">
        <w:rPr>
          <w:sz w:val="28"/>
          <w:szCs w:val="28"/>
        </w:rPr>
        <w:t xml:space="preserve">- межбюджетные трансферты, передаваемые бюджетам субъектов на финансовое обеспечение дорожной деятельности – 644 645,5 тыс. рублей </w:t>
      </w:r>
    </w:p>
    <w:p w:rsidR="009E26F4" w:rsidRPr="00467F9C" w:rsidRDefault="009E26F4" w:rsidP="00191861">
      <w:pPr>
        <w:autoSpaceDE w:val="0"/>
        <w:autoSpaceDN w:val="0"/>
        <w:adjustRightInd w:val="0"/>
        <w:ind w:firstLine="708"/>
        <w:jc w:val="both"/>
        <w:rPr>
          <w:sz w:val="28"/>
          <w:szCs w:val="28"/>
        </w:rPr>
      </w:pPr>
      <w:r w:rsidRPr="00467F9C">
        <w:rPr>
          <w:sz w:val="28"/>
          <w:szCs w:val="28"/>
        </w:rPr>
        <w:t>- межбюджетные трансферты, передаваемые бюджетам субъектов на финансовое обеспечение дорожной деятельности в рамках реализации национального проекта «Безопасные и качественные автомобильные дороги» – 40 000,0 тыс. рублей;</w:t>
      </w:r>
    </w:p>
    <w:p w:rsidR="009E26F4" w:rsidRPr="00467F9C" w:rsidRDefault="009E26F4" w:rsidP="00191861">
      <w:pPr>
        <w:autoSpaceDE w:val="0"/>
        <w:autoSpaceDN w:val="0"/>
        <w:adjustRightInd w:val="0"/>
        <w:ind w:firstLine="708"/>
        <w:jc w:val="both"/>
        <w:rPr>
          <w:sz w:val="28"/>
          <w:szCs w:val="28"/>
        </w:rPr>
      </w:pPr>
      <w:r w:rsidRPr="00467F9C">
        <w:rPr>
          <w:sz w:val="28"/>
          <w:szCs w:val="28"/>
        </w:rPr>
        <w:t xml:space="preserve">- межбюджетные трансферты в форме субсидий на </w:t>
      </w:r>
      <w:proofErr w:type="spellStart"/>
      <w:r w:rsidRPr="00467F9C">
        <w:rPr>
          <w:sz w:val="28"/>
          <w:szCs w:val="28"/>
        </w:rPr>
        <w:t>софинансирование</w:t>
      </w:r>
      <w:proofErr w:type="spellEnd"/>
      <w:r w:rsidRPr="00467F9C">
        <w:rPr>
          <w:sz w:val="28"/>
          <w:szCs w:val="28"/>
        </w:rPr>
        <w:t xml:space="preserve"> капитальных вложений в объекты государственной собственности – 3 599 999,0 тыс. рублей;</w:t>
      </w:r>
    </w:p>
    <w:p w:rsidR="009E26F4" w:rsidRPr="00467F9C" w:rsidRDefault="009E26F4" w:rsidP="00191861">
      <w:pPr>
        <w:autoSpaceDE w:val="0"/>
        <w:autoSpaceDN w:val="0"/>
        <w:adjustRightInd w:val="0"/>
        <w:ind w:firstLine="708"/>
        <w:jc w:val="both"/>
        <w:rPr>
          <w:sz w:val="28"/>
          <w:szCs w:val="28"/>
        </w:rPr>
      </w:pPr>
      <w:r w:rsidRPr="00467F9C">
        <w:rPr>
          <w:sz w:val="28"/>
          <w:szCs w:val="28"/>
        </w:rPr>
        <w:t>- налог на пользователей автомобильных дорог – 10,2 тыс. рублей.</w:t>
      </w:r>
    </w:p>
    <w:p w:rsidR="009E26F4" w:rsidRPr="00467F9C" w:rsidRDefault="009E26F4" w:rsidP="00191861">
      <w:pPr>
        <w:autoSpaceDE w:val="0"/>
        <w:autoSpaceDN w:val="0"/>
        <w:adjustRightInd w:val="0"/>
        <w:ind w:firstLine="708"/>
        <w:jc w:val="both"/>
        <w:rPr>
          <w:sz w:val="28"/>
          <w:szCs w:val="28"/>
        </w:rPr>
      </w:pPr>
      <w:r w:rsidRPr="00467F9C">
        <w:rPr>
          <w:sz w:val="28"/>
          <w:szCs w:val="28"/>
        </w:rPr>
        <w:t>Доходы Дорожного фонда за 2021 год, по сравнению с предыдущим годом (2 623 920,0 тыс. рублей), увеличились на 2 132 086,5 тыс. рублей или 81,3%.</w:t>
      </w:r>
    </w:p>
    <w:p w:rsidR="009E26F4" w:rsidRPr="00467F9C" w:rsidRDefault="009E26F4" w:rsidP="00191861">
      <w:pPr>
        <w:autoSpaceDE w:val="0"/>
        <w:autoSpaceDN w:val="0"/>
        <w:adjustRightInd w:val="0"/>
        <w:ind w:firstLine="709"/>
        <w:jc w:val="both"/>
        <w:rPr>
          <w:sz w:val="28"/>
          <w:szCs w:val="28"/>
        </w:rPr>
      </w:pPr>
      <w:r w:rsidRPr="00467F9C">
        <w:rPr>
          <w:sz w:val="28"/>
          <w:szCs w:val="28"/>
        </w:rPr>
        <w:t>В отчетном периоде расходы Дорожного фонда составили 5 779 502,5 тыс. рублей. Направления использования средств Дорожного фонда определены Порядком формирования и использования бюджетных ассигнований Дорожного фонда</w:t>
      </w:r>
      <w:r w:rsidRPr="00467F9C">
        <w:rPr>
          <w:rStyle w:val="ab"/>
          <w:sz w:val="28"/>
          <w:szCs w:val="28"/>
        </w:rPr>
        <w:footnoteReference w:id="74"/>
      </w:r>
      <w:r w:rsidRPr="00467F9C">
        <w:rPr>
          <w:sz w:val="28"/>
          <w:szCs w:val="28"/>
        </w:rPr>
        <w:t xml:space="preserve"> и отражены в отчете об использовании средств Дорожного фонда</w:t>
      </w:r>
      <w:r w:rsidRPr="00467F9C">
        <w:rPr>
          <w:rStyle w:val="ab"/>
          <w:sz w:val="28"/>
          <w:szCs w:val="28"/>
        </w:rPr>
        <w:footnoteReference w:id="75"/>
      </w:r>
      <w:r w:rsidRPr="00467F9C">
        <w:rPr>
          <w:sz w:val="28"/>
          <w:szCs w:val="28"/>
        </w:rPr>
        <w:t xml:space="preserve">. </w:t>
      </w:r>
    </w:p>
    <w:p w:rsidR="009E26F4" w:rsidRPr="00467F9C" w:rsidRDefault="009E26F4" w:rsidP="00191861">
      <w:pPr>
        <w:autoSpaceDE w:val="0"/>
        <w:autoSpaceDN w:val="0"/>
        <w:adjustRightInd w:val="0"/>
        <w:ind w:firstLine="709"/>
        <w:jc w:val="both"/>
        <w:rPr>
          <w:sz w:val="28"/>
          <w:szCs w:val="28"/>
        </w:rPr>
      </w:pPr>
      <w:r w:rsidRPr="00467F9C">
        <w:rPr>
          <w:sz w:val="28"/>
          <w:szCs w:val="28"/>
        </w:rPr>
        <w:t>Информация об использовании средств Дорожного фонда представлена в таблице №17.</w:t>
      </w:r>
    </w:p>
    <w:p w:rsidR="009E26F4" w:rsidRPr="00467F9C" w:rsidRDefault="009E26F4" w:rsidP="00191861">
      <w:pPr>
        <w:autoSpaceDE w:val="0"/>
        <w:autoSpaceDN w:val="0"/>
        <w:adjustRightInd w:val="0"/>
        <w:ind w:firstLine="708"/>
        <w:jc w:val="right"/>
        <w:rPr>
          <w:sz w:val="28"/>
          <w:szCs w:val="28"/>
        </w:rPr>
      </w:pPr>
      <w:r w:rsidRPr="00467F9C">
        <w:rPr>
          <w:sz w:val="28"/>
          <w:szCs w:val="28"/>
        </w:rPr>
        <w:t>Таблица №17</w:t>
      </w:r>
    </w:p>
    <w:p w:rsidR="009E26F4" w:rsidRPr="00467F9C" w:rsidRDefault="009E26F4" w:rsidP="00191861">
      <w:pPr>
        <w:autoSpaceDE w:val="0"/>
        <w:autoSpaceDN w:val="0"/>
        <w:adjustRightInd w:val="0"/>
        <w:ind w:firstLine="708"/>
        <w:jc w:val="right"/>
        <w:rPr>
          <w:sz w:val="28"/>
          <w:szCs w:val="28"/>
        </w:rPr>
      </w:pPr>
      <w:r w:rsidRPr="00467F9C">
        <w:rPr>
          <w:sz w:val="28"/>
          <w:szCs w:val="28"/>
        </w:rPr>
        <w:t>(тыс. рублей)</w:t>
      </w:r>
    </w:p>
    <w:tbl>
      <w:tblPr>
        <w:tblW w:w="9944" w:type="dxa"/>
        <w:tblInd w:w="-5" w:type="dxa"/>
        <w:tblLook w:val="04A0" w:firstRow="1" w:lastRow="0" w:firstColumn="1" w:lastColumn="0" w:noHBand="0" w:noVBand="1"/>
      </w:tblPr>
      <w:tblGrid>
        <w:gridCol w:w="4536"/>
        <w:gridCol w:w="1264"/>
        <w:gridCol w:w="1272"/>
        <w:gridCol w:w="1701"/>
        <w:gridCol w:w="1171"/>
      </w:tblGrid>
      <w:tr w:rsidR="009E26F4" w:rsidRPr="007D06D2" w:rsidTr="007D06D2">
        <w:trPr>
          <w:trHeight w:val="144"/>
          <w:tblHead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6F4" w:rsidRPr="007D06D2" w:rsidRDefault="009E26F4" w:rsidP="00191861">
            <w:pPr>
              <w:ind w:right="-111"/>
              <w:jc w:val="center"/>
              <w:rPr>
                <w:sz w:val="20"/>
                <w:szCs w:val="20"/>
              </w:rPr>
            </w:pPr>
            <w:r w:rsidRPr="007D06D2">
              <w:rPr>
                <w:sz w:val="20"/>
                <w:szCs w:val="20"/>
              </w:rPr>
              <w:t>Наименование показателей</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rsidR="009E26F4" w:rsidRPr="007D06D2" w:rsidRDefault="009E26F4" w:rsidP="00191861">
            <w:pPr>
              <w:jc w:val="center"/>
              <w:rPr>
                <w:sz w:val="20"/>
                <w:szCs w:val="20"/>
              </w:rPr>
            </w:pPr>
            <w:r w:rsidRPr="007D06D2">
              <w:rPr>
                <w:sz w:val="20"/>
                <w:szCs w:val="20"/>
              </w:rPr>
              <w:t xml:space="preserve">Утверждено </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9E26F4" w:rsidRPr="007D06D2" w:rsidRDefault="009E26F4" w:rsidP="00191861">
            <w:pPr>
              <w:jc w:val="center"/>
              <w:rPr>
                <w:sz w:val="20"/>
                <w:szCs w:val="20"/>
              </w:rPr>
            </w:pPr>
            <w:r w:rsidRPr="007D06D2">
              <w:rPr>
                <w:sz w:val="20"/>
                <w:szCs w:val="20"/>
              </w:rPr>
              <w:t>Исполнено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E26F4" w:rsidRDefault="009E26F4" w:rsidP="00191861">
            <w:pPr>
              <w:jc w:val="center"/>
              <w:rPr>
                <w:sz w:val="20"/>
                <w:szCs w:val="20"/>
              </w:rPr>
            </w:pPr>
            <w:r w:rsidRPr="007D06D2">
              <w:rPr>
                <w:sz w:val="20"/>
                <w:szCs w:val="20"/>
              </w:rPr>
              <w:t>Уровень исполнения (%)</w:t>
            </w:r>
          </w:p>
          <w:p w:rsidR="007D06D2" w:rsidRPr="007D06D2" w:rsidRDefault="007D06D2" w:rsidP="00191861">
            <w:pPr>
              <w:jc w:val="center"/>
              <w:rPr>
                <w:sz w:val="4"/>
                <w:szCs w:val="4"/>
              </w:rPr>
            </w:pPr>
          </w:p>
        </w:tc>
        <w:tc>
          <w:tcPr>
            <w:tcW w:w="1171" w:type="dxa"/>
            <w:tcBorders>
              <w:top w:val="single" w:sz="4" w:space="0" w:color="auto"/>
              <w:left w:val="nil"/>
              <w:bottom w:val="single" w:sz="4" w:space="0" w:color="auto"/>
              <w:right w:val="single" w:sz="4" w:space="0" w:color="auto"/>
            </w:tcBorders>
            <w:vAlign w:val="center"/>
          </w:tcPr>
          <w:p w:rsidR="009E26F4" w:rsidRPr="007D06D2" w:rsidRDefault="009E26F4" w:rsidP="00191861">
            <w:pPr>
              <w:jc w:val="center"/>
              <w:rPr>
                <w:sz w:val="20"/>
                <w:szCs w:val="20"/>
              </w:rPr>
            </w:pPr>
            <w:r w:rsidRPr="007D06D2">
              <w:rPr>
                <w:sz w:val="20"/>
                <w:szCs w:val="20"/>
              </w:rPr>
              <w:t>Удельный вес (%)</w:t>
            </w:r>
          </w:p>
        </w:tc>
      </w:tr>
      <w:tr w:rsidR="009E26F4" w:rsidRPr="007D06D2" w:rsidTr="007D06D2">
        <w:trPr>
          <w:trHeight w:val="101"/>
          <w:tblHeader/>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9E26F4" w:rsidRPr="007D06D2" w:rsidRDefault="009E26F4" w:rsidP="00191861">
            <w:pPr>
              <w:jc w:val="center"/>
              <w:rPr>
                <w:sz w:val="20"/>
                <w:szCs w:val="20"/>
              </w:rPr>
            </w:pPr>
            <w:r w:rsidRPr="007D06D2">
              <w:rPr>
                <w:sz w:val="20"/>
                <w:szCs w:val="20"/>
              </w:rPr>
              <w:t>1</w:t>
            </w:r>
          </w:p>
        </w:tc>
        <w:tc>
          <w:tcPr>
            <w:tcW w:w="1264" w:type="dxa"/>
            <w:tcBorders>
              <w:top w:val="nil"/>
              <w:left w:val="nil"/>
              <w:bottom w:val="single" w:sz="4" w:space="0" w:color="auto"/>
              <w:right w:val="single" w:sz="4" w:space="0" w:color="auto"/>
            </w:tcBorders>
            <w:shd w:val="clear" w:color="auto" w:fill="auto"/>
            <w:vAlign w:val="center"/>
            <w:hideMark/>
          </w:tcPr>
          <w:p w:rsidR="009E26F4" w:rsidRPr="007D06D2" w:rsidRDefault="009E26F4" w:rsidP="00191861">
            <w:pPr>
              <w:jc w:val="center"/>
              <w:rPr>
                <w:sz w:val="20"/>
                <w:szCs w:val="20"/>
              </w:rPr>
            </w:pPr>
            <w:r w:rsidRPr="007D06D2">
              <w:rPr>
                <w:sz w:val="20"/>
                <w:szCs w:val="20"/>
              </w:rPr>
              <w:t>2</w:t>
            </w:r>
          </w:p>
        </w:tc>
        <w:tc>
          <w:tcPr>
            <w:tcW w:w="1272" w:type="dxa"/>
            <w:tcBorders>
              <w:top w:val="nil"/>
              <w:left w:val="nil"/>
              <w:bottom w:val="single" w:sz="4" w:space="0" w:color="auto"/>
              <w:right w:val="single" w:sz="4" w:space="0" w:color="auto"/>
            </w:tcBorders>
            <w:shd w:val="clear" w:color="auto" w:fill="auto"/>
            <w:vAlign w:val="center"/>
            <w:hideMark/>
          </w:tcPr>
          <w:p w:rsidR="009E26F4" w:rsidRPr="007D06D2" w:rsidRDefault="009E26F4" w:rsidP="00191861">
            <w:pPr>
              <w:jc w:val="center"/>
              <w:rPr>
                <w:sz w:val="20"/>
                <w:szCs w:val="20"/>
              </w:rPr>
            </w:pPr>
            <w:r w:rsidRPr="007D06D2">
              <w:rPr>
                <w:sz w:val="20"/>
                <w:szCs w:val="20"/>
              </w:rPr>
              <w:t>3</w:t>
            </w:r>
          </w:p>
        </w:tc>
        <w:tc>
          <w:tcPr>
            <w:tcW w:w="1701" w:type="dxa"/>
            <w:tcBorders>
              <w:top w:val="nil"/>
              <w:left w:val="nil"/>
              <w:bottom w:val="single" w:sz="4" w:space="0" w:color="auto"/>
              <w:right w:val="single" w:sz="4" w:space="0" w:color="auto"/>
            </w:tcBorders>
            <w:shd w:val="clear" w:color="auto" w:fill="auto"/>
            <w:vAlign w:val="center"/>
            <w:hideMark/>
          </w:tcPr>
          <w:p w:rsidR="009E26F4" w:rsidRPr="007D06D2" w:rsidRDefault="009E26F4" w:rsidP="00191861">
            <w:pPr>
              <w:jc w:val="center"/>
              <w:rPr>
                <w:sz w:val="20"/>
                <w:szCs w:val="20"/>
              </w:rPr>
            </w:pPr>
            <w:r w:rsidRPr="007D06D2">
              <w:rPr>
                <w:sz w:val="20"/>
                <w:szCs w:val="20"/>
              </w:rPr>
              <w:t>4 </w:t>
            </w:r>
          </w:p>
        </w:tc>
        <w:tc>
          <w:tcPr>
            <w:tcW w:w="1171" w:type="dxa"/>
            <w:tcBorders>
              <w:top w:val="nil"/>
              <w:left w:val="nil"/>
              <w:bottom w:val="single" w:sz="4" w:space="0" w:color="auto"/>
              <w:right w:val="single" w:sz="4" w:space="0" w:color="auto"/>
            </w:tcBorders>
            <w:vAlign w:val="center"/>
          </w:tcPr>
          <w:p w:rsidR="009E26F4" w:rsidRPr="007D06D2" w:rsidRDefault="009E26F4" w:rsidP="00191861">
            <w:pPr>
              <w:jc w:val="center"/>
              <w:rPr>
                <w:sz w:val="20"/>
                <w:szCs w:val="20"/>
              </w:rPr>
            </w:pPr>
            <w:r w:rsidRPr="007D06D2">
              <w:rPr>
                <w:sz w:val="20"/>
                <w:szCs w:val="20"/>
              </w:rPr>
              <w:t>5</w:t>
            </w:r>
          </w:p>
        </w:tc>
      </w:tr>
      <w:tr w:rsidR="009E26F4" w:rsidRPr="007D06D2" w:rsidTr="007D06D2">
        <w:trPr>
          <w:trHeight w:val="167"/>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9E26F4" w:rsidRPr="007D06D2" w:rsidRDefault="009E26F4" w:rsidP="00191861">
            <w:pPr>
              <w:rPr>
                <w:b/>
                <w:bCs/>
                <w:sz w:val="20"/>
                <w:szCs w:val="20"/>
              </w:rPr>
            </w:pPr>
            <w:r w:rsidRPr="007D06D2">
              <w:rPr>
                <w:b/>
                <w:bCs/>
                <w:sz w:val="20"/>
                <w:szCs w:val="20"/>
              </w:rPr>
              <w:t xml:space="preserve">Расходы Дорожного фонда </w:t>
            </w:r>
          </w:p>
        </w:tc>
        <w:tc>
          <w:tcPr>
            <w:tcW w:w="1264" w:type="dxa"/>
            <w:tcBorders>
              <w:top w:val="nil"/>
              <w:left w:val="nil"/>
              <w:bottom w:val="single" w:sz="4" w:space="0" w:color="auto"/>
              <w:right w:val="single" w:sz="4" w:space="0" w:color="auto"/>
            </w:tcBorders>
            <w:shd w:val="clear" w:color="auto" w:fill="auto"/>
            <w:noWrap/>
            <w:vAlign w:val="center"/>
            <w:hideMark/>
          </w:tcPr>
          <w:p w:rsidR="009E26F4" w:rsidRPr="007D06D2" w:rsidRDefault="009E26F4" w:rsidP="00191861">
            <w:pPr>
              <w:jc w:val="right"/>
              <w:rPr>
                <w:b/>
                <w:bCs/>
                <w:sz w:val="20"/>
                <w:szCs w:val="20"/>
              </w:rPr>
            </w:pPr>
            <w:r w:rsidRPr="007D06D2">
              <w:rPr>
                <w:b/>
                <w:bCs/>
                <w:sz w:val="20"/>
                <w:szCs w:val="20"/>
              </w:rPr>
              <w:t>5 836 589,6</w:t>
            </w:r>
          </w:p>
        </w:tc>
        <w:tc>
          <w:tcPr>
            <w:tcW w:w="1272" w:type="dxa"/>
            <w:tcBorders>
              <w:top w:val="nil"/>
              <w:left w:val="nil"/>
              <w:bottom w:val="single" w:sz="4" w:space="0" w:color="auto"/>
              <w:right w:val="single" w:sz="4" w:space="0" w:color="auto"/>
            </w:tcBorders>
            <w:shd w:val="clear" w:color="auto" w:fill="auto"/>
            <w:noWrap/>
            <w:vAlign w:val="center"/>
            <w:hideMark/>
          </w:tcPr>
          <w:p w:rsidR="009E26F4" w:rsidRPr="007D06D2" w:rsidRDefault="009E26F4" w:rsidP="00191861">
            <w:pPr>
              <w:jc w:val="right"/>
              <w:rPr>
                <w:b/>
                <w:bCs/>
                <w:sz w:val="20"/>
                <w:szCs w:val="20"/>
              </w:rPr>
            </w:pPr>
            <w:r w:rsidRPr="007D06D2">
              <w:rPr>
                <w:b/>
                <w:bCs/>
                <w:sz w:val="20"/>
                <w:szCs w:val="20"/>
              </w:rPr>
              <w:t>5 779 502,5</w:t>
            </w:r>
          </w:p>
        </w:tc>
        <w:tc>
          <w:tcPr>
            <w:tcW w:w="1701" w:type="dxa"/>
            <w:tcBorders>
              <w:top w:val="nil"/>
              <w:left w:val="nil"/>
              <w:bottom w:val="single" w:sz="4" w:space="0" w:color="auto"/>
              <w:right w:val="single" w:sz="4" w:space="0" w:color="auto"/>
            </w:tcBorders>
            <w:shd w:val="clear" w:color="auto" w:fill="auto"/>
            <w:noWrap/>
            <w:vAlign w:val="center"/>
            <w:hideMark/>
          </w:tcPr>
          <w:p w:rsidR="009E26F4" w:rsidRPr="007D06D2" w:rsidRDefault="009E26F4" w:rsidP="00191861">
            <w:pPr>
              <w:jc w:val="center"/>
              <w:rPr>
                <w:b/>
                <w:bCs/>
                <w:sz w:val="20"/>
                <w:szCs w:val="20"/>
              </w:rPr>
            </w:pPr>
            <w:r w:rsidRPr="007D06D2">
              <w:rPr>
                <w:b/>
                <w:bCs/>
                <w:sz w:val="20"/>
                <w:szCs w:val="20"/>
              </w:rPr>
              <w:t>99,0</w:t>
            </w:r>
          </w:p>
        </w:tc>
        <w:tc>
          <w:tcPr>
            <w:tcW w:w="1171" w:type="dxa"/>
            <w:tcBorders>
              <w:top w:val="nil"/>
              <w:left w:val="nil"/>
              <w:bottom w:val="single" w:sz="4" w:space="0" w:color="auto"/>
              <w:right w:val="single" w:sz="4" w:space="0" w:color="auto"/>
            </w:tcBorders>
            <w:vAlign w:val="center"/>
          </w:tcPr>
          <w:p w:rsidR="009E26F4" w:rsidRPr="007D06D2" w:rsidRDefault="009E26F4" w:rsidP="00191861">
            <w:pPr>
              <w:jc w:val="center"/>
              <w:rPr>
                <w:b/>
                <w:bCs/>
                <w:sz w:val="20"/>
                <w:szCs w:val="20"/>
              </w:rPr>
            </w:pPr>
            <w:r w:rsidRPr="007D06D2">
              <w:rPr>
                <w:b/>
                <w:bCs/>
                <w:sz w:val="20"/>
                <w:szCs w:val="20"/>
              </w:rPr>
              <w:t>100,0</w:t>
            </w:r>
          </w:p>
        </w:tc>
      </w:tr>
      <w:tr w:rsidR="009E26F4" w:rsidRPr="007D06D2" w:rsidTr="007D06D2">
        <w:trPr>
          <w:trHeight w:val="178"/>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9E26F4" w:rsidRPr="007D06D2" w:rsidRDefault="009E26F4" w:rsidP="00191861">
            <w:pPr>
              <w:rPr>
                <w:sz w:val="20"/>
                <w:szCs w:val="20"/>
              </w:rPr>
            </w:pPr>
            <w:r w:rsidRPr="007D06D2">
              <w:rPr>
                <w:sz w:val="20"/>
                <w:szCs w:val="20"/>
              </w:rPr>
              <w:t xml:space="preserve">Строительство и реконструкция </w:t>
            </w:r>
          </w:p>
          <w:p w:rsidR="009E26F4" w:rsidRPr="007D06D2" w:rsidRDefault="009E26F4" w:rsidP="00191861">
            <w:pPr>
              <w:rPr>
                <w:sz w:val="20"/>
                <w:szCs w:val="20"/>
              </w:rPr>
            </w:pPr>
            <w:r w:rsidRPr="007D06D2">
              <w:rPr>
                <w:sz w:val="20"/>
                <w:szCs w:val="20"/>
              </w:rPr>
              <w:t>региональных дорог</w:t>
            </w:r>
          </w:p>
        </w:tc>
        <w:tc>
          <w:tcPr>
            <w:tcW w:w="1264" w:type="dxa"/>
            <w:tcBorders>
              <w:top w:val="nil"/>
              <w:left w:val="nil"/>
              <w:bottom w:val="single" w:sz="4" w:space="0" w:color="auto"/>
              <w:right w:val="single" w:sz="4" w:space="0" w:color="auto"/>
            </w:tcBorders>
            <w:shd w:val="clear" w:color="auto" w:fill="auto"/>
            <w:noWrap/>
            <w:vAlign w:val="center"/>
            <w:hideMark/>
          </w:tcPr>
          <w:p w:rsidR="009E26F4" w:rsidRPr="007D06D2" w:rsidRDefault="009E26F4" w:rsidP="00191861">
            <w:pPr>
              <w:jc w:val="right"/>
              <w:rPr>
                <w:sz w:val="20"/>
                <w:szCs w:val="20"/>
              </w:rPr>
            </w:pPr>
            <w:r w:rsidRPr="007D06D2">
              <w:rPr>
                <w:sz w:val="20"/>
                <w:szCs w:val="20"/>
              </w:rPr>
              <w:t>4 515 043,3</w:t>
            </w:r>
          </w:p>
        </w:tc>
        <w:tc>
          <w:tcPr>
            <w:tcW w:w="1272" w:type="dxa"/>
            <w:tcBorders>
              <w:top w:val="nil"/>
              <w:left w:val="nil"/>
              <w:bottom w:val="single" w:sz="4" w:space="0" w:color="auto"/>
              <w:right w:val="single" w:sz="4" w:space="0" w:color="auto"/>
            </w:tcBorders>
            <w:shd w:val="clear" w:color="auto" w:fill="auto"/>
            <w:noWrap/>
            <w:vAlign w:val="center"/>
            <w:hideMark/>
          </w:tcPr>
          <w:p w:rsidR="009E26F4" w:rsidRPr="007D06D2" w:rsidRDefault="009E26F4" w:rsidP="00191861">
            <w:pPr>
              <w:jc w:val="right"/>
              <w:rPr>
                <w:sz w:val="20"/>
                <w:szCs w:val="20"/>
              </w:rPr>
            </w:pPr>
            <w:r w:rsidRPr="007D06D2">
              <w:rPr>
                <w:sz w:val="20"/>
                <w:szCs w:val="20"/>
              </w:rPr>
              <w:t>4 511 378,9</w:t>
            </w:r>
          </w:p>
        </w:tc>
        <w:tc>
          <w:tcPr>
            <w:tcW w:w="1701" w:type="dxa"/>
            <w:tcBorders>
              <w:top w:val="nil"/>
              <w:left w:val="nil"/>
              <w:bottom w:val="single" w:sz="4" w:space="0" w:color="auto"/>
              <w:right w:val="single" w:sz="4" w:space="0" w:color="auto"/>
            </w:tcBorders>
            <w:shd w:val="clear" w:color="auto" w:fill="auto"/>
            <w:noWrap/>
            <w:vAlign w:val="center"/>
          </w:tcPr>
          <w:p w:rsidR="009E26F4" w:rsidRPr="007D06D2" w:rsidRDefault="009E26F4" w:rsidP="00191861">
            <w:pPr>
              <w:jc w:val="center"/>
              <w:rPr>
                <w:sz w:val="20"/>
                <w:szCs w:val="20"/>
              </w:rPr>
            </w:pPr>
            <w:r w:rsidRPr="007D06D2">
              <w:rPr>
                <w:sz w:val="20"/>
                <w:szCs w:val="20"/>
              </w:rPr>
              <w:t>99,9</w:t>
            </w:r>
          </w:p>
        </w:tc>
        <w:tc>
          <w:tcPr>
            <w:tcW w:w="1171" w:type="dxa"/>
            <w:tcBorders>
              <w:top w:val="nil"/>
              <w:left w:val="nil"/>
              <w:bottom w:val="single" w:sz="4" w:space="0" w:color="auto"/>
              <w:right w:val="single" w:sz="4" w:space="0" w:color="auto"/>
            </w:tcBorders>
            <w:vAlign w:val="center"/>
          </w:tcPr>
          <w:p w:rsidR="009E26F4" w:rsidRPr="007D06D2" w:rsidRDefault="009E26F4" w:rsidP="00191861">
            <w:pPr>
              <w:jc w:val="center"/>
              <w:rPr>
                <w:sz w:val="20"/>
                <w:szCs w:val="20"/>
              </w:rPr>
            </w:pPr>
            <w:r w:rsidRPr="007D06D2">
              <w:rPr>
                <w:sz w:val="20"/>
                <w:szCs w:val="20"/>
              </w:rPr>
              <w:t>78,1</w:t>
            </w:r>
          </w:p>
        </w:tc>
      </w:tr>
      <w:tr w:rsidR="009E26F4" w:rsidRPr="007D06D2" w:rsidTr="007D06D2">
        <w:trPr>
          <w:trHeight w:val="61"/>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9E26F4" w:rsidRPr="007D06D2" w:rsidRDefault="009E26F4" w:rsidP="00191861">
            <w:pPr>
              <w:rPr>
                <w:sz w:val="20"/>
                <w:szCs w:val="20"/>
              </w:rPr>
            </w:pPr>
            <w:r w:rsidRPr="007D06D2">
              <w:rPr>
                <w:sz w:val="20"/>
                <w:szCs w:val="20"/>
              </w:rPr>
              <w:t>Капитальный ремонт, ремонт и содержание региональных автомобильных дорог</w:t>
            </w:r>
          </w:p>
        </w:tc>
        <w:tc>
          <w:tcPr>
            <w:tcW w:w="1264" w:type="dxa"/>
            <w:tcBorders>
              <w:top w:val="nil"/>
              <w:left w:val="nil"/>
              <w:bottom w:val="single" w:sz="4" w:space="0" w:color="auto"/>
              <w:right w:val="single" w:sz="4" w:space="0" w:color="auto"/>
            </w:tcBorders>
            <w:shd w:val="clear" w:color="auto" w:fill="auto"/>
            <w:noWrap/>
            <w:vAlign w:val="center"/>
            <w:hideMark/>
          </w:tcPr>
          <w:p w:rsidR="009E26F4" w:rsidRPr="007D06D2" w:rsidRDefault="009E26F4" w:rsidP="00191861">
            <w:pPr>
              <w:jc w:val="right"/>
              <w:rPr>
                <w:sz w:val="20"/>
                <w:szCs w:val="20"/>
              </w:rPr>
            </w:pPr>
            <w:r w:rsidRPr="007D06D2">
              <w:rPr>
                <w:sz w:val="20"/>
                <w:szCs w:val="20"/>
              </w:rPr>
              <w:t>981 132,1</w:t>
            </w:r>
          </w:p>
        </w:tc>
        <w:tc>
          <w:tcPr>
            <w:tcW w:w="1272" w:type="dxa"/>
            <w:tcBorders>
              <w:top w:val="nil"/>
              <w:left w:val="nil"/>
              <w:bottom w:val="single" w:sz="4" w:space="0" w:color="auto"/>
              <w:right w:val="single" w:sz="4" w:space="0" w:color="auto"/>
            </w:tcBorders>
            <w:shd w:val="clear" w:color="auto" w:fill="auto"/>
            <w:noWrap/>
            <w:vAlign w:val="center"/>
            <w:hideMark/>
          </w:tcPr>
          <w:p w:rsidR="009E26F4" w:rsidRPr="007D06D2" w:rsidRDefault="009E26F4" w:rsidP="00191861">
            <w:pPr>
              <w:jc w:val="right"/>
              <w:rPr>
                <w:sz w:val="20"/>
                <w:szCs w:val="20"/>
              </w:rPr>
            </w:pPr>
            <w:r w:rsidRPr="007D06D2">
              <w:rPr>
                <w:sz w:val="20"/>
                <w:szCs w:val="20"/>
              </w:rPr>
              <w:t>932 964,7</w:t>
            </w:r>
          </w:p>
        </w:tc>
        <w:tc>
          <w:tcPr>
            <w:tcW w:w="1701" w:type="dxa"/>
            <w:tcBorders>
              <w:top w:val="nil"/>
              <w:left w:val="nil"/>
              <w:bottom w:val="single" w:sz="4" w:space="0" w:color="auto"/>
              <w:right w:val="single" w:sz="4" w:space="0" w:color="auto"/>
            </w:tcBorders>
            <w:shd w:val="clear" w:color="auto" w:fill="auto"/>
            <w:noWrap/>
            <w:vAlign w:val="center"/>
          </w:tcPr>
          <w:p w:rsidR="009E26F4" w:rsidRPr="007D06D2" w:rsidRDefault="009E26F4" w:rsidP="00191861">
            <w:pPr>
              <w:jc w:val="center"/>
              <w:rPr>
                <w:sz w:val="20"/>
                <w:szCs w:val="20"/>
              </w:rPr>
            </w:pPr>
            <w:r w:rsidRPr="007D06D2">
              <w:rPr>
                <w:sz w:val="20"/>
                <w:szCs w:val="20"/>
              </w:rPr>
              <w:t>95,1</w:t>
            </w:r>
          </w:p>
        </w:tc>
        <w:tc>
          <w:tcPr>
            <w:tcW w:w="1171" w:type="dxa"/>
            <w:tcBorders>
              <w:top w:val="nil"/>
              <w:left w:val="nil"/>
              <w:bottom w:val="single" w:sz="4" w:space="0" w:color="auto"/>
              <w:right w:val="single" w:sz="4" w:space="0" w:color="auto"/>
            </w:tcBorders>
            <w:vAlign w:val="center"/>
          </w:tcPr>
          <w:p w:rsidR="009E26F4" w:rsidRPr="007D06D2" w:rsidRDefault="009E26F4" w:rsidP="00191861">
            <w:pPr>
              <w:jc w:val="center"/>
              <w:rPr>
                <w:sz w:val="20"/>
                <w:szCs w:val="20"/>
              </w:rPr>
            </w:pPr>
            <w:r w:rsidRPr="007D06D2">
              <w:rPr>
                <w:sz w:val="20"/>
                <w:szCs w:val="20"/>
              </w:rPr>
              <w:t>16,1</w:t>
            </w:r>
          </w:p>
        </w:tc>
      </w:tr>
      <w:tr w:rsidR="009E26F4" w:rsidRPr="007D06D2" w:rsidTr="007D06D2">
        <w:trPr>
          <w:trHeight w:val="167"/>
        </w:trPr>
        <w:tc>
          <w:tcPr>
            <w:tcW w:w="4536" w:type="dxa"/>
            <w:tcBorders>
              <w:top w:val="nil"/>
              <w:left w:val="single" w:sz="4" w:space="0" w:color="auto"/>
              <w:bottom w:val="single" w:sz="4" w:space="0" w:color="auto"/>
              <w:right w:val="single" w:sz="4" w:space="0" w:color="auto"/>
            </w:tcBorders>
            <w:shd w:val="clear" w:color="auto" w:fill="auto"/>
            <w:vAlign w:val="center"/>
          </w:tcPr>
          <w:p w:rsidR="009E26F4" w:rsidRPr="007D06D2" w:rsidRDefault="009E26F4" w:rsidP="00191861">
            <w:pPr>
              <w:rPr>
                <w:sz w:val="20"/>
                <w:szCs w:val="20"/>
              </w:rPr>
            </w:pPr>
            <w:r w:rsidRPr="007D06D2">
              <w:rPr>
                <w:sz w:val="20"/>
                <w:szCs w:val="20"/>
              </w:rPr>
              <w:t>Обеспечение функционирования государственных учреждений, осуществляющих управление в сфере дорожного хозяйства</w:t>
            </w:r>
          </w:p>
        </w:tc>
        <w:tc>
          <w:tcPr>
            <w:tcW w:w="1264" w:type="dxa"/>
            <w:tcBorders>
              <w:top w:val="nil"/>
              <w:left w:val="nil"/>
              <w:bottom w:val="single" w:sz="4" w:space="0" w:color="auto"/>
              <w:right w:val="single" w:sz="4" w:space="0" w:color="auto"/>
            </w:tcBorders>
            <w:shd w:val="clear" w:color="auto" w:fill="auto"/>
            <w:noWrap/>
            <w:vAlign w:val="center"/>
          </w:tcPr>
          <w:p w:rsidR="009E26F4" w:rsidRPr="007D06D2" w:rsidRDefault="009E26F4" w:rsidP="00191861">
            <w:pPr>
              <w:jc w:val="right"/>
              <w:rPr>
                <w:sz w:val="20"/>
                <w:szCs w:val="20"/>
              </w:rPr>
            </w:pPr>
            <w:r w:rsidRPr="007D06D2">
              <w:rPr>
                <w:sz w:val="20"/>
                <w:szCs w:val="20"/>
              </w:rPr>
              <w:t>115 635,7</w:t>
            </w:r>
          </w:p>
        </w:tc>
        <w:tc>
          <w:tcPr>
            <w:tcW w:w="1272" w:type="dxa"/>
            <w:tcBorders>
              <w:top w:val="nil"/>
              <w:left w:val="nil"/>
              <w:bottom w:val="single" w:sz="4" w:space="0" w:color="auto"/>
              <w:right w:val="single" w:sz="4" w:space="0" w:color="auto"/>
            </w:tcBorders>
            <w:shd w:val="clear" w:color="auto" w:fill="auto"/>
            <w:noWrap/>
            <w:vAlign w:val="center"/>
          </w:tcPr>
          <w:p w:rsidR="009E26F4" w:rsidRPr="007D06D2" w:rsidRDefault="009E26F4" w:rsidP="00191861">
            <w:pPr>
              <w:jc w:val="right"/>
              <w:rPr>
                <w:sz w:val="20"/>
                <w:szCs w:val="20"/>
              </w:rPr>
            </w:pPr>
            <w:r w:rsidRPr="007D06D2">
              <w:rPr>
                <w:sz w:val="20"/>
                <w:szCs w:val="20"/>
              </w:rPr>
              <w:t>114 481,7</w:t>
            </w:r>
          </w:p>
        </w:tc>
        <w:tc>
          <w:tcPr>
            <w:tcW w:w="1701" w:type="dxa"/>
            <w:tcBorders>
              <w:top w:val="nil"/>
              <w:left w:val="nil"/>
              <w:bottom w:val="single" w:sz="4" w:space="0" w:color="auto"/>
              <w:right w:val="single" w:sz="4" w:space="0" w:color="auto"/>
            </w:tcBorders>
            <w:shd w:val="clear" w:color="auto" w:fill="auto"/>
            <w:noWrap/>
            <w:vAlign w:val="center"/>
          </w:tcPr>
          <w:p w:rsidR="009E26F4" w:rsidRPr="007D06D2" w:rsidRDefault="009E26F4" w:rsidP="00191861">
            <w:pPr>
              <w:jc w:val="center"/>
              <w:rPr>
                <w:sz w:val="20"/>
                <w:szCs w:val="20"/>
              </w:rPr>
            </w:pPr>
            <w:r w:rsidRPr="007D06D2">
              <w:rPr>
                <w:sz w:val="20"/>
                <w:szCs w:val="20"/>
              </w:rPr>
              <w:t>99,0</w:t>
            </w:r>
          </w:p>
        </w:tc>
        <w:tc>
          <w:tcPr>
            <w:tcW w:w="1171" w:type="dxa"/>
            <w:tcBorders>
              <w:top w:val="nil"/>
              <w:left w:val="nil"/>
              <w:bottom w:val="single" w:sz="4" w:space="0" w:color="auto"/>
              <w:right w:val="single" w:sz="4" w:space="0" w:color="auto"/>
            </w:tcBorders>
            <w:vAlign w:val="center"/>
          </w:tcPr>
          <w:p w:rsidR="009E26F4" w:rsidRPr="007D06D2" w:rsidRDefault="009E26F4" w:rsidP="00191861">
            <w:pPr>
              <w:jc w:val="center"/>
              <w:rPr>
                <w:sz w:val="20"/>
                <w:szCs w:val="20"/>
              </w:rPr>
            </w:pPr>
            <w:r w:rsidRPr="007D06D2">
              <w:rPr>
                <w:sz w:val="20"/>
                <w:szCs w:val="20"/>
              </w:rPr>
              <w:t>2,0</w:t>
            </w:r>
          </w:p>
        </w:tc>
      </w:tr>
      <w:tr w:rsidR="009E26F4" w:rsidRPr="007D06D2" w:rsidTr="007D06D2">
        <w:trPr>
          <w:trHeight w:val="281"/>
        </w:trPr>
        <w:tc>
          <w:tcPr>
            <w:tcW w:w="4536" w:type="dxa"/>
            <w:tcBorders>
              <w:top w:val="nil"/>
              <w:left w:val="single" w:sz="4" w:space="0" w:color="auto"/>
              <w:bottom w:val="single" w:sz="4" w:space="0" w:color="auto"/>
              <w:right w:val="single" w:sz="4" w:space="0" w:color="auto"/>
            </w:tcBorders>
            <w:shd w:val="clear" w:color="auto" w:fill="auto"/>
            <w:vAlign w:val="center"/>
          </w:tcPr>
          <w:p w:rsidR="009E26F4" w:rsidRPr="007D06D2" w:rsidRDefault="009E26F4" w:rsidP="00191861">
            <w:pPr>
              <w:rPr>
                <w:sz w:val="20"/>
                <w:szCs w:val="20"/>
              </w:rPr>
            </w:pPr>
            <w:r w:rsidRPr="007D06D2">
              <w:rPr>
                <w:sz w:val="20"/>
                <w:szCs w:val="20"/>
              </w:rPr>
              <w:t>Уплата налогов, сборов и иных платежей</w:t>
            </w:r>
          </w:p>
        </w:tc>
        <w:tc>
          <w:tcPr>
            <w:tcW w:w="1264" w:type="dxa"/>
            <w:tcBorders>
              <w:top w:val="nil"/>
              <w:left w:val="nil"/>
              <w:bottom w:val="single" w:sz="4" w:space="0" w:color="auto"/>
              <w:right w:val="single" w:sz="4" w:space="0" w:color="auto"/>
            </w:tcBorders>
            <w:shd w:val="clear" w:color="auto" w:fill="auto"/>
            <w:noWrap/>
            <w:vAlign w:val="center"/>
          </w:tcPr>
          <w:p w:rsidR="009E26F4" w:rsidRPr="007D06D2" w:rsidRDefault="009E26F4" w:rsidP="00191861">
            <w:pPr>
              <w:jc w:val="right"/>
              <w:rPr>
                <w:sz w:val="20"/>
                <w:szCs w:val="20"/>
              </w:rPr>
            </w:pPr>
            <w:r w:rsidRPr="007D06D2">
              <w:rPr>
                <w:sz w:val="20"/>
                <w:szCs w:val="20"/>
              </w:rPr>
              <w:t>206 361,2</w:t>
            </w:r>
          </w:p>
        </w:tc>
        <w:tc>
          <w:tcPr>
            <w:tcW w:w="1272" w:type="dxa"/>
            <w:tcBorders>
              <w:top w:val="nil"/>
              <w:left w:val="nil"/>
              <w:bottom w:val="single" w:sz="4" w:space="0" w:color="auto"/>
              <w:right w:val="single" w:sz="4" w:space="0" w:color="auto"/>
            </w:tcBorders>
            <w:shd w:val="clear" w:color="auto" w:fill="auto"/>
            <w:noWrap/>
            <w:vAlign w:val="center"/>
          </w:tcPr>
          <w:p w:rsidR="009E26F4" w:rsidRPr="007D06D2" w:rsidRDefault="009E26F4" w:rsidP="00191861">
            <w:pPr>
              <w:jc w:val="right"/>
              <w:rPr>
                <w:sz w:val="20"/>
                <w:szCs w:val="20"/>
              </w:rPr>
            </w:pPr>
            <w:r w:rsidRPr="007D06D2">
              <w:rPr>
                <w:sz w:val="20"/>
                <w:szCs w:val="20"/>
              </w:rPr>
              <w:t>206 274,9</w:t>
            </w:r>
          </w:p>
        </w:tc>
        <w:tc>
          <w:tcPr>
            <w:tcW w:w="1701" w:type="dxa"/>
            <w:tcBorders>
              <w:top w:val="nil"/>
              <w:left w:val="nil"/>
              <w:bottom w:val="single" w:sz="4" w:space="0" w:color="auto"/>
              <w:right w:val="single" w:sz="4" w:space="0" w:color="auto"/>
            </w:tcBorders>
            <w:shd w:val="clear" w:color="auto" w:fill="auto"/>
            <w:noWrap/>
            <w:vAlign w:val="center"/>
          </w:tcPr>
          <w:p w:rsidR="009E26F4" w:rsidRPr="007D06D2" w:rsidRDefault="009E26F4" w:rsidP="00191861">
            <w:pPr>
              <w:jc w:val="center"/>
              <w:rPr>
                <w:sz w:val="20"/>
                <w:szCs w:val="20"/>
              </w:rPr>
            </w:pPr>
            <w:r w:rsidRPr="007D06D2">
              <w:rPr>
                <w:sz w:val="20"/>
                <w:szCs w:val="20"/>
              </w:rPr>
              <w:t>99,9</w:t>
            </w:r>
          </w:p>
        </w:tc>
        <w:tc>
          <w:tcPr>
            <w:tcW w:w="1171" w:type="dxa"/>
            <w:tcBorders>
              <w:top w:val="nil"/>
              <w:left w:val="nil"/>
              <w:bottom w:val="single" w:sz="4" w:space="0" w:color="auto"/>
              <w:right w:val="single" w:sz="4" w:space="0" w:color="auto"/>
            </w:tcBorders>
            <w:vAlign w:val="center"/>
          </w:tcPr>
          <w:p w:rsidR="009E26F4" w:rsidRPr="007D06D2" w:rsidRDefault="009E26F4" w:rsidP="00191861">
            <w:pPr>
              <w:jc w:val="center"/>
              <w:rPr>
                <w:sz w:val="20"/>
                <w:szCs w:val="20"/>
              </w:rPr>
            </w:pPr>
            <w:r w:rsidRPr="007D06D2">
              <w:rPr>
                <w:sz w:val="20"/>
                <w:szCs w:val="20"/>
              </w:rPr>
              <w:t>3,6</w:t>
            </w:r>
          </w:p>
        </w:tc>
      </w:tr>
      <w:tr w:rsidR="009E26F4" w:rsidRPr="007D06D2" w:rsidTr="007D06D2">
        <w:trPr>
          <w:trHeight w:val="167"/>
        </w:trPr>
        <w:tc>
          <w:tcPr>
            <w:tcW w:w="4536" w:type="dxa"/>
            <w:tcBorders>
              <w:top w:val="nil"/>
              <w:left w:val="single" w:sz="4" w:space="0" w:color="auto"/>
              <w:bottom w:val="single" w:sz="4" w:space="0" w:color="auto"/>
              <w:right w:val="single" w:sz="4" w:space="0" w:color="auto"/>
            </w:tcBorders>
            <w:shd w:val="clear" w:color="auto" w:fill="auto"/>
            <w:vAlign w:val="center"/>
          </w:tcPr>
          <w:p w:rsidR="009E26F4" w:rsidRPr="007D06D2" w:rsidRDefault="009E26F4" w:rsidP="00191861">
            <w:pPr>
              <w:rPr>
                <w:sz w:val="20"/>
                <w:szCs w:val="20"/>
              </w:rPr>
            </w:pPr>
            <w:r w:rsidRPr="007D06D2">
              <w:rPr>
                <w:sz w:val="20"/>
                <w:szCs w:val="20"/>
              </w:rPr>
              <w:t>Компенсация расходов на оплату стоимости проезда, переезда и перевоза багажа работников в сфере дорожного хозяйства</w:t>
            </w:r>
          </w:p>
        </w:tc>
        <w:tc>
          <w:tcPr>
            <w:tcW w:w="1264" w:type="dxa"/>
            <w:tcBorders>
              <w:top w:val="nil"/>
              <w:left w:val="nil"/>
              <w:bottom w:val="single" w:sz="4" w:space="0" w:color="auto"/>
              <w:right w:val="single" w:sz="4" w:space="0" w:color="auto"/>
            </w:tcBorders>
            <w:shd w:val="clear" w:color="auto" w:fill="auto"/>
            <w:noWrap/>
            <w:vAlign w:val="center"/>
          </w:tcPr>
          <w:p w:rsidR="009E26F4" w:rsidRPr="007D06D2" w:rsidRDefault="009E26F4" w:rsidP="00191861">
            <w:pPr>
              <w:jc w:val="right"/>
              <w:rPr>
                <w:sz w:val="20"/>
                <w:szCs w:val="20"/>
              </w:rPr>
            </w:pPr>
            <w:r w:rsidRPr="007D06D2">
              <w:rPr>
                <w:sz w:val="20"/>
                <w:szCs w:val="20"/>
              </w:rPr>
              <w:t>3 390,8</w:t>
            </w:r>
          </w:p>
        </w:tc>
        <w:tc>
          <w:tcPr>
            <w:tcW w:w="1272" w:type="dxa"/>
            <w:tcBorders>
              <w:top w:val="nil"/>
              <w:left w:val="nil"/>
              <w:bottom w:val="single" w:sz="4" w:space="0" w:color="auto"/>
              <w:right w:val="single" w:sz="4" w:space="0" w:color="auto"/>
            </w:tcBorders>
            <w:shd w:val="clear" w:color="auto" w:fill="auto"/>
            <w:noWrap/>
            <w:vAlign w:val="center"/>
          </w:tcPr>
          <w:p w:rsidR="009E26F4" w:rsidRPr="007D06D2" w:rsidRDefault="009E26F4" w:rsidP="00191861">
            <w:pPr>
              <w:jc w:val="right"/>
              <w:rPr>
                <w:sz w:val="20"/>
                <w:szCs w:val="20"/>
              </w:rPr>
            </w:pPr>
            <w:r w:rsidRPr="007D06D2">
              <w:rPr>
                <w:sz w:val="20"/>
                <w:szCs w:val="20"/>
              </w:rPr>
              <w:t>3 302,3</w:t>
            </w:r>
          </w:p>
        </w:tc>
        <w:tc>
          <w:tcPr>
            <w:tcW w:w="1701" w:type="dxa"/>
            <w:tcBorders>
              <w:top w:val="nil"/>
              <w:left w:val="nil"/>
              <w:bottom w:val="single" w:sz="4" w:space="0" w:color="auto"/>
              <w:right w:val="single" w:sz="4" w:space="0" w:color="auto"/>
            </w:tcBorders>
            <w:shd w:val="clear" w:color="auto" w:fill="auto"/>
            <w:noWrap/>
            <w:vAlign w:val="center"/>
          </w:tcPr>
          <w:p w:rsidR="009E26F4" w:rsidRPr="007D06D2" w:rsidRDefault="009E26F4" w:rsidP="00191861">
            <w:pPr>
              <w:jc w:val="center"/>
              <w:rPr>
                <w:sz w:val="20"/>
                <w:szCs w:val="20"/>
              </w:rPr>
            </w:pPr>
            <w:r w:rsidRPr="007D06D2">
              <w:rPr>
                <w:sz w:val="20"/>
                <w:szCs w:val="20"/>
              </w:rPr>
              <w:t>97,4</w:t>
            </w:r>
          </w:p>
        </w:tc>
        <w:tc>
          <w:tcPr>
            <w:tcW w:w="1171" w:type="dxa"/>
            <w:tcBorders>
              <w:top w:val="nil"/>
              <w:left w:val="nil"/>
              <w:bottom w:val="single" w:sz="4" w:space="0" w:color="auto"/>
              <w:right w:val="single" w:sz="4" w:space="0" w:color="auto"/>
            </w:tcBorders>
            <w:vAlign w:val="center"/>
          </w:tcPr>
          <w:p w:rsidR="009E26F4" w:rsidRPr="007D06D2" w:rsidRDefault="009E26F4" w:rsidP="00191861">
            <w:pPr>
              <w:jc w:val="center"/>
              <w:rPr>
                <w:sz w:val="20"/>
                <w:szCs w:val="20"/>
              </w:rPr>
            </w:pPr>
            <w:r w:rsidRPr="007D06D2">
              <w:rPr>
                <w:sz w:val="20"/>
                <w:szCs w:val="20"/>
              </w:rPr>
              <w:t>менее 0,1</w:t>
            </w:r>
          </w:p>
        </w:tc>
      </w:tr>
      <w:tr w:rsidR="009E26F4" w:rsidRPr="007D06D2" w:rsidTr="007D06D2">
        <w:trPr>
          <w:trHeight w:val="167"/>
        </w:trPr>
        <w:tc>
          <w:tcPr>
            <w:tcW w:w="4536" w:type="dxa"/>
            <w:tcBorders>
              <w:top w:val="nil"/>
              <w:left w:val="single" w:sz="4" w:space="0" w:color="auto"/>
              <w:bottom w:val="single" w:sz="4" w:space="0" w:color="auto"/>
              <w:right w:val="single" w:sz="4" w:space="0" w:color="auto"/>
            </w:tcBorders>
            <w:shd w:val="clear" w:color="auto" w:fill="auto"/>
            <w:vAlign w:val="center"/>
          </w:tcPr>
          <w:p w:rsidR="009E26F4" w:rsidRPr="007D06D2" w:rsidRDefault="009E26F4" w:rsidP="00191861">
            <w:pPr>
              <w:rPr>
                <w:sz w:val="20"/>
                <w:szCs w:val="20"/>
              </w:rPr>
            </w:pPr>
            <w:r w:rsidRPr="007D06D2">
              <w:rPr>
                <w:sz w:val="20"/>
                <w:szCs w:val="20"/>
              </w:rPr>
              <w:t>Материально-техническое оснащение государственных учреждений, осуществляющих деятельность в сфере дорожного хозяйства</w:t>
            </w:r>
          </w:p>
        </w:tc>
        <w:tc>
          <w:tcPr>
            <w:tcW w:w="1264" w:type="dxa"/>
            <w:tcBorders>
              <w:top w:val="nil"/>
              <w:left w:val="nil"/>
              <w:bottom w:val="single" w:sz="4" w:space="0" w:color="auto"/>
              <w:right w:val="single" w:sz="4" w:space="0" w:color="auto"/>
            </w:tcBorders>
            <w:shd w:val="clear" w:color="auto" w:fill="auto"/>
            <w:noWrap/>
            <w:vAlign w:val="center"/>
          </w:tcPr>
          <w:p w:rsidR="009E26F4" w:rsidRPr="007D06D2" w:rsidRDefault="009E26F4" w:rsidP="00191861">
            <w:pPr>
              <w:jc w:val="right"/>
              <w:rPr>
                <w:sz w:val="20"/>
                <w:szCs w:val="20"/>
              </w:rPr>
            </w:pPr>
            <w:r w:rsidRPr="007D06D2">
              <w:rPr>
                <w:sz w:val="20"/>
                <w:szCs w:val="20"/>
              </w:rPr>
              <w:t>11 100,0</w:t>
            </w:r>
          </w:p>
        </w:tc>
        <w:tc>
          <w:tcPr>
            <w:tcW w:w="1272" w:type="dxa"/>
            <w:tcBorders>
              <w:top w:val="nil"/>
              <w:left w:val="nil"/>
              <w:bottom w:val="single" w:sz="4" w:space="0" w:color="auto"/>
              <w:right w:val="single" w:sz="4" w:space="0" w:color="auto"/>
            </w:tcBorders>
            <w:shd w:val="clear" w:color="auto" w:fill="auto"/>
            <w:noWrap/>
            <w:vAlign w:val="center"/>
          </w:tcPr>
          <w:p w:rsidR="009E26F4" w:rsidRPr="007D06D2" w:rsidRDefault="009E26F4" w:rsidP="00191861">
            <w:pPr>
              <w:jc w:val="right"/>
              <w:rPr>
                <w:sz w:val="20"/>
                <w:szCs w:val="20"/>
              </w:rPr>
            </w:pPr>
            <w:r w:rsidRPr="007D06D2">
              <w:rPr>
                <w:sz w:val="20"/>
                <w:szCs w:val="20"/>
              </w:rPr>
              <w:t>11 100,0</w:t>
            </w:r>
          </w:p>
        </w:tc>
        <w:tc>
          <w:tcPr>
            <w:tcW w:w="1701" w:type="dxa"/>
            <w:tcBorders>
              <w:top w:val="nil"/>
              <w:left w:val="nil"/>
              <w:bottom w:val="single" w:sz="4" w:space="0" w:color="auto"/>
              <w:right w:val="single" w:sz="4" w:space="0" w:color="auto"/>
            </w:tcBorders>
            <w:shd w:val="clear" w:color="auto" w:fill="auto"/>
            <w:noWrap/>
            <w:vAlign w:val="center"/>
          </w:tcPr>
          <w:p w:rsidR="009E26F4" w:rsidRPr="007D06D2" w:rsidRDefault="009E26F4" w:rsidP="00191861">
            <w:pPr>
              <w:jc w:val="center"/>
              <w:rPr>
                <w:sz w:val="20"/>
                <w:szCs w:val="20"/>
              </w:rPr>
            </w:pPr>
            <w:r w:rsidRPr="007D06D2">
              <w:rPr>
                <w:sz w:val="20"/>
                <w:szCs w:val="20"/>
              </w:rPr>
              <w:t>100,0</w:t>
            </w:r>
          </w:p>
        </w:tc>
        <w:tc>
          <w:tcPr>
            <w:tcW w:w="1171" w:type="dxa"/>
            <w:tcBorders>
              <w:top w:val="nil"/>
              <w:left w:val="nil"/>
              <w:bottom w:val="single" w:sz="4" w:space="0" w:color="auto"/>
              <w:right w:val="single" w:sz="4" w:space="0" w:color="auto"/>
            </w:tcBorders>
            <w:vAlign w:val="center"/>
          </w:tcPr>
          <w:p w:rsidR="009E26F4" w:rsidRPr="007D06D2" w:rsidRDefault="009E26F4" w:rsidP="00191861">
            <w:pPr>
              <w:jc w:val="center"/>
              <w:rPr>
                <w:sz w:val="20"/>
                <w:szCs w:val="20"/>
              </w:rPr>
            </w:pPr>
            <w:r w:rsidRPr="007D06D2">
              <w:rPr>
                <w:sz w:val="20"/>
                <w:szCs w:val="20"/>
              </w:rPr>
              <w:t>0,2</w:t>
            </w:r>
          </w:p>
        </w:tc>
      </w:tr>
      <w:tr w:rsidR="009E26F4" w:rsidRPr="007D06D2" w:rsidTr="007D06D2">
        <w:trPr>
          <w:trHeight w:val="167"/>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9E26F4" w:rsidRPr="007D06D2" w:rsidRDefault="009E26F4" w:rsidP="00191861">
            <w:pPr>
              <w:rPr>
                <w:sz w:val="20"/>
                <w:szCs w:val="20"/>
              </w:rPr>
            </w:pPr>
            <w:r w:rsidRPr="007D06D2">
              <w:rPr>
                <w:sz w:val="20"/>
                <w:szCs w:val="20"/>
              </w:rPr>
              <w:lastRenderedPageBreak/>
              <w:t>Выполнение ремонтно-восстановительных работ на объектах регионального значения государственными учреждениями, осуществляющими деятельность в сфере дорожного хозяйства</w:t>
            </w:r>
          </w:p>
        </w:tc>
        <w:tc>
          <w:tcPr>
            <w:tcW w:w="1264" w:type="dxa"/>
            <w:tcBorders>
              <w:top w:val="nil"/>
              <w:left w:val="nil"/>
              <w:bottom w:val="single" w:sz="4" w:space="0" w:color="auto"/>
              <w:right w:val="single" w:sz="4" w:space="0" w:color="auto"/>
            </w:tcBorders>
            <w:shd w:val="clear" w:color="auto" w:fill="auto"/>
            <w:noWrap/>
            <w:vAlign w:val="center"/>
            <w:hideMark/>
          </w:tcPr>
          <w:p w:rsidR="009E26F4" w:rsidRPr="007D06D2" w:rsidRDefault="009E26F4" w:rsidP="00191861">
            <w:pPr>
              <w:jc w:val="right"/>
              <w:rPr>
                <w:sz w:val="20"/>
                <w:szCs w:val="20"/>
              </w:rPr>
            </w:pPr>
            <w:r w:rsidRPr="007D06D2">
              <w:rPr>
                <w:sz w:val="20"/>
                <w:szCs w:val="20"/>
              </w:rPr>
              <w:t>3 926,5</w:t>
            </w:r>
          </w:p>
        </w:tc>
        <w:tc>
          <w:tcPr>
            <w:tcW w:w="1272" w:type="dxa"/>
            <w:tcBorders>
              <w:top w:val="nil"/>
              <w:left w:val="nil"/>
              <w:bottom w:val="single" w:sz="4" w:space="0" w:color="auto"/>
              <w:right w:val="single" w:sz="4" w:space="0" w:color="auto"/>
            </w:tcBorders>
            <w:shd w:val="clear" w:color="auto" w:fill="auto"/>
            <w:noWrap/>
            <w:vAlign w:val="center"/>
            <w:hideMark/>
          </w:tcPr>
          <w:p w:rsidR="009E26F4" w:rsidRPr="007D06D2" w:rsidRDefault="009E26F4" w:rsidP="00191861">
            <w:pPr>
              <w:jc w:val="right"/>
              <w:rPr>
                <w:sz w:val="20"/>
                <w:szCs w:val="20"/>
              </w:rPr>
            </w:pPr>
            <w:r w:rsidRPr="007D06D2">
              <w:rPr>
                <w:sz w:val="20"/>
                <w:szCs w:val="20"/>
              </w:rPr>
              <w:t>-</w:t>
            </w:r>
          </w:p>
        </w:tc>
        <w:tc>
          <w:tcPr>
            <w:tcW w:w="1701" w:type="dxa"/>
            <w:tcBorders>
              <w:top w:val="nil"/>
              <w:left w:val="nil"/>
              <w:bottom w:val="single" w:sz="4" w:space="0" w:color="auto"/>
              <w:right w:val="single" w:sz="4" w:space="0" w:color="auto"/>
            </w:tcBorders>
            <w:shd w:val="clear" w:color="auto" w:fill="auto"/>
            <w:noWrap/>
            <w:vAlign w:val="center"/>
            <w:hideMark/>
          </w:tcPr>
          <w:p w:rsidR="009E26F4" w:rsidRPr="007D06D2" w:rsidRDefault="009E26F4" w:rsidP="00191861">
            <w:pPr>
              <w:jc w:val="center"/>
              <w:rPr>
                <w:sz w:val="20"/>
                <w:szCs w:val="20"/>
              </w:rPr>
            </w:pPr>
            <w:r w:rsidRPr="007D06D2">
              <w:rPr>
                <w:sz w:val="20"/>
                <w:szCs w:val="20"/>
              </w:rPr>
              <w:t>-</w:t>
            </w:r>
          </w:p>
        </w:tc>
        <w:tc>
          <w:tcPr>
            <w:tcW w:w="1171" w:type="dxa"/>
            <w:tcBorders>
              <w:top w:val="nil"/>
              <w:left w:val="nil"/>
              <w:bottom w:val="single" w:sz="4" w:space="0" w:color="auto"/>
              <w:right w:val="single" w:sz="4" w:space="0" w:color="auto"/>
            </w:tcBorders>
            <w:vAlign w:val="center"/>
          </w:tcPr>
          <w:p w:rsidR="009E26F4" w:rsidRPr="007D06D2" w:rsidRDefault="009E26F4" w:rsidP="00191861">
            <w:pPr>
              <w:jc w:val="center"/>
              <w:rPr>
                <w:sz w:val="20"/>
                <w:szCs w:val="20"/>
              </w:rPr>
            </w:pPr>
            <w:r w:rsidRPr="007D06D2">
              <w:rPr>
                <w:sz w:val="20"/>
                <w:szCs w:val="20"/>
              </w:rPr>
              <w:t>-</w:t>
            </w:r>
          </w:p>
        </w:tc>
      </w:tr>
    </w:tbl>
    <w:p w:rsidR="009E26F4" w:rsidRPr="00467F9C" w:rsidRDefault="009E26F4" w:rsidP="00191861">
      <w:pPr>
        <w:autoSpaceDE w:val="0"/>
        <w:autoSpaceDN w:val="0"/>
        <w:adjustRightInd w:val="0"/>
        <w:spacing w:before="120"/>
        <w:ind w:firstLine="709"/>
        <w:jc w:val="both"/>
        <w:rPr>
          <w:sz w:val="28"/>
          <w:szCs w:val="28"/>
        </w:rPr>
      </w:pPr>
      <w:r w:rsidRPr="00467F9C">
        <w:rPr>
          <w:sz w:val="28"/>
          <w:szCs w:val="28"/>
        </w:rPr>
        <w:t>Использование средств Дорожного фонда осуществлялось в рамках двух подпрограмм «Совершенствование и развитие сети автомобильных дорог» и «Обеспечение деятельности государственных органов и подведомственных учреждений» Государственной программы «Развитие транспортной инфраструктуры Чукотского автономного округа».</w:t>
      </w:r>
    </w:p>
    <w:p w:rsidR="009E26F4" w:rsidRPr="00467F9C" w:rsidRDefault="009E26F4" w:rsidP="00191861">
      <w:pPr>
        <w:autoSpaceDE w:val="0"/>
        <w:autoSpaceDN w:val="0"/>
        <w:adjustRightInd w:val="0"/>
        <w:ind w:firstLine="708"/>
        <w:jc w:val="both"/>
        <w:rPr>
          <w:sz w:val="28"/>
          <w:szCs w:val="28"/>
        </w:rPr>
      </w:pPr>
      <w:r w:rsidRPr="00467F9C">
        <w:rPr>
          <w:sz w:val="28"/>
          <w:szCs w:val="28"/>
        </w:rPr>
        <w:t>Расходы Дорожного фонда, превышающие его доходы на 1 023 485,8 тыс. рублей, осуществлены за счет собственных средств окружного бюджета, что соответствует пункту 2 статьи 2 Закона Чукотского автономного округа от 26 сентября 2011 года №75-ОЗ «О дорожном фонде Чукотского автономного округа».</w:t>
      </w:r>
    </w:p>
    <w:p w:rsidR="009E26F4" w:rsidRPr="00467F9C" w:rsidRDefault="009E26F4" w:rsidP="00191861">
      <w:pPr>
        <w:spacing w:before="240" w:after="120"/>
        <w:jc w:val="center"/>
        <w:rPr>
          <w:b/>
          <w:sz w:val="28"/>
          <w:szCs w:val="28"/>
        </w:rPr>
      </w:pPr>
      <w:r w:rsidRPr="00467F9C">
        <w:rPr>
          <w:b/>
          <w:sz w:val="28"/>
          <w:szCs w:val="28"/>
        </w:rPr>
        <w:t>5.7. Резервный фонд Правительства Чукотского автономного округа</w:t>
      </w:r>
    </w:p>
    <w:p w:rsidR="009E26F4" w:rsidRPr="00467F9C" w:rsidRDefault="009E26F4" w:rsidP="00191861">
      <w:pPr>
        <w:ind w:firstLine="709"/>
        <w:jc w:val="both"/>
        <w:rPr>
          <w:sz w:val="28"/>
          <w:szCs w:val="28"/>
        </w:rPr>
      </w:pPr>
      <w:r w:rsidRPr="00467F9C">
        <w:rPr>
          <w:sz w:val="28"/>
          <w:szCs w:val="28"/>
        </w:rPr>
        <w:t>Первоначально Законом об окружном бюджете резервный фонд Правительства Чукотского автономного округа на непредвиденные расходы (далее – Резервный фонд) на 2021 год утвержден в объеме 150 000,0 тыс. рублей, в результате внесенных изменений увеличен на 91 000,0 тыс. рублей и составил 241 000,0 тыс. рублей. Доля Резервного фонда в общих расходах окружного бюджета составила 0,4%, что не превысило ограничения, установленные статьей 81 Бюджетного кодекса (3%).</w:t>
      </w:r>
    </w:p>
    <w:p w:rsidR="009E26F4" w:rsidRPr="00467F9C" w:rsidRDefault="009E26F4" w:rsidP="00191861">
      <w:pPr>
        <w:pStyle w:val="35"/>
        <w:shd w:val="clear" w:color="auto" w:fill="auto"/>
        <w:spacing w:line="240" w:lineRule="auto"/>
        <w:ind w:firstLine="709"/>
        <w:jc w:val="both"/>
        <w:rPr>
          <w:sz w:val="28"/>
          <w:szCs w:val="28"/>
        </w:rPr>
      </w:pPr>
      <w:r w:rsidRPr="00467F9C">
        <w:rPr>
          <w:rFonts w:eastAsia="Calibri"/>
          <w:sz w:val="28"/>
          <w:szCs w:val="28"/>
        </w:rPr>
        <w:t>Согласно статье 81 Бюджетного кодекса, бюджетные ассигнования используются по решению Правительства Чукотского автономного округа в соответствии с</w:t>
      </w:r>
      <w:r w:rsidRPr="00467F9C">
        <w:rPr>
          <w:sz w:val="28"/>
          <w:szCs w:val="28"/>
        </w:rPr>
        <w:t xml:space="preserve"> Положением о порядке расходования средств Резервного фонда</w:t>
      </w:r>
      <w:r w:rsidRPr="00467F9C">
        <w:rPr>
          <w:rStyle w:val="ab"/>
          <w:sz w:val="28"/>
          <w:szCs w:val="28"/>
        </w:rPr>
        <w:footnoteReference w:id="76"/>
      </w:r>
      <w:r w:rsidRPr="00467F9C">
        <w:rPr>
          <w:sz w:val="28"/>
          <w:szCs w:val="28"/>
        </w:rPr>
        <w:t>.</w:t>
      </w:r>
    </w:p>
    <w:p w:rsidR="009E26F4" w:rsidRPr="00467F9C" w:rsidRDefault="009E26F4" w:rsidP="00191861">
      <w:pPr>
        <w:pStyle w:val="aff4"/>
        <w:ind w:firstLine="709"/>
        <w:jc w:val="both"/>
        <w:rPr>
          <w:rFonts w:ascii="Times New Roman" w:hAnsi="Times New Roman" w:cs="Times New Roman"/>
          <w:sz w:val="28"/>
          <w:szCs w:val="28"/>
        </w:rPr>
      </w:pPr>
      <w:bookmarkStart w:id="35" w:name="_Hlk40541157"/>
      <w:r w:rsidRPr="00467F9C">
        <w:rPr>
          <w:rFonts w:ascii="Times New Roman" w:hAnsi="Times New Roman" w:cs="Times New Roman"/>
          <w:bCs/>
          <w:sz w:val="28"/>
          <w:szCs w:val="28"/>
        </w:rPr>
        <w:t>Расходы Резервного фонда планируются по подразделу 01 11 «</w:t>
      </w:r>
      <w:r w:rsidRPr="00467F9C">
        <w:rPr>
          <w:rFonts w:ascii="Times New Roman" w:eastAsiaTheme="minorHAnsi" w:hAnsi="Times New Roman" w:cs="Times New Roman"/>
          <w:sz w:val="28"/>
          <w:szCs w:val="28"/>
          <w:lang w:eastAsia="en-US"/>
        </w:rPr>
        <w:t>Резервные фонды»</w:t>
      </w:r>
      <w:r w:rsidRPr="00467F9C">
        <w:rPr>
          <w:rFonts w:ascii="Times New Roman" w:hAnsi="Times New Roman" w:cs="Times New Roman"/>
          <w:bCs/>
          <w:sz w:val="28"/>
          <w:szCs w:val="28"/>
        </w:rPr>
        <w:t xml:space="preserve"> и при исполнении распределяются по всей бюджетной классификации в соответствии с назначением расходования средств. </w:t>
      </w:r>
    </w:p>
    <w:bookmarkEnd w:id="35"/>
    <w:p w:rsidR="009E26F4" w:rsidRPr="00467F9C" w:rsidRDefault="009E26F4" w:rsidP="00191861">
      <w:pPr>
        <w:ind w:right="-2" w:firstLine="709"/>
        <w:jc w:val="both"/>
        <w:rPr>
          <w:sz w:val="28"/>
          <w:szCs w:val="28"/>
        </w:rPr>
      </w:pPr>
      <w:r w:rsidRPr="00467F9C">
        <w:rPr>
          <w:sz w:val="28"/>
          <w:szCs w:val="28"/>
        </w:rPr>
        <w:t>Информация об использовании средств Резервного фонда в 2021 году представлена в таблице №18.</w:t>
      </w:r>
    </w:p>
    <w:p w:rsidR="009E26F4" w:rsidRPr="00467F9C" w:rsidRDefault="009E26F4" w:rsidP="00191861">
      <w:pPr>
        <w:ind w:right="-2" w:firstLine="708"/>
        <w:jc w:val="right"/>
        <w:rPr>
          <w:sz w:val="28"/>
          <w:szCs w:val="28"/>
        </w:rPr>
      </w:pPr>
      <w:r w:rsidRPr="00467F9C">
        <w:rPr>
          <w:sz w:val="28"/>
          <w:szCs w:val="28"/>
        </w:rPr>
        <w:t>Таблица №18</w:t>
      </w:r>
    </w:p>
    <w:p w:rsidR="009E26F4" w:rsidRPr="00467F9C" w:rsidRDefault="009E26F4" w:rsidP="00191861">
      <w:pPr>
        <w:ind w:right="-2" w:firstLine="708"/>
        <w:jc w:val="right"/>
        <w:rPr>
          <w:sz w:val="28"/>
          <w:szCs w:val="28"/>
        </w:rPr>
      </w:pPr>
      <w:r w:rsidRPr="00467F9C">
        <w:rPr>
          <w:sz w:val="28"/>
          <w:szCs w:val="28"/>
        </w:rPr>
        <w:t>(тыс. рублей)</w:t>
      </w:r>
    </w:p>
    <w:tbl>
      <w:tblPr>
        <w:tblW w:w="99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418"/>
        <w:gridCol w:w="1417"/>
        <w:gridCol w:w="1745"/>
      </w:tblGrid>
      <w:tr w:rsidR="009E26F4" w:rsidRPr="007D06D2" w:rsidTr="007D06D2">
        <w:trPr>
          <w:trHeight w:val="56"/>
          <w:tblHeader/>
        </w:trPr>
        <w:tc>
          <w:tcPr>
            <w:tcW w:w="5387" w:type="dxa"/>
            <w:shd w:val="clear" w:color="auto" w:fill="auto"/>
            <w:vAlign w:val="center"/>
            <w:hideMark/>
          </w:tcPr>
          <w:p w:rsidR="009E26F4" w:rsidRPr="007D06D2" w:rsidRDefault="009E26F4" w:rsidP="00191861">
            <w:pPr>
              <w:jc w:val="center"/>
              <w:rPr>
                <w:sz w:val="20"/>
                <w:szCs w:val="20"/>
              </w:rPr>
            </w:pPr>
            <w:r w:rsidRPr="007D06D2">
              <w:rPr>
                <w:sz w:val="20"/>
                <w:szCs w:val="20"/>
              </w:rPr>
              <w:t xml:space="preserve">Наименование </w:t>
            </w:r>
            <w:r w:rsidRPr="007D06D2">
              <w:rPr>
                <w:sz w:val="20"/>
                <w:szCs w:val="20"/>
              </w:rPr>
              <w:br/>
              <w:t xml:space="preserve">главного распорядителя средств бюджета </w:t>
            </w:r>
          </w:p>
        </w:tc>
        <w:tc>
          <w:tcPr>
            <w:tcW w:w="1418" w:type="dxa"/>
            <w:shd w:val="clear" w:color="auto" w:fill="auto"/>
            <w:vAlign w:val="center"/>
            <w:hideMark/>
          </w:tcPr>
          <w:p w:rsidR="009E26F4" w:rsidRPr="007D06D2" w:rsidRDefault="009E26F4" w:rsidP="00191861">
            <w:pPr>
              <w:jc w:val="center"/>
              <w:rPr>
                <w:sz w:val="20"/>
                <w:szCs w:val="20"/>
              </w:rPr>
            </w:pPr>
            <w:r w:rsidRPr="007D06D2">
              <w:rPr>
                <w:sz w:val="20"/>
                <w:szCs w:val="20"/>
              </w:rPr>
              <w:t xml:space="preserve">Распределено </w:t>
            </w:r>
          </w:p>
        </w:tc>
        <w:tc>
          <w:tcPr>
            <w:tcW w:w="1417" w:type="dxa"/>
            <w:shd w:val="clear" w:color="auto" w:fill="auto"/>
            <w:vAlign w:val="center"/>
            <w:hideMark/>
          </w:tcPr>
          <w:p w:rsidR="009E26F4" w:rsidRPr="007D06D2" w:rsidRDefault="009E26F4" w:rsidP="00191861">
            <w:pPr>
              <w:jc w:val="center"/>
              <w:rPr>
                <w:sz w:val="20"/>
                <w:szCs w:val="20"/>
              </w:rPr>
            </w:pPr>
            <w:r w:rsidRPr="007D06D2">
              <w:rPr>
                <w:sz w:val="20"/>
                <w:szCs w:val="20"/>
              </w:rPr>
              <w:t>Использовано</w:t>
            </w:r>
          </w:p>
        </w:tc>
        <w:tc>
          <w:tcPr>
            <w:tcW w:w="1745" w:type="dxa"/>
            <w:shd w:val="clear" w:color="auto" w:fill="auto"/>
            <w:vAlign w:val="center"/>
            <w:hideMark/>
          </w:tcPr>
          <w:p w:rsidR="009E26F4" w:rsidRPr="007D06D2" w:rsidRDefault="009E26F4" w:rsidP="00191861">
            <w:pPr>
              <w:jc w:val="center"/>
              <w:rPr>
                <w:sz w:val="20"/>
                <w:szCs w:val="20"/>
              </w:rPr>
            </w:pPr>
            <w:r w:rsidRPr="007D06D2">
              <w:rPr>
                <w:sz w:val="20"/>
                <w:szCs w:val="20"/>
              </w:rPr>
              <w:t>Остаток средств (гр.3 - гр.2)</w:t>
            </w:r>
          </w:p>
        </w:tc>
      </w:tr>
      <w:tr w:rsidR="009E26F4" w:rsidRPr="007D06D2" w:rsidTr="007D06D2">
        <w:trPr>
          <w:trHeight w:val="56"/>
          <w:tblHeader/>
        </w:trPr>
        <w:tc>
          <w:tcPr>
            <w:tcW w:w="5387" w:type="dxa"/>
            <w:shd w:val="clear" w:color="auto" w:fill="auto"/>
            <w:vAlign w:val="center"/>
            <w:hideMark/>
          </w:tcPr>
          <w:p w:rsidR="009E26F4" w:rsidRPr="007D06D2" w:rsidRDefault="009E26F4" w:rsidP="00191861">
            <w:pPr>
              <w:jc w:val="center"/>
              <w:rPr>
                <w:sz w:val="20"/>
                <w:szCs w:val="20"/>
              </w:rPr>
            </w:pPr>
            <w:r w:rsidRPr="007D06D2">
              <w:rPr>
                <w:sz w:val="20"/>
                <w:szCs w:val="20"/>
              </w:rPr>
              <w:t>1</w:t>
            </w:r>
          </w:p>
        </w:tc>
        <w:tc>
          <w:tcPr>
            <w:tcW w:w="1418" w:type="dxa"/>
            <w:shd w:val="clear" w:color="auto" w:fill="auto"/>
            <w:vAlign w:val="center"/>
            <w:hideMark/>
          </w:tcPr>
          <w:p w:rsidR="009E26F4" w:rsidRPr="007D06D2" w:rsidRDefault="009E26F4" w:rsidP="00191861">
            <w:pPr>
              <w:jc w:val="center"/>
              <w:rPr>
                <w:sz w:val="20"/>
                <w:szCs w:val="20"/>
              </w:rPr>
            </w:pPr>
            <w:r w:rsidRPr="007D06D2">
              <w:rPr>
                <w:sz w:val="20"/>
                <w:szCs w:val="20"/>
              </w:rPr>
              <w:t>2</w:t>
            </w:r>
          </w:p>
        </w:tc>
        <w:tc>
          <w:tcPr>
            <w:tcW w:w="1417" w:type="dxa"/>
            <w:shd w:val="clear" w:color="auto" w:fill="auto"/>
            <w:vAlign w:val="center"/>
            <w:hideMark/>
          </w:tcPr>
          <w:p w:rsidR="009E26F4" w:rsidRPr="007D06D2" w:rsidRDefault="009E26F4" w:rsidP="00191861">
            <w:pPr>
              <w:jc w:val="center"/>
              <w:rPr>
                <w:sz w:val="20"/>
                <w:szCs w:val="20"/>
              </w:rPr>
            </w:pPr>
            <w:r w:rsidRPr="007D06D2">
              <w:rPr>
                <w:sz w:val="20"/>
                <w:szCs w:val="20"/>
              </w:rPr>
              <w:t>3</w:t>
            </w:r>
          </w:p>
        </w:tc>
        <w:tc>
          <w:tcPr>
            <w:tcW w:w="1745" w:type="dxa"/>
            <w:shd w:val="clear" w:color="auto" w:fill="auto"/>
            <w:vAlign w:val="center"/>
            <w:hideMark/>
          </w:tcPr>
          <w:p w:rsidR="009E26F4" w:rsidRPr="007D06D2" w:rsidRDefault="009E26F4" w:rsidP="00191861">
            <w:pPr>
              <w:jc w:val="center"/>
              <w:rPr>
                <w:sz w:val="20"/>
                <w:szCs w:val="20"/>
              </w:rPr>
            </w:pPr>
            <w:r w:rsidRPr="007D06D2">
              <w:rPr>
                <w:sz w:val="20"/>
                <w:szCs w:val="20"/>
              </w:rPr>
              <w:t>4</w:t>
            </w:r>
          </w:p>
        </w:tc>
      </w:tr>
      <w:tr w:rsidR="009E26F4" w:rsidRPr="007D06D2" w:rsidTr="007D06D2">
        <w:trPr>
          <w:trHeight w:val="219"/>
        </w:trPr>
        <w:tc>
          <w:tcPr>
            <w:tcW w:w="5387" w:type="dxa"/>
            <w:shd w:val="clear" w:color="auto" w:fill="auto"/>
            <w:vAlign w:val="center"/>
            <w:hideMark/>
          </w:tcPr>
          <w:p w:rsidR="009E26F4" w:rsidRPr="007D06D2" w:rsidRDefault="009E26F4" w:rsidP="00191861">
            <w:pPr>
              <w:rPr>
                <w:b/>
                <w:bCs/>
                <w:sz w:val="20"/>
                <w:szCs w:val="20"/>
              </w:rPr>
            </w:pPr>
            <w:r w:rsidRPr="007D06D2">
              <w:rPr>
                <w:b/>
                <w:bCs/>
                <w:sz w:val="20"/>
                <w:szCs w:val="20"/>
              </w:rPr>
              <w:t>Всего, в том числе</w:t>
            </w:r>
          </w:p>
        </w:tc>
        <w:tc>
          <w:tcPr>
            <w:tcW w:w="1418" w:type="dxa"/>
            <w:shd w:val="clear" w:color="auto" w:fill="auto"/>
            <w:noWrap/>
            <w:vAlign w:val="center"/>
            <w:hideMark/>
          </w:tcPr>
          <w:p w:rsidR="009E26F4" w:rsidRPr="007D06D2" w:rsidRDefault="009E26F4" w:rsidP="00191861">
            <w:pPr>
              <w:jc w:val="right"/>
              <w:rPr>
                <w:b/>
                <w:sz w:val="20"/>
                <w:szCs w:val="20"/>
              </w:rPr>
            </w:pPr>
            <w:r w:rsidRPr="007D06D2">
              <w:rPr>
                <w:b/>
                <w:sz w:val="20"/>
                <w:szCs w:val="20"/>
              </w:rPr>
              <w:t>236 824,7</w:t>
            </w:r>
          </w:p>
        </w:tc>
        <w:tc>
          <w:tcPr>
            <w:tcW w:w="1417" w:type="dxa"/>
            <w:shd w:val="clear" w:color="auto" w:fill="auto"/>
            <w:noWrap/>
            <w:vAlign w:val="center"/>
            <w:hideMark/>
          </w:tcPr>
          <w:p w:rsidR="009E26F4" w:rsidRPr="007D06D2" w:rsidRDefault="009E26F4" w:rsidP="00191861">
            <w:pPr>
              <w:jc w:val="right"/>
              <w:rPr>
                <w:b/>
                <w:sz w:val="20"/>
                <w:szCs w:val="20"/>
              </w:rPr>
            </w:pPr>
            <w:r w:rsidRPr="007D06D2">
              <w:rPr>
                <w:b/>
                <w:sz w:val="20"/>
                <w:szCs w:val="20"/>
              </w:rPr>
              <w:t>230 613,5</w:t>
            </w:r>
          </w:p>
        </w:tc>
        <w:tc>
          <w:tcPr>
            <w:tcW w:w="1745" w:type="dxa"/>
            <w:shd w:val="clear" w:color="auto" w:fill="auto"/>
            <w:noWrap/>
            <w:vAlign w:val="center"/>
            <w:hideMark/>
          </w:tcPr>
          <w:p w:rsidR="009E26F4" w:rsidRPr="007D06D2" w:rsidRDefault="009E26F4" w:rsidP="00191861">
            <w:pPr>
              <w:jc w:val="right"/>
              <w:rPr>
                <w:b/>
                <w:bCs/>
                <w:sz w:val="20"/>
                <w:szCs w:val="20"/>
              </w:rPr>
            </w:pPr>
            <w:r w:rsidRPr="007D06D2">
              <w:rPr>
                <w:b/>
                <w:bCs/>
                <w:sz w:val="20"/>
                <w:szCs w:val="20"/>
              </w:rPr>
              <w:t>-6 211,2</w:t>
            </w:r>
          </w:p>
        </w:tc>
      </w:tr>
      <w:tr w:rsidR="009E26F4" w:rsidRPr="007D06D2" w:rsidTr="007D06D2">
        <w:trPr>
          <w:trHeight w:val="223"/>
        </w:trPr>
        <w:tc>
          <w:tcPr>
            <w:tcW w:w="5387" w:type="dxa"/>
            <w:shd w:val="clear" w:color="auto" w:fill="auto"/>
            <w:vAlign w:val="center"/>
            <w:hideMark/>
          </w:tcPr>
          <w:p w:rsidR="009E26F4" w:rsidRPr="007D06D2" w:rsidRDefault="009E26F4" w:rsidP="00191861">
            <w:pPr>
              <w:rPr>
                <w:sz w:val="20"/>
                <w:szCs w:val="20"/>
              </w:rPr>
            </w:pPr>
            <w:r w:rsidRPr="007D06D2">
              <w:rPr>
                <w:sz w:val="20"/>
                <w:szCs w:val="20"/>
              </w:rPr>
              <w:t xml:space="preserve">902 Департамент промышленной политики </w:t>
            </w:r>
          </w:p>
        </w:tc>
        <w:tc>
          <w:tcPr>
            <w:tcW w:w="1418" w:type="dxa"/>
            <w:shd w:val="clear" w:color="auto" w:fill="auto"/>
            <w:noWrap/>
            <w:vAlign w:val="center"/>
            <w:hideMark/>
          </w:tcPr>
          <w:p w:rsidR="009E26F4" w:rsidRPr="007D06D2" w:rsidRDefault="009E26F4" w:rsidP="00191861">
            <w:pPr>
              <w:jc w:val="right"/>
              <w:rPr>
                <w:bCs/>
                <w:sz w:val="20"/>
                <w:szCs w:val="20"/>
              </w:rPr>
            </w:pPr>
            <w:r w:rsidRPr="007D06D2">
              <w:rPr>
                <w:bCs/>
                <w:sz w:val="20"/>
                <w:szCs w:val="20"/>
              </w:rPr>
              <w:t>12 161,8</w:t>
            </w:r>
          </w:p>
        </w:tc>
        <w:tc>
          <w:tcPr>
            <w:tcW w:w="1417" w:type="dxa"/>
            <w:shd w:val="clear" w:color="auto" w:fill="auto"/>
            <w:noWrap/>
            <w:vAlign w:val="center"/>
            <w:hideMark/>
          </w:tcPr>
          <w:p w:rsidR="009E26F4" w:rsidRPr="007D06D2" w:rsidRDefault="009E26F4" w:rsidP="00191861">
            <w:pPr>
              <w:jc w:val="right"/>
              <w:rPr>
                <w:bCs/>
                <w:sz w:val="20"/>
                <w:szCs w:val="20"/>
              </w:rPr>
            </w:pPr>
            <w:r w:rsidRPr="007D06D2">
              <w:rPr>
                <w:bCs/>
                <w:sz w:val="20"/>
                <w:szCs w:val="20"/>
              </w:rPr>
              <w:t>12 155,8</w:t>
            </w:r>
          </w:p>
        </w:tc>
        <w:tc>
          <w:tcPr>
            <w:tcW w:w="1745" w:type="dxa"/>
            <w:shd w:val="clear" w:color="auto" w:fill="auto"/>
            <w:noWrap/>
            <w:vAlign w:val="center"/>
            <w:hideMark/>
          </w:tcPr>
          <w:p w:rsidR="009E26F4" w:rsidRPr="007D06D2" w:rsidRDefault="009E26F4" w:rsidP="00191861">
            <w:pPr>
              <w:jc w:val="right"/>
              <w:rPr>
                <w:sz w:val="20"/>
                <w:szCs w:val="20"/>
              </w:rPr>
            </w:pPr>
            <w:r w:rsidRPr="007D06D2">
              <w:rPr>
                <w:sz w:val="20"/>
                <w:szCs w:val="20"/>
              </w:rPr>
              <w:t>-6,0</w:t>
            </w:r>
          </w:p>
        </w:tc>
      </w:tr>
      <w:tr w:rsidR="009E26F4" w:rsidRPr="007D06D2" w:rsidTr="007D06D2">
        <w:trPr>
          <w:trHeight w:val="214"/>
        </w:trPr>
        <w:tc>
          <w:tcPr>
            <w:tcW w:w="5387" w:type="dxa"/>
            <w:shd w:val="clear" w:color="auto" w:fill="auto"/>
            <w:vAlign w:val="center"/>
            <w:hideMark/>
          </w:tcPr>
          <w:p w:rsidR="009E26F4" w:rsidRPr="007D06D2" w:rsidRDefault="009E26F4" w:rsidP="00191861">
            <w:pPr>
              <w:rPr>
                <w:sz w:val="20"/>
                <w:szCs w:val="20"/>
              </w:rPr>
            </w:pPr>
            <w:r w:rsidRPr="007D06D2">
              <w:rPr>
                <w:sz w:val="20"/>
                <w:szCs w:val="20"/>
              </w:rPr>
              <w:t xml:space="preserve">903 Департамент социальной политики </w:t>
            </w:r>
          </w:p>
        </w:tc>
        <w:tc>
          <w:tcPr>
            <w:tcW w:w="1418" w:type="dxa"/>
            <w:shd w:val="clear" w:color="auto" w:fill="auto"/>
            <w:noWrap/>
            <w:vAlign w:val="center"/>
            <w:hideMark/>
          </w:tcPr>
          <w:p w:rsidR="009E26F4" w:rsidRPr="007D06D2" w:rsidRDefault="009E26F4" w:rsidP="00191861">
            <w:pPr>
              <w:jc w:val="right"/>
              <w:rPr>
                <w:bCs/>
                <w:sz w:val="20"/>
                <w:szCs w:val="20"/>
              </w:rPr>
            </w:pPr>
            <w:r w:rsidRPr="007D06D2">
              <w:rPr>
                <w:bCs/>
                <w:sz w:val="20"/>
                <w:szCs w:val="20"/>
              </w:rPr>
              <w:t>42 982,4</w:t>
            </w:r>
          </w:p>
        </w:tc>
        <w:tc>
          <w:tcPr>
            <w:tcW w:w="1417" w:type="dxa"/>
            <w:shd w:val="clear" w:color="auto" w:fill="auto"/>
            <w:noWrap/>
            <w:vAlign w:val="center"/>
            <w:hideMark/>
          </w:tcPr>
          <w:p w:rsidR="009E26F4" w:rsidRPr="007D06D2" w:rsidRDefault="009E26F4" w:rsidP="00191861">
            <w:pPr>
              <w:jc w:val="right"/>
              <w:rPr>
                <w:bCs/>
                <w:sz w:val="20"/>
                <w:szCs w:val="20"/>
              </w:rPr>
            </w:pPr>
            <w:r w:rsidRPr="007D06D2">
              <w:rPr>
                <w:bCs/>
                <w:sz w:val="20"/>
                <w:szCs w:val="20"/>
              </w:rPr>
              <w:t>42 778,6</w:t>
            </w:r>
          </w:p>
        </w:tc>
        <w:tc>
          <w:tcPr>
            <w:tcW w:w="1745" w:type="dxa"/>
            <w:shd w:val="clear" w:color="auto" w:fill="auto"/>
            <w:noWrap/>
            <w:vAlign w:val="center"/>
            <w:hideMark/>
          </w:tcPr>
          <w:p w:rsidR="009E26F4" w:rsidRPr="007D06D2" w:rsidRDefault="009E26F4" w:rsidP="00191861">
            <w:pPr>
              <w:jc w:val="right"/>
              <w:rPr>
                <w:sz w:val="20"/>
                <w:szCs w:val="20"/>
              </w:rPr>
            </w:pPr>
            <w:r w:rsidRPr="007D06D2">
              <w:rPr>
                <w:sz w:val="20"/>
                <w:szCs w:val="20"/>
              </w:rPr>
              <w:t>-203,8</w:t>
            </w:r>
          </w:p>
        </w:tc>
      </w:tr>
      <w:tr w:rsidR="009E26F4" w:rsidRPr="007D06D2" w:rsidTr="007D06D2">
        <w:trPr>
          <w:trHeight w:val="230"/>
        </w:trPr>
        <w:tc>
          <w:tcPr>
            <w:tcW w:w="5387" w:type="dxa"/>
            <w:shd w:val="clear" w:color="auto" w:fill="auto"/>
            <w:vAlign w:val="center"/>
            <w:hideMark/>
          </w:tcPr>
          <w:p w:rsidR="009E26F4" w:rsidRPr="007D06D2" w:rsidRDefault="009E26F4" w:rsidP="00191861">
            <w:pPr>
              <w:rPr>
                <w:sz w:val="20"/>
                <w:szCs w:val="20"/>
              </w:rPr>
            </w:pPr>
            <w:r w:rsidRPr="007D06D2">
              <w:rPr>
                <w:sz w:val="20"/>
                <w:szCs w:val="20"/>
              </w:rPr>
              <w:t xml:space="preserve">905 Департамент финансов, экономики и имущественных отношений </w:t>
            </w:r>
          </w:p>
        </w:tc>
        <w:tc>
          <w:tcPr>
            <w:tcW w:w="1418" w:type="dxa"/>
            <w:shd w:val="clear" w:color="auto" w:fill="auto"/>
            <w:noWrap/>
            <w:vAlign w:val="center"/>
            <w:hideMark/>
          </w:tcPr>
          <w:p w:rsidR="009E26F4" w:rsidRPr="007D06D2" w:rsidRDefault="009E26F4" w:rsidP="00191861">
            <w:pPr>
              <w:jc w:val="right"/>
              <w:rPr>
                <w:bCs/>
                <w:sz w:val="20"/>
                <w:szCs w:val="20"/>
              </w:rPr>
            </w:pPr>
            <w:r w:rsidRPr="007D06D2">
              <w:rPr>
                <w:bCs/>
                <w:sz w:val="20"/>
                <w:szCs w:val="20"/>
              </w:rPr>
              <w:t>520,8</w:t>
            </w:r>
          </w:p>
        </w:tc>
        <w:tc>
          <w:tcPr>
            <w:tcW w:w="1417" w:type="dxa"/>
            <w:shd w:val="clear" w:color="auto" w:fill="auto"/>
            <w:noWrap/>
            <w:vAlign w:val="center"/>
            <w:hideMark/>
          </w:tcPr>
          <w:p w:rsidR="009E26F4" w:rsidRPr="007D06D2" w:rsidRDefault="009E26F4" w:rsidP="00191861">
            <w:pPr>
              <w:jc w:val="right"/>
              <w:rPr>
                <w:bCs/>
                <w:sz w:val="20"/>
                <w:szCs w:val="20"/>
              </w:rPr>
            </w:pPr>
            <w:r w:rsidRPr="007D06D2">
              <w:rPr>
                <w:bCs/>
                <w:sz w:val="20"/>
                <w:szCs w:val="20"/>
              </w:rPr>
              <w:t>294,9</w:t>
            </w:r>
          </w:p>
        </w:tc>
        <w:tc>
          <w:tcPr>
            <w:tcW w:w="1745" w:type="dxa"/>
            <w:shd w:val="clear" w:color="auto" w:fill="auto"/>
            <w:noWrap/>
            <w:vAlign w:val="center"/>
            <w:hideMark/>
          </w:tcPr>
          <w:p w:rsidR="009E26F4" w:rsidRPr="007D06D2" w:rsidRDefault="009E26F4" w:rsidP="00191861">
            <w:pPr>
              <w:jc w:val="right"/>
              <w:rPr>
                <w:sz w:val="20"/>
                <w:szCs w:val="20"/>
              </w:rPr>
            </w:pPr>
            <w:r w:rsidRPr="007D06D2">
              <w:rPr>
                <w:sz w:val="20"/>
                <w:szCs w:val="20"/>
              </w:rPr>
              <w:t>-225,9</w:t>
            </w:r>
          </w:p>
        </w:tc>
      </w:tr>
      <w:tr w:rsidR="009E26F4" w:rsidRPr="007D06D2" w:rsidTr="007D06D2">
        <w:trPr>
          <w:trHeight w:val="221"/>
        </w:trPr>
        <w:tc>
          <w:tcPr>
            <w:tcW w:w="5387" w:type="dxa"/>
            <w:shd w:val="clear" w:color="auto" w:fill="auto"/>
            <w:vAlign w:val="center"/>
          </w:tcPr>
          <w:p w:rsidR="009E26F4" w:rsidRPr="007D06D2" w:rsidRDefault="009E26F4" w:rsidP="00191861">
            <w:pPr>
              <w:rPr>
                <w:sz w:val="20"/>
                <w:szCs w:val="20"/>
              </w:rPr>
            </w:pPr>
            <w:r w:rsidRPr="007D06D2">
              <w:rPr>
                <w:sz w:val="20"/>
                <w:szCs w:val="20"/>
              </w:rPr>
              <w:t>906 Департамент сельского хозяйства</w:t>
            </w:r>
          </w:p>
        </w:tc>
        <w:tc>
          <w:tcPr>
            <w:tcW w:w="1418" w:type="dxa"/>
            <w:shd w:val="clear" w:color="auto" w:fill="auto"/>
            <w:noWrap/>
            <w:vAlign w:val="center"/>
          </w:tcPr>
          <w:p w:rsidR="009E26F4" w:rsidRPr="007D06D2" w:rsidRDefault="009E26F4" w:rsidP="00191861">
            <w:pPr>
              <w:jc w:val="right"/>
              <w:rPr>
                <w:bCs/>
                <w:sz w:val="20"/>
                <w:szCs w:val="20"/>
              </w:rPr>
            </w:pPr>
            <w:r w:rsidRPr="007D06D2">
              <w:rPr>
                <w:bCs/>
                <w:sz w:val="20"/>
                <w:szCs w:val="20"/>
              </w:rPr>
              <w:t>6 887,5</w:t>
            </w:r>
          </w:p>
        </w:tc>
        <w:tc>
          <w:tcPr>
            <w:tcW w:w="1417" w:type="dxa"/>
            <w:shd w:val="clear" w:color="auto" w:fill="auto"/>
            <w:noWrap/>
            <w:vAlign w:val="center"/>
          </w:tcPr>
          <w:p w:rsidR="009E26F4" w:rsidRPr="007D06D2" w:rsidRDefault="009E26F4" w:rsidP="00191861">
            <w:pPr>
              <w:jc w:val="right"/>
              <w:rPr>
                <w:bCs/>
                <w:sz w:val="20"/>
                <w:szCs w:val="20"/>
              </w:rPr>
            </w:pPr>
            <w:r w:rsidRPr="007D06D2">
              <w:rPr>
                <w:bCs/>
                <w:sz w:val="20"/>
                <w:szCs w:val="20"/>
              </w:rPr>
              <w:t>6 887,5</w:t>
            </w:r>
          </w:p>
        </w:tc>
        <w:tc>
          <w:tcPr>
            <w:tcW w:w="1745" w:type="dxa"/>
            <w:shd w:val="clear" w:color="auto" w:fill="auto"/>
            <w:noWrap/>
            <w:vAlign w:val="center"/>
          </w:tcPr>
          <w:p w:rsidR="009E26F4" w:rsidRPr="007D06D2" w:rsidRDefault="009E26F4" w:rsidP="00191861">
            <w:pPr>
              <w:jc w:val="right"/>
              <w:rPr>
                <w:sz w:val="20"/>
                <w:szCs w:val="20"/>
              </w:rPr>
            </w:pPr>
            <w:r w:rsidRPr="007D06D2">
              <w:rPr>
                <w:sz w:val="20"/>
                <w:szCs w:val="20"/>
              </w:rPr>
              <w:t>-</w:t>
            </w:r>
          </w:p>
        </w:tc>
      </w:tr>
      <w:tr w:rsidR="009E26F4" w:rsidRPr="007D06D2" w:rsidTr="007D06D2">
        <w:trPr>
          <w:trHeight w:val="221"/>
        </w:trPr>
        <w:tc>
          <w:tcPr>
            <w:tcW w:w="5387" w:type="dxa"/>
            <w:shd w:val="clear" w:color="auto" w:fill="auto"/>
            <w:vAlign w:val="center"/>
            <w:hideMark/>
          </w:tcPr>
          <w:p w:rsidR="009E26F4" w:rsidRPr="007D06D2" w:rsidRDefault="009E26F4" w:rsidP="00191861">
            <w:pPr>
              <w:rPr>
                <w:sz w:val="20"/>
                <w:szCs w:val="20"/>
              </w:rPr>
            </w:pPr>
            <w:r w:rsidRPr="007D06D2">
              <w:rPr>
                <w:sz w:val="20"/>
                <w:szCs w:val="20"/>
              </w:rPr>
              <w:t xml:space="preserve">908 Управление гражданской защиты </w:t>
            </w:r>
          </w:p>
        </w:tc>
        <w:tc>
          <w:tcPr>
            <w:tcW w:w="1418" w:type="dxa"/>
            <w:shd w:val="clear" w:color="auto" w:fill="auto"/>
            <w:noWrap/>
            <w:vAlign w:val="center"/>
            <w:hideMark/>
          </w:tcPr>
          <w:p w:rsidR="009E26F4" w:rsidRPr="007D06D2" w:rsidRDefault="009E26F4" w:rsidP="00191861">
            <w:pPr>
              <w:jc w:val="right"/>
              <w:rPr>
                <w:bCs/>
                <w:sz w:val="20"/>
                <w:szCs w:val="20"/>
              </w:rPr>
            </w:pPr>
            <w:r w:rsidRPr="007D06D2">
              <w:rPr>
                <w:bCs/>
                <w:sz w:val="20"/>
                <w:szCs w:val="20"/>
              </w:rPr>
              <w:t>23 300,0</w:t>
            </w:r>
          </w:p>
        </w:tc>
        <w:tc>
          <w:tcPr>
            <w:tcW w:w="1417" w:type="dxa"/>
            <w:shd w:val="clear" w:color="auto" w:fill="auto"/>
            <w:noWrap/>
            <w:vAlign w:val="center"/>
            <w:hideMark/>
          </w:tcPr>
          <w:p w:rsidR="009E26F4" w:rsidRPr="007D06D2" w:rsidRDefault="009E26F4" w:rsidP="00191861">
            <w:pPr>
              <w:jc w:val="right"/>
              <w:rPr>
                <w:bCs/>
                <w:sz w:val="20"/>
                <w:szCs w:val="20"/>
              </w:rPr>
            </w:pPr>
            <w:r w:rsidRPr="007D06D2">
              <w:rPr>
                <w:bCs/>
                <w:sz w:val="20"/>
                <w:szCs w:val="20"/>
              </w:rPr>
              <w:t>17 985,3</w:t>
            </w:r>
          </w:p>
        </w:tc>
        <w:tc>
          <w:tcPr>
            <w:tcW w:w="1745" w:type="dxa"/>
            <w:shd w:val="clear" w:color="auto" w:fill="auto"/>
            <w:noWrap/>
            <w:vAlign w:val="center"/>
            <w:hideMark/>
          </w:tcPr>
          <w:p w:rsidR="009E26F4" w:rsidRPr="007D06D2" w:rsidRDefault="009E26F4" w:rsidP="00191861">
            <w:pPr>
              <w:jc w:val="right"/>
              <w:rPr>
                <w:sz w:val="20"/>
                <w:szCs w:val="20"/>
              </w:rPr>
            </w:pPr>
            <w:r w:rsidRPr="007D06D2">
              <w:rPr>
                <w:sz w:val="20"/>
                <w:szCs w:val="20"/>
              </w:rPr>
              <w:t>-5 314,7</w:t>
            </w:r>
          </w:p>
        </w:tc>
      </w:tr>
      <w:tr w:rsidR="009E26F4" w:rsidRPr="007D06D2" w:rsidTr="007D06D2">
        <w:trPr>
          <w:trHeight w:val="225"/>
        </w:trPr>
        <w:tc>
          <w:tcPr>
            <w:tcW w:w="5387" w:type="dxa"/>
            <w:shd w:val="clear" w:color="auto" w:fill="auto"/>
            <w:vAlign w:val="center"/>
            <w:hideMark/>
          </w:tcPr>
          <w:p w:rsidR="009E26F4" w:rsidRPr="007D06D2" w:rsidRDefault="009E26F4" w:rsidP="00191861">
            <w:pPr>
              <w:rPr>
                <w:sz w:val="20"/>
                <w:szCs w:val="20"/>
              </w:rPr>
            </w:pPr>
            <w:r w:rsidRPr="007D06D2">
              <w:rPr>
                <w:sz w:val="20"/>
                <w:szCs w:val="20"/>
              </w:rPr>
              <w:lastRenderedPageBreak/>
              <w:t xml:space="preserve">909 Департамент здравоохранения </w:t>
            </w:r>
          </w:p>
        </w:tc>
        <w:tc>
          <w:tcPr>
            <w:tcW w:w="1418" w:type="dxa"/>
            <w:shd w:val="clear" w:color="auto" w:fill="auto"/>
            <w:noWrap/>
            <w:vAlign w:val="center"/>
            <w:hideMark/>
          </w:tcPr>
          <w:p w:rsidR="009E26F4" w:rsidRPr="007D06D2" w:rsidRDefault="009E26F4" w:rsidP="00191861">
            <w:pPr>
              <w:jc w:val="right"/>
              <w:rPr>
                <w:bCs/>
                <w:sz w:val="20"/>
                <w:szCs w:val="20"/>
              </w:rPr>
            </w:pPr>
            <w:r w:rsidRPr="007D06D2">
              <w:rPr>
                <w:bCs/>
                <w:sz w:val="20"/>
                <w:szCs w:val="20"/>
              </w:rPr>
              <w:t>61 700,3</w:t>
            </w:r>
          </w:p>
        </w:tc>
        <w:tc>
          <w:tcPr>
            <w:tcW w:w="1417" w:type="dxa"/>
            <w:shd w:val="clear" w:color="auto" w:fill="auto"/>
            <w:noWrap/>
            <w:vAlign w:val="center"/>
            <w:hideMark/>
          </w:tcPr>
          <w:p w:rsidR="009E26F4" w:rsidRPr="007D06D2" w:rsidRDefault="009E26F4" w:rsidP="00191861">
            <w:pPr>
              <w:jc w:val="right"/>
              <w:rPr>
                <w:bCs/>
                <w:sz w:val="20"/>
                <w:szCs w:val="20"/>
              </w:rPr>
            </w:pPr>
            <w:r w:rsidRPr="007D06D2">
              <w:rPr>
                <w:bCs/>
                <w:sz w:val="20"/>
                <w:szCs w:val="20"/>
              </w:rPr>
              <w:t>61 339,3</w:t>
            </w:r>
          </w:p>
        </w:tc>
        <w:tc>
          <w:tcPr>
            <w:tcW w:w="1745" w:type="dxa"/>
            <w:shd w:val="clear" w:color="auto" w:fill="auto"/>
            <w:noWrap/>
            <w:vAlign w:val="center"/>
            <w:hideMark/>
          </w:tcPr>
          <w:p w:rsidR="009E26F4" w:rsidRPr="007D06D2" w:rsidRDefault="009E26F4" w:rsidP="00191861">
            <w:pPr>
              <w:jc w:val="right"/>
              <w:rPr>
                <w:sz w:val="20"/>
                <w:szCs w:val="20"/>
              </w:rPr>
            </w:pPr>
            <w:r w:rsidRPr="007D06D2">
              <w:rPr>
                <w:sz w:val="20"/>
                <w:szCs w:val="20"/>
              </w:rPr>
              <w:t>-361,0</w:t>
            </w:r>
          </w:p>
        </w:tc>
      </w:tr>
      <w:tr w:rsidR="009E26F4" w:rsidRPr="007D06D2" w:rsidTr="007D06D2">
        <w:trPr>
          <w:trHeight w:val="216"/>
        </w:trPr>
        <w:tc>
          <w:tcPr>
            <w:tcW w:w="5387" w:type="dxa"/>
            <w:shd w:val="clear" w:color="auto" w:fill="auto"/>
            <w:vAlign w:val="center"/>
            <w:hideMark/>
          </w:tcPr>
          <w:p w:rsidR="009E26F4" w:rsidRPr="007D06D2" w:rsidRDefault="009E26F4" w:rsidP="00191861">
            <w:pPr>
              <w:rPr>
                <w:sz w:val="20"/>
                <w:szCs w:val="20"/>
              </w:rPr>
            </w:pPr>
            <w:r w:rsidRPr="007D06D2">
              <w:rPr>
                <w:sz w:val="20"/>
                <w:szCs w:val="20"/>
              </w:rPr>
              <w:t xml:space="preserve">910 Аппарат Губернатора и Правительства </w:t>
            </w:r>
          </w:p>
        </w:tc>
        <w:tc>
          <w:tcPr>
            <w:tcW w:w="1418" w:type="dxa"/>
            <w:shd w:val="clear" w:color="auto" w:fill="auto"/>
            <w:noWrap/>
            <w:vAlign w:val="center"/>
            <w:hideMark/>
          </w:tcPr>
          <w:p w:rsidR="009E26F4" w:rsidRPr="007D06D2" w:rsidRDefault="009E26F4" w:rsidP="00191861">
            <w:pPr>
              <w:jc w:val="right"/>
              <w:rPr>
                <w:bCs/>
                <w:sz w:val="20"/>
                <w:szCs w:val="20"/>
              </w:rPr>
            </w:pPr>
            <w:r w:rsidRPr="007D06D2">
              <w:rPr>
                <w:bCs/>
                <w:sz w:val="20"/>
                <w:szCs w:val="20"/>
              </w:rPr>
              <w:t>13 008,2</w:t>
            </w:r>
          </w:p>
        </w:tc>
        <w:tc>
          <w:tcPr>
            <w:tcW w:w="1417" w:type="dxa"/>
            <w:shd w:val="clear" w:color="auto" w:fill="auto"/>
            <w:noWrap/>
            <w:vAlign w:val="center"/>
            <w:hideMark/>
          </w:tcPr>
          <w:p w:rsidR="009E26F4" w:rsidRPr="007D06D2" w:rsidRDefault="009E26F4" w:rsidP="00191861">
            <w:pPr>
              <w:jc w:val="right"/>
              <w:rPr>
                <w:bCs/>
                <w:sz w:val="20"/>
                <w:szCs w:val="20"/>
              </w:rPr>
            </w:pPr>
            <w:r w:rsidRPr="007D06D2">
              <w:rPr>
                <w:bCs/>
                <w:sz w:val="20"/>
                <w:szCs w:val="20"/>
              </w:rPr>
              <w:t>12 988,7</w:t>
            </w:r>
          </w:p>
        </w:tc>
        <w:tc>
          <w:tcPr>
            <w:tcW w:w="1745" w:type="dxa"/>
            <w:shd w:val="clear" w:color="auto" w:fill="auto"/>
            <w:noWrap/>
            <w:vAlign w:val="center"/>
            <w:hideMark/>
          </w:tcPr>
          <w:p w:rsidR="009E26F4" w:rsidRPr="007D06D2" w:rsidRDefault="009E26F4" w:rsidP="00191861">
            <w:pPr>
              <w:jc w:val="right"/>
              <w:rPr>
                <w:sz w:val="20"/>
                <w:szCs w:val="20"/>
              </w:rPr>
            </w:pPr>
            <w:r w:rsidRPr="007D06D2">
              <w:rPr>
                <w:sz w:val="20"/>
                <w:szCs w:val="20"/>
              </w:rPr>
              <w:t>-19,5</w:t>
            </w:r>
          </w:p>
        </w:tc>
      </w:tr>
      <w:tr w:rsidR="009E26F4" w:rsidRPr="007D06D2" w:rsidTr="007D06D2">
        <w:trPr>
          <w:trHeight w:val="222"/>
        </w:trPr>
        <w:tc>
          <w:tcPr>
            <w:tcW w:w="5387" w:type="dxa"/>
            <w:shd w:val="clear" w:color="auto" w:fill="auto"/>
            <w:vAlign w:val="center"/>
            <w:hideMark/>
          </w:tcPr>
          <w:p w:rsidR="009E26F4" w:rsidRPr="007D06D2" w:rsidRDefault="009E26F4" w:rsidP="00191861">
            <w:pPr>
              <w:rPr>
                <w:sz w:val="20"/>
                <w:szCs w:val="20"/>
              </w:rPr>
            </w:pPr>
            <w:r w:rsidRPr="007D06D2">
              <w:rPr>
                <w:sz w:val="20"/>
                <w:szCs w:val="20"/>
              </w:rPr>
              <w:t xml:space="preserve">916 Департамент природных ресурсов </w:t>
            </w:r>
          </w:p>
        </w:tc>
        <w:tc>
          <w:tcPr>
            <w:tcW w:w="1418" w:type="dxa"/>
            <w:shd w:val="clear" w:color="auto" w:fill="auto"/>
            <w:noWrap/>
            <w:vAlign w:val="center"/>
            <w:hideMark/>
          </w:tcPr>
          <w:p w:rsidR="009E26F4" w:rsidRPr="007D06D2" w:rsidRDefault="009E26F4" w:rsidP="00191861">
            <w:pPr>
              <w:jc w:val="right"/>
              <w:rPr>
                <w:bCs/>
                <w:sz w:val="20"/>
                <w:szCs w:val="20"/>
              </w:rPr>
            </w:pPr>
            <w:r w:rsidRPr="007D06D2">
              <w:rPr>
                <w:bCs/>
                <w:sz w:val="20"/>
                <w:szCs w:val="20"/>
              </w:rPr>
              <w:t>7 446,7</w:t>
            </w:r>
          </w:p>
        </w:tc>
        <w:tc>
          <w:tcPr>
            <w:tcW w:w="1417" w:type="dxa"/>
            <w:shd w:val="clear" w:color="auto" w:fill="auto"/>
            <w:noWrap/>
            <w:vAlign w:val="center"/>
            <w:hideMark/>
          </w:tcPr>
          <w:p w:rsidR="009E26F4" w:rsidRPr="007D06D2" w:rsidRDefault="009E26F4" w:rsidP="00191861">
            <w:pPr>
              <w:jc w:val="right"/>
              <w:rPr>
                <w:bCs/>
                <w:sz w:val="20"/>
                <w:szCs w:val="20"/>
              </w:rPr>
            </w:pPr>
            <w:r w:rsidRPr="007D06D2">
              <w:rPr>
                <w:bCs/>
                <w:sz w:val="20"/>
                <w:szCs w:val="20"/>
              </w:rPr>
              <w:t>7 446,6</w:t>
            </w:r>
          </w:p>
        </w:tc>
        <w:tc>
          <w:tcPr>
            <w:tcW w:w="1745" w:type="dxa"/>
            <w:shd w:val="clear" w:color="auto" w:fill="auto"/>
            <w:noWrap/>
            <w:vAlign w:val="center"/>
            <w:hideMark/>
          </w:tcPr>
          <w:p w:rsidR="009E26F4" w:rsidRPr="007D06D2" w:rsidRDefault="009E26F4" w:rsidP="00191861">
            <w:pPr>
              <w:jc w:val="right"/>
              <w:rPr>
                <w:sz w:val="20"/>
                <w:szCs w:val="20"/>
              </w:rPr>
            </w:pPr>
            <w:r w:rsidRPr="007D06D2">
              <w:rPr>
                <w:sz w:val="20"/>
                <w:szCs w:val="20"/>
              </w:rPr>
              <w:t>-0,1</w:t>
            </w:r>
          </w:p>
        </w:tc>
      </w:tr>
      <w:tr w:rsidR="009E26F4" w:rsidRPr="007D06D2" w:rsidTr="007D06D2">
        <w:trPr>
          <w:trHeight w:val="215"/>
        </w:trPr>
        <w:tc>
          <w:tcPr>
            <w:tcW w:w="5387" w:type="dxa"/>
            <w:shd w:val="clear" w:color="auto" w:fill="auto"/>
            <w:vAlign w:val="center"/>
            <w:hideMark/>
          </w:tcPr>
          <w:p w:rsidR="009E26F4" w:rsidRPr="007D06D2" w:rsidRDefault="009E26F4" w:rsidP="00191861">
            <w:pPr>
              <w:rPr>
                <w:sz w:val="20"/>
                <w:szCs w:val="20"/>
              </w:rPr>
            </w:pPr>
            <w:r w:rsidRPr="007D06D2">
              <w:rPr>
                <w:sz w:val="20"/>
                <w:szCs w:val="20"/>
              </w:rPr>
              <w:t>917 </w:t>
            </w:r>
            <w:bookmarkStart w:id="36" w:name="_Hlk102134335"/>
            <w:r w:rsidRPr="007D06D2">
              <w:rPr>
                <w:sz w:val="20"/>
                <w:szCs w:val="20"/>
              </w:rPr>
              <w:t>Департамент культуры</w:t>
            </w:r>
            <w:bookmarkEnd w:id="36"/>
          </w:p>
        </w:tc>
        <w:tc>
          <w:tcPr>
            <w:tcW w:w="1418" w:type="dxa"/>
            <w:shd w:val="clear" w:color="auto" w:fill="auto"/>
            <w:noWrap/>
            <w:vAlign w:val="center"/>
            <w:hideMark/>
          </w:tcPr>
          <w:p w:rsidR="009E26F4" w:rsidRPr="007D06D2" w:rsidRDefault="009E26F4" w:rsidP="00191861">
            <w:pPr>
              <w:jc w:val="right"/>
              <w:rPr>
                <w:bCs/>
                <w:sz w:val="20"/>
                <w:szCs w:val="20"/>
              </w:rPr>
            </w:pPr>
            <w:r w:rsidRPr="007D06D2">
              <w:rPr>
                <w:bCs/>
                <w:sz w:val="20"/>
                <w:szCs w:val="20"/>
              </w:rPr>
              <w:t>56 400,0</w:t>
            </w:r>
          </w:p>
        </w:tc>
        <w:tc>
          <w:tcPr>
            <w:tcW w:w="1417" w:type="dxa"/>
            <w:shd w:val="clear" w:color="auto" w:fill="auto"/>
            <w:noWrap/>
            <w:vAlign w:val="center"/>
            <w:hideMark/>
          </w:tcPr>
          <w:p w:rsidR="009E26F4" w:rsidRPr="007D06D2" w:rsidRDefault="009E26F4" w:rsidP="00191861">
            <w:pPr>
              <w:jc w:val="right"/>
              <w:rPr>
                <w:bCs/>
                <w:sz w:val="20"/>
                <w:szCs w:val="20"/>
              </w:rPr>
            </w:pPr>
            <w:r w:rsidRPr="007D06D2">
              <w:rPr>
                <w:bCs/>
                <w:sz w:val="20"/>
                <w:szCs w:val="20"/>
              </w:rPr>
              <w:t>56 319,8</w:t>
            </w:r>
          </w:p>
        </w:tc>
        <w:tc>
          <w:tcPr>
            <w:tcW w:w="1745" w:type="dxa"/>
            <w:shd w:val="clear" w:color="auto" w:fill="auto"/>
            <w:noWrap/>
            <w:vAlign w:val="center"/>
            <w:hideMark/>
          </w:tcPr>
          <w:p w:rsidR="009E26F4" w:rsidRPr="007D06D2" w:rsidRDefault="009E26F4" w:rsidP="00191861">
            <w:pPr>
              <w:jc w:val="right"/>
              <w:rPr>
                <w:sz w:val="20"/>
                <w:szCs w:val="20"/>
              </w:rPr>
            </w:pPr>
            <w:r w:rsidRPr="007D06D2">
              <w:rPr>
                <w:sz w:val="20"/>
                <w:szCs w:val="20"/>
              </w:rPr>
              <w:t>-80,2</w:t>
            </w:r>
          </w:p>
        </w:tc>
      </w:tr>
      <w:tr w:rsidR="009E26F4" w:rsidRPr="007D06D2" w:rsidTr="007D06D2">
        <w:trPr>
          <w:trHeight w:val="229"/>
        </w:trPr>
        <w:tc>
          <w:tcPr>
            <w:tcW w:w="5387" w:type="dxa"/>
            <w:shd w:val="clear" w:color="auto" w:fill="auto"/>
            <w:vAlign w:val="center"/>
            <w:hideMark/>
          </w:tcPr>
          <w:p w:rsidR="009E26F4" w:rsidRPr="007D06D2" w:rsidRDefault="009E26F4" w:rsidP="00191861">
            <w:pPr>
              <w:rPr>
                <w:sz w:val="20"/>
                <w:szCs w:val="20"/>
              </w:rPr>
            </w:pPr>
            <w:r w:rsidRPr="007D06D2">
              <w:rPr>
                <w:sz w:val="20"/>
                <w:szCs w:val="20"/>
              </w:rPr>
              <w:t>918 </w:t>
            </w:r>
            <w:bookmarkStart w:id="37" w:name="_Hlk102134703"/>
            <w:r w:rsidRPr="007D06D2">
              <w:rPr>
                <w:sz w:val="20"/>
                <w:szCs w:val="20"/>
              </w:rPr>
              <w:t xml:space="preserve">Департамент образования </w:t>
            </w:r>
            <w:bookmarkEnd w:id="37"/>
          </w:p>
        </w:tc>
        <w:tc>
          <w:tcPr>
            <w:tcW w:w="1418" w:type="dxa"/>
            <w:shd w:val="clear" w:color="auto" w:fill="auto"/>
            <w:noWrap/>
            <w:vAlign w:val="center"/>
            <w:hideMark/>
          </w:tcPr>
          <w:p w:rsidR="009E26F4" w:rsidRPr="007D06D2" w:rsidRDefault="009E26F4" w:rsidP="00191861">
            <w:pPr>
              <w:jc w:val="right"/>
              <w:rPr>
                <w:bCs/>
                <w:sz w:val="20"/>
                <w:szCs w:val="20"/>
              </w:rPr>
            </w:pPr>
            <w:r w:rsidRPr="007D06D2">
              <w:rPr>
                <w:bCs/>
                <w:sz w:val="20"/>
                <w:szCs w:val="20"/>
              </w:rPr>
              <w:t>12 417,0</w:t>
            </w:r>
          </w:p>
        </w:tc>
        <w:tc>
          <w:tcPr>
            <w:tcW w:w="1417" w:type="dxa"/>
            <w:shd w:val="clear" w:color="auto" w:fill="auto"/>
            <w:noWrap/>
            <w:vAlign w:val="center"/>
            <w:hideMark/>
          </w:tcPr>
          <w:p w:rsidR="009E26F4" w:rsidRPr="007D06D2" w:rsidRDefault="009E26F4" w:rsidP="00191861">
            <w:pPr>
              <w:jc w:val="right"/>
              <w:rPr>
                <w:bCs/>
                <w:sz w:val="20"/>
                <w:szCs w:val="20"/>
              </w:rPr>
            </w:pPr>
            <w:r w:rsidRPr="007D06D2">
              <w:rPr>
                <w:bCs/>
                <w:sz w:val="20"/>
                <w:szCs w:val="20"/>
              </w:rPr>
              <w:t>12 417,0</w:t>
            </w:r>
          </w:p>
        </w:tc>
        <w:tc>
          <w:tcPr>
            <w:tcW w:w="1745" w:type="dxa"/>
            <w:shd w:val="clear" w:color="auto" w:fill="auto"/>
            <w:noWrap/>
            <w:vAlign w:val="center"/>
            <w:hideMark/>
          </w:tcPr>
          <w:p w:rsidR="009E26F4" w:rsidRPr="007D06D2" w:rsidRDefault="009E26F4" w:rsidP="00191861">
            <w:pPr>
              <w:jc w:val="right"/>
              <w:rPr>
                <w:sz w:val="20"/>
                <w:szCs w:val="20"/>
              </w:rPr>
            </w:pPr>
            <w:r w:rsidRPr="007D06D2">
              <w:rPr>
                <w:sz w:val="20"/>
                <w:szCs w:val="20"/>
              </w:rPr>
              <w:t>-</w:t>
            </w:r>
          </w:p>
        </w:tc>
      </w:tr>
    </w:tbl>
    <w:p w:rsidR="009E26F4" w:rsidRPr="00467F9C" w:rsidRDefault="009E26F4" w:rsidP="00191861">
      <w:pPr>
        <w:pStyle w:val="aff4"/>
        <w:spacing w:before="120"/>
        <w:ind w:firstLine="709"/>
        <w:jc w:val="both"/>
        <w:rPr>
          <w:rFonts w:ascii="Times New Roman" w:hAnsi="Times New Roman" w:cs="Times New Roman"/>
          <w:sz w:val="28"/>
          <w:szCs w:val="28"/>
        </w:rPr>
      </w:pPr>
      <w:r w:rsidRPr="00467F9C">
        <w:rPr>
          <w:rFonts w:ascii="Times New Roman" w:hAnsi="Times New Roman" w:cs="Times New Roman"/>
          <w:sz w:val="28"/>
          <w:szCs w:val="28"/>
        </w:rPr>
        <w:t>В 2021 году средства Резервного фонда распределены на общую сумму 236 824,7 тыс. рублей, расходы составили 230 613,5 тыс. рублей или 97,4% утвержденного объема Резервного фонда, из них наиболее значимые объемы направлены:</w:t>
      </w:r>
    </w:p>
    <w:p w:rsidR="009E26F4" w:rsidRPr="00467F9C" w:rsidRDefault="009E26F4" w:rsidP="00191861">
      <w:pPr>
        <w:ind w:firstLine="709"/>
        <w:jc w:val="both"/>
        <w:rPr>
          <w:sz w:val="28"/>
          <w:szCs w:val="28"/>
        </w:rPr>
      </w:pPr>
      <w:r w:rsidRPr="00467F9C">
        <w:rPr>
          <w:sz w:val="28"/>
          <w:szCs w:val="28"/>
        </w:rPr>
        <w:t>- Департаменту культуры</w:t>
      </w:r>
      <w:r w:rsidRPr="00467F9C">
        <w:t xml:space="preserve"> </w:t>
      </w:r>
      <w:r w:rsidRPr="00467F9C">
        <w:rPr>
          <w:sz w:val="28"/>
          <w:szCs w:val="28"/>
        </w:rPr>
        <w:t>для последующего перечисления Некоммерческой организации «Фонд развития туризма, международных и межрегиональных проектов Чукотского автономного округа» для оплаты расходов, связанных с организацией участия Чукотского автономного округа в выставке «Улица Дальнего Востока» в рамках проведения VI Восточного экономического форума в сумме 50 300,0 тыс. рублей;</w:t>
      </w:r>
    </w:p>
    <w:p w:rsidR="009E26F4" w:rsidRPr="00467F9C" w:rsidRDefault="009E26F4" w:rsidP="00191861">
      <w:pPr>
        <w:ind w:firstLine="709"/>
        <w:jc w:val="both"/>
        <w:rPr>
          <w:sz w:val="28"/>
          <w:szCs w:val="28"/>
        </w:rPr>
      </w:pPr>
      <w:r w:rsidRPr="00467F9C">
        <w:rPr>
          <w:sz w:val="28"/>
          <w:szCs w:val="28"/>
        </w:rPr>
        <w:t>- Департаменту здравоохранения для последующего перечисления в виде субсидии Государственному бюджетному учреждению здравоохранения «Чукотская окружная больница» в целях осуществления медицинским и иным работникам выплат стимулирующего характера за особые условия труда и дополнительную нагрузку в сумме 26 312,3 тыс. рублей; для последующего перечисления в виде субсидии Обществу с ограниченной ответственностью «</w:t>
      </w:r>
      <w:proofErr w:type="spellStart"/>
      <w:r w:rsidRPr="00467F9C">
        <w:rPr>
          <w:sz w:val="28"/>
          <w:szCs w:val="28"/>
        </w:rPr>
        <w:t>Чукотфармация</w:t>
      </w:r>
      <w:proofErr w:type="spellEnd"/>
      <w:r w:rsidRPr="00467F9C">
        <w:rPr>
          <w:sz w:val="28"/>
          <w:szCs w:val="28"/>
        </w:rPr>
        <w:t>» на оплату в 2021 году кредиторской задолженности по договорам на закупку лекарственных препаратов в сумме 19 273,6 тыс. рублей; и для проведения противоэпидемических мероприятий и создания резерва противовирусных лекарственных препаратов из перечня жизненно необходимых и важнейших лекарственных препаратов в аптечных организациях, расположенных в муниципальных районах Чукотского автономного округа в сумме 11 014,4 тыс. рублей;</w:t>
      </w:r>
    </w:p>
    <w:p w:rsidR="009E26F4" w:rsidRPr="00467F9C" w:rsidRDefault="009E26F4" w:rsidP="00191861">
      <w:pPr>
        <w:ind w:firstLine="709"/>
        <w:jc w:val="both"/>
        <w:rPr>
          <w:sz w:val="28"/>
          <w:szCs w:val="28"/>
        </w:rPr>
      </w:pPr>
      <w:r w:rsidRPr="00467F9C">
        <w:rPr>
          <w:sz w:val="28"/>
          <w:szCs w:val="28"/>
        </w:rPr>
        <w:t xml:space="preserve">- Департаменту социальной политики для последующего перечисления субсидии Государственному бюджетному учреждению «Чукотский окружной комплексный Центр социального обслуживания населения» в целях оказания материальной помощи гражданам старше 50 лет, прошедшим вакцинацию от новой </w:t>
      </w:r>
      <w:proofErr w:type="spellStart"/>
      <w:r w:rsidRPr="00467F9C">
        <w:rPr>
          <w:sz w:val="28"/>
          <w:szCs w:val="28"/>
        </w:rPr>
        <w:t>коронавирусной</w:t>
      </w:r>
      <w:proofErr w:type="spellEnd"/>
      <w:r w:rsidRPr="00467F9C">
        <w:rPr>
          <w:sz w:val="28"/>
          <w:szCs w:val="28"/>
        </w:rPr>
        <w:t xml:space="preserve"> инфекции, в виде единовременной выплаты в размере 2 000,0 рублей в сумме 22 003,9 тыс. рублей;</w:t>
      </w:r>
    </w:p>
    <w:p w:rsidR="009E26F4" w:rsidRPr="00467F9C" w:rsidRDefault="009E26F4" w:rsidP="00191861">
      <w:pPr>
        <w:ind w:firstLine="709"/>
        <w:jc w:val="both"/>
        <w:rPr>
          <w:sz w:val="28"/>
          <w:szCs w:val="28"/>
        </w:rPr>
      </w:pPr>
      <w:r w:rsidRPr="00467F9C">
        <w:rPr>
          <w:sz w:val="28"/>
          <w:szCs w:val="28"/>
        </w:rPr>
        <w:t>- Управлению гражданской защиты для организации и проведения поисково-спасательных и аварийно-восстановительных мероприятий на территории Чукотского автономного округа в 2021 году в сумме 15 694,8 тыс. рублей;</w:t>
      </w:r>
    </w:p>
    <w:p w:rsidR="009E26F4" w:rsidRPr="00467F9C" w:rsidRDefault="009E26F4" w:rsidP="00191861">
      <w:pPr>
        <w:ind w:firstLine="709"/>
        <w:jc w:val="both"/>
        <w:rPr>
          <w:sz w:val="28"/>
          <w:szCs w:val="28"/>
        </w:rPr>
      </w:pPr>
      <w:r w:rsidRPr="00467F9C">
        <w:rPr>
          <w:sz w:val="28"/>
          <w:szCs w:val="28"/>
        </w:rPr>
        <w:t>- Департаменту образования для оплаты расходов, связанных с приобретением, доставкой и установкой тепловизионных комплектов для бесконтактного измерения температуры для образовательных организаций Чукотского автономного округа в сумме 12 417,0 тыс. рублей.</w:t>
      </w:r>
    </w:p>
    <w:p w:rsidR="009E26F4" w:rsidRPr="00467F9C" w:rsidRDefault="009E26F4" w:rsidP="00191861">
      <w:pPr>
        <w:autoSpaceDE w:val="0"/>
        <w:autoSpaceDN w:val="0"/>
        <w:adjustRightInd w:val="0"/>
        <w:ind w:firstLine="709"/>
        <w:jc w:val="both"/>
        <w:rPr>
          <w:sz w:val="28"/>
          <w:szCs w:val="28"/>
        </w:rPr>
      </w:pPr>
      <w:r w:rsidRPr="00467F9C">
        <w:rPr>
          <w:sz w:val="28"/>
          <w:szCs w:val="28"/>
        </w:rPr>
        <w:t>Информация о распределении средств Резервного фонда в 2021 году муниципальным образованиям округа, представлена в таблице №19.</w:t>
      </w:r>
    </w:p>
    <w:p w:rsidR="00A57F05" w:rsidRDefault="00A57F05" w:rsidP="00191861">
      <w:pPr>
        <w:autoSpaceDE w:val="0"/>
        <w:autoSpaceDN w:val="0"/>
        <w:adjustRightInd w:val="0"/>
        <w:ind w:firstLine="720"/>
        <w:jc w:val="right"/>
        <w:rPr>
          <w:sz w:val="28"/>
          <w:szCs w:val="28"/>
        </w:rPr>
      </w:pPr>
    </w:p>
    <w:p w:rsidR="009E26F4" w:rsidRPr="00467F9C" w:rsidRDefault="009E26F4" w:rsidP="00191861">
      <w:pPr>
        <w:autoSpaceDE w:val="0"/>
        <w:autoSpaceDN w:val="0"/>
        <w:adjustRightInd w:val="0"/>
        <w:ind w:firstLine="720"/>
        <w:jc w:val="right"/>
        <w:rPr>
          <w:sz w:val="28"/>
          <w:szCs w:val="28"/>
        </w:rPr>
      </w:pPr>
      <w:r w:rsidRPr="00467F9C">
        <w:rPr>
          <w:sz w:val="28"/>
          <w:szCs w:val="28"/>
        </w:rPr>
        <w:lastRenderedPageBreak/>
        <w:t>Таблица №19</w:t>
      </w:r>
    </w:p>
    <w:p w:rsidR="009E26F4" w:rsidRPr="00467F9C" w:rsidRDefault="009E26F4" w:rsidP="00191861">
      <w:pPr>
        <w:ind w:left="7068" w:right="-1"/>
        <w:jc w:val="right"/>
        <w:rPr>
          <w:sz w:val="28"/>
          <w:szCs w:val="28"/>
        </w:rPr>
      </w:pPr>
      <w:r w:rsidRPr="00467F9C">
        <w:rPr>
          <w:sz w:val="28"/>
          <w:szCs w:val="28"/>
        </w:rPr>
        <w:t>(тыс. рублей)</w:t>
      </w:r>
    </w:p>
    <w:tbl>
      <w:tblPr>
        <w:tblW w:w="9808" w:type="dxa"/>
        <w:tblInd w:w="137" w:type="dxa"/>
        <w:tblLayout w:type="fixed"/>
        <w:tblLook w:val="04A0" w:firstRow="1" w:lastRow="0" w:firstColumn="1" w:lastColumn="0" w:noHBand="0" w:noVBand="1"/>
      </w:tblPr>
      <w:tblGrid>
        <w:gridCol w:w="6237"/>
        <w:gridCol w:w="1843"/>
        <w:gridCol w:w="1728"/>
      </w:tblGrid>
      <w:tr w:rsidR="009E26F4" w:rsidRPr="00A57F05" w:rsidTr="009E26F4">
        <w:trPr>
          <w:trHeight w:val="58"/>
          <w:tblHeader/>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6F4" w:rsidRPr="00A57F05" w:rsidRDefault="009E26F4" w:rsidP="00191861">
            <w:pPr>
              <w:jc w:val="center"/>
              <w:rPr>
                <w:bCs/>
                <w:sz w:val="22"/>
                <w:szCs w:val="22"/>
              </w:rPr>
            </w:pPr>
            <w:r w:rsidRPr="00A57F05">
              <w:rPr>
                <w:bCs/>
                <w:sz w:val="22"/>
                <w:szCs w:val="22"/>
              </w:rPr>
              <w:t xml:space="preserve">Наименование </w:t>
            </w:r>
          </w:p>
          <w:p w:rsidR="009E26F4" w:rsidRPr="00A57F05" w:rsidRDefault="009E26F4" w:rsidP="00191861">
            <w:pPr>
              <w:jc w:val="center"/>
              <w:rPr>
                <w:bCs/>
                <w:sz w:val="22"/>
                <w:szCs w:val="22"/>
              </w:rPr>
            </w:pPr>
            <w:r w:rsidRPr="00A57F05">
              <w:rPr>
                <w:bCs/>
                <w:sz w:val="22"/>
                <w:szCs w:val="22"/>
              </w:rPr>
              <w:t>муниципального образования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E26F4" w:rsidRPr="00A57F05" w:rsidRDefault="009E26F4" w:rsidP="00191861">
            <w:pPr>
              <w:jc w:val="center"/>
              <w:rPr>
                <w:bCs/>
                <w:sz w:val="22"/>
                <w:szCs w:val="22"/>
              </w:rPr>
            </w:pPr>
            <w:r w:rsidRPr="00A57F05">
              <w:rPr>
                <w:bCs/>
                <w:sz w:val="22"/>
                <w:szCs w:val="22"/>
              </w:rPr>
              <w:t xml:space="preserve">Распределено </w:t>
            </w:r>
          </w:p>
        </w:tc>
        <w:tc>
          <w:tcPr>
            <w:tcW w:w="1728" w:type="dxa"/>
            <w:tcBorders>
              <w:top w:val="single" w:sz="4" w:space="0" w:color="auto"/>
              <w:left w:val="nil"/>
              <w:bottom w:val="single" w:sz="4" w:space="0" w:color="auto"/>
              <w:right w:val="single" w:sz="4" w:space="0" w:color="auto"/>
            </w:tcBorders>
            <w:vAlign w:val="center"/>
          </w:tcPr>
          <w:p w:rsidR="009E26F4" w:rsidRPr="00A57F05" w:rsidRDefault="009E26F4" w:rsidP="00191861">
            <w:pPr>
              <w:ind w:left="-108" w:right="-108"/>
              <w:jc w:val="center"/>
              <w:rPr>
                <w:bCs/>
                <w:sz w:val="22"/>
                <w:szCs w:val="22"/>
              </w:rPr>
            </w:pPr>
            <w:r w:rsidRPr="00A57F05">
              <w:rPr>
                <w:bCs/>
                <w:sz w:val="22"/>
                <w:szCs w:val="22"/>
              </w:rPr>
              <w:t xml:space="preserve">Перечислено </w:t>
            </w:r>
          </w:p>
        </w:tc>
      </w:tr>
      <w:tr w:rsidR="009E26F4" w:rsidRPr="00A57F05" w:rsidTr="009E26F4">
        <w:trPr>
          <w:trHeight w:val="67"/>
          <w:tblHeader/>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9E26F4" w:rsidRPr="00A57F05" w:rsidRDefault="009E26F4" w:rsidP="00191861">
            <w:pPr>
              <w:jc w:val="center"/>
              <w:rPr>
                <w:sz w:val="22"/>
                <w:szCs w:val="22"/>
              </w:rPr>
            </w:pPr>
            <w:r w:rsidRPr="00A57F05">
              <w:rPr>
                <w:sz w:val="22"/>
                <w:szCs w:val="22"/>
              </w:rPr>
              <w:t>1</w:t>
            </w:r>
          </w:p>
        </w:tc>
        <w:tc>
          <w:tcPr>
            <w:tcW w:w="1843" w:type="dxa"/>
            <w:tcBorders>
              <w:top w:val="nil"/>
              <w:left w:val="nil"/>
              <w:bottom w:val="single" w:sz="4" w:space="0" w:color="auto"/>
              <w:right w:val="single" w:sz="4" w:space="0" w:color="auto"/>
            </w:tcBorders>
            <w:shd w:val="clear" w:color="auto" w:fill="auto"/>
            <w:vAlign w:val="center"/>
            <w:hideMark/>
          </w:tcPr>
          <w:p w:rsidR="009E26F4" w:rsidRPr="00A57F05" w:rsidRDefault="009E26F4" w:rsidP="00191861">
            <w:pPr>
              <w:jc w:val="center"/>
              <w:rPr>
                <w:sz w:val="22"/>
                <w:szCs w:val="22"/>
              </w:rPr>
            </w:pPr>
            <w:r w:rsidRPr="00A57F05">
              <w:rPr>
                <w:sz w:val="22"/>
                <w:szCs w:val="22"/>
              </w:rPr>
              <w:t>2</w:t>
            </w:r>
          </w:p>
        </w:tc>
        <w:tc>
          <w:tcPr>
            <w:tcW w:w="1728" w:type="dxa"/>
            <w:tcBorders>
              <w:top w:val="single" w:sz="4" w:space="0" w:color="auto"/>
              <w:left w:val="nil"/>
              <w:bottom w:val="single" w:sz="4" w:space="0" w:color="auto"/>
              <w:right w:val="single" w:sz="4" w:space="0" w:color="auto"/>
            </w:tcBorders>
            <w:vAlign w:val="center"/>
          </w:tcPr>
          <w:p w:rsidR="009E26F4" w:rsidRPr="00A57F05" w:rsidRDefault="009E26F4" w:rsidP="00191861">
            <w:pPr>
              <w:jc w:val="center"/>
              <w:rPr>
                <w:sz w:val="22"/>
                <w:szCs w:val="22"/>
              </w:rPr>
            </w:pPr>
            <w:r w:rsidRPr="00A57F05">
              <w:rPr>
                <w:sz w:val="22"/>
                <w:szCs w:val="22"/>
              </w:rPr>
              <w:t>3</w:t>
            </w:r>
          </w:p>
        </w:tc>
      </w:tr>
      <w:tr w:rsidR="009E26F4" w:rsidRPr="00A57F05" w:rsidTr="009E26F4">
        <w:trPr>
          <w:trHeight w:val="372"/>
        </w:trPr>
        <w:tc>
          <w:tcPr>
            <w:tcW w:w="6237" w:type="dxa"/>
            <w:tcBorders>
              <w:top w:val="nil"/>
              <w:left w:val="single" w:sz="4" w:space="0" w:color="auto"/>
              <w:bottom w:val="single" w:sz="4" w:space="0" w:color="auto"/>
              <w:right w:val="single" w:sz="4" w:space="0" w:color="auto"/>
            </w:tcBorders>
            <w:shd w:val="clear" w:color="auto" w:fill="auto"/>
            <w:vAlign w:val="center"/>
          </w:tcPr>
          <w:p w:rsidR="009E26F4" w:rsidRPr="00A57F05" w:rsidRDefault="009E26F4" w:rsidP="00191861">
            <w:pPr>
              <w:ind w:left="39" w:right="-108"/>
              <w:rPr>
                <w:b/>
                <w:sz w:val="22"/>
                <w:szCs w:val="22"/>
              </w:rPr>
            </w:pPr>
            <w:r w:rsidRPr="00A57F05">
              <w:rPr>
                <w:b/>
                <w:sz w:val="22"/>
                <w:szCs w:val="22"/>
              </w:rPr>
              <w:t>Всего</w:t>
            </w:r>
          </w:p>
        </w:tc>
        <w:tc>
          <w:tcPr>
            <w:tcW w:w="1843" w:type="dxa"/>
            <w:tcBorders>
              <w:top w:val="nil"/>
              <w:left w:val="nil"/>
              <w:bottom w:val="single" w:sz="4" w:space="0" w:color="auto"/>
              <w:right w:val="single" w:sz="4" w:space="0" w:color="auto"/>
            </w:tcBorders>
            <w:shd w:val="clear" w:color="auto" w:fill="auto"/>
            <w:vAlign w:val="center"/>
          </w:tcPr>
          <w:p w:rsidR="009E26F4" w:rsidRPr="00A57F05" w:rsidRDefault="009E26F4" w:rsidP="00191861">
            <w:pPr>
              <w:jc w:val="right"/>
              <w:rPr>
                <w:b/>
                <w:bCs/>
                <w:sz w:val="22"/>
                <w:szCs w:val="22"/>
              </w:rPr>
            </w:pPr>
            <w:r w:rsidRPr="00A57F05">
              <w:rPr>
                <w:b/>
                <w:bCs/>
                <w:sz w:val="22"/>
                <w:szCs w:val="22"/>
              </w:rPr>
              <w:t>26 916,3</w:t>
            </w:r>
          </w:p>
        </w:tc>
        <w:tc>
          <w:tcPr>
            <w:tcW w:w="1728" w:type="dxa"/>
            <w:tcBorders>
              <w:top w:val="single" w:sz="4" w:space="0" w:color="auto"/>
              <w:left w:val="nil"/>
              <w:bottom w:val="single" w:sz="4" w:space="0" w:color="auto"/>
              <w:right w:val="single" w:sz="4" w:space="0" w:color="auto"/>
            </w:tcBorders>
            <w:vAlign w:val="center"/>
          </w:tcPr>
          <w:p w:rsidR="009E26F4" w:rsidRPr="00A57F05" w:rsidRDefault="009E26F4" w:rsidP="00191861">
            <w:pPr>
              <w:jc w:val="right"/>
              <w:rPr>
                <w:b/>
                <w:bCs/>
                <w:sz w:val="22"/>
                <w:szCs w:val="22"/>
              </w:rPr>
            </w:pPr>
            <w:r w:rsidRPr="00A57F05">
              <w:rPr>
                <w:b/>
                <w:bCs/>
                <w:sz w:val="22"/>
                <w:szCs w:val="22"/>
              </w:rPr>
              <w:t>26 555,3</w:t>
            </w:r>
          </w:p>
        </w:tc>
      </w:tr>
      <w:tr w:rsidR="009E26F4" w:rsidRPr="00A57F05" w:rsidTr="009E26F4">
        <w:trPr>
          <w:trHeight w:val="264"/>
        </w:trPr>
        <w:tc>
          <w:tcPr>
            <w:tcW w:w="6237" w:type="dxa"/>
            <w:tcBorders>
              <w:top w:val="nil"/>
              <w:left w:val="single" w:sz="4" w:space="0" w:color="auto"/>
              <w:bottom w:val="single" w:sz="4" w:space="0" w:color="auto"/>
              <w:right w:val="single" w:sz="4" w:space="0" w:color="auto"/>
            </w:tcBorders>
            <w:shd w:val="clear" w:color="auto" w:fill="auto"/>
            <w:vAlign w:val="center"/>
          </w:tcPr>
          <w:p w:rsidR="009E26F4" w:rsidRPr="00A57F05" w:rsidRDefault="009E26F4" w:rsidP="00191861">
            <w:pPr>
              <w:ind w:left="39" w:right="-108"/>
              <w:rPr>
                <w:sz w:val="22"/>
                <w:szCs w:val="22"/>
              </w:rPr>
            </w:pPr>
            <w:proofErr w:type="spellStart"/>
            <w:r w:rsidRPr="00A57F05">
              <w:rPr>
                <w:bCs/>
                <w:sz w:val="22"/>
                <w:szCs w:val="22"/>
              </w:rPr>
              <w:t>Провиденский</w:t>
            </w:r>
            <w:proofErr w:type="spellEnd"/>
            <w:r w:rsidRPr="00A57F05">
              <w:rPr>
                <w:bCs/>
                <w:sz w:val="22"/>
                <w:szCs w:val="22"/>
              </w:rPr>
              <w:t xml:space="preserve"> городской округ</w:t>
            </w:r>
          </w:p>
        </w:tc>
        <w:tc>
          <w:tcPr>
            <w:tcW w:w="1843" w:type="dxa"/>
            <w:tcBorders>
              <w:top w:val="nil"/>
              <w:left w:val="nil"/>
              <w:bottom w:val="single" w:sz="4" w:space="0" w:color="auto"/>
              <w:right w:val="single" w:sz="4" w:space="0" w:color="auto"/>
            </w:tcBorders>
            <w:shd w:val="clear" w:color="auto" w:fill="auto"/>
            <w:vAlign w:val="center"/>
          </w:tcPr>
          <w:p w:rsidR="009E26F4" w:rsidRPr="00A57F05" w:rsidRDefault="009E26F4" w:rsidP="00191861">
            <w:pPr>
              <w:jc w:val="right"/>
              <w:rPr>
                <w:bCs/>
                <w:sz w:val="22"/>
                <w:szCs w:val="22"/>
              </w:rPr>
            </w:pPr>
            <w:r w:rsidRPr="00A57F05">
              <w:rPr>
                <w:bCs/>
                <w:sz w:val="22"/>
                <w:szCs w:val="22"/>
              </w:rPr>
              <w:t>12 121,3</w:t>
            </w:r>
          </w:p>
        </w:tc>
        <w:tc>
          <w:tcPr>
            <w:tcW w:w="1728" w:type="dxa"/>
            <w:tcBorders>
              <w:top w:val="single" w:sz="4" w:space="0" w:color="auto"/>
              <w:left w:val="nil"/>
              <w:bottom w:val="single" w:sz="4" w:space="0" w:color="auto"/>
              <w:right w:val="single" w:sz="4" w:space="0" w:color="auto"/>
            </w:tcBorders>
            <w:vAlign w:val="center"/>
          </w:tcPr>
          <w:p w:rsidR="009E26F4" w:rsidRPr="00A57F05" w:rsidRDefault="009E26F4" w:rsidP="00191861">
            <w:pPr>
              <w:jc w:val="right"/>
              <w:rPr>
                <w:bCs/>
                <w:sz w:val="22"/>
                <w:szCs w:val="22"/>
              </w:rPr>
            </w:pPr>
            <w:r w:rsidRPr="00A57F05">
              <w:rPr>
                <w:bCs/>
                <w:sz w:val="22"/>
                <w:szCs w:val="22"/>
              </w:rPr>
              <w:t>12 121,3</w:t>
            </w:r>
          </w:p>
        </w:tc>
      </w:tr>
      <w:tr w:rsidR="009E26F4" w:rsidRPr="00A57F05" w:rsidTr="009E26F4">
        <w:trPr>
          <w:trHeight w:val="284"/>
        </w:trPr>
        <w:tc>
          <w:tcPr>
            <w:tcW w:w="6237" w:type="dxa"/>
            <w:tcBorders>
              <w:top w:val="nil"/>
              <w:left w:val="single" w:sz="4" w:space="0" w:color="auto"/>
              <w:bottom w:val="single" w:sz="4" w:space="0" w:color="auto"/>
              <w:right w:val="single" w:sz="4" w:space="0" w:color="auto"/>
            </w:tcBorders>
            <w:shd w:val="clear" w:color="auto" w:fill="auto"/>
            <w:vAlign w:val="center"/>
          </w:tcPr>
          <w:p w:rsidR="009E26F4" w:rsidRPr="00A57F05" w:rsidRDefault="009E26F4" w:rsidP="00191861">
            <w:pPr>
              <w:ind w:left="39" w:right="-108"/>
              <w:rPr>
                <w:sz w:val="22"/>
                <w:szCs w:val="22"/>
              </w:rPr>
            </w:pPr>
            <w:r w:rsidRPr="00A57F05">
              <w:rPr>
                <w:sz w:val="22"/>
                <w:szCs w:val="22"/>
              </w:rPr>
              <w:t>Чукотский муниципальный район</w:t>
            </w:r>
          </w:p>
        </w:tc>
        <w:tc>
          <w:tcPr>
            <w:tcW w:w="1843" w:type="dxa"/>
            <w:tcBorders>
              <w:top w:val="nil"/>
              <w:left w:val="nil"/>
              <w:bottom w:val="single" w:sz="4" w:space="0" w:color="auto"/>
              <w:right w:val="single" w:sz="4" w:space="0" w:color="auto"/>
            </w:tcBorders>
            <w:shd w:val="clear" w:color="auto" w:fill="auto"/>
            <w:vAlign w:val="center"/>
          </w:tcPr>
          <w:p w:rsidR="009E26F4" w:rsidRPr="00A57F05" w:rsidRDefault="009E26F4" w:rsidP="00191861">
            <w:pPr>
              <w:jc w:val="right"/>
              <w:rPr>
                <w:bCs/>
                <w:sz w:val="22"/>
                <w:szCs w:val="22"/>
              </w:rPr>
            </w:pPr>
            <w:r w:rsidRPr="00A57F05">
              <w:rPr>
                <w:bCs/>
                <w:sz w:val="22"/>
                <w:szCs w:val="22"/>
              </w:rPr>
              <w:t>400,0</w:t>
            </w:r>
          </w:p>
        </w:tc>
        <w:tc>
          <w:tcPr>
            <w:tcW w:w="1728" w:type="dxa"/>
            <w:tcBorders>
              <w:top w:val="single" w:sz="4" w:space="0" w:color="auto"/>
              <w:left w:val="nil"/>
              <w:bottom w:val="single" w:sz="4" w:space="0" w:color="auto"/>
              <w:right w:val="single" w:sz="4" w:space="0" w:color="auto"/>
            </w:tcBorders>
            <w:vAlign w:val="center"/>
          </w:tcPr>
          <w:p w:rsidR="009E26F4" w:rsidRPr="00A57F05" w:rsidRDefault="009E26F4" w:rsidP="00191861">
            <w:pPr>
              <w:jc w:val="right"/>
              <w:rPr>
                <w:bCs/>
                <w:sz w:val="22"/>
                <w:szCs w:val="22"/>
              </w:rPr>
            </w:pPr>
            <w:r w:rsidRPr="00A57F05">
              <w:rPr>
                <w:bCs/>
                <w:sz w:val="22"/>
                <w:szCs w:val="22"/>
              </w:rPr>
              <w:t>400,0</w:t>
            </w:r>
          </w:p>
        </w:tc>
      </w:tr>
      <w:tr w:rsidR="009E26F4" w:rsidRPr="00A57F05" w:rsidTr="009E26F4">
        <w:trPr>
          <w:trHeight w:val="272"/>
        </w:trPr>
        <w:tc>
          <w:tcPr>
            <w:tcW w:w="6237" w:type="dxa"/>
            <w:tcBorders>
              <w:top w:val="nil"/>
              <w:left w:val="single" w:sz="4" w:space="0" w:color="auto"/>
              <w:bottom w:val="single" w:sz="4" w:space="0" w:color="auto"/>
              <w:right w:val="single" w:sz="4" w:space="0" w:color="auto"/>
            </w:tcBorders>
            <w:shd w:val="clear" w:color="auto" w:fill="auto"/>
            <w:vAlign w:val="center"/>
          </w:tcPr>
          <w:p w:rsidR="009E26F4" w:rsidRPr="00A57F05" w:rsidRDefault="009E26F4" w:rsidP="00191861">
            <w:pPr>
              <w:ind w:left="39" w:right="-108"/>
              <w:rPr>
                <w:bCs/>
                <w:sz w:val="22"/>
                <w:szCs w:val="22"/>
              </w:rPr>
            </w:pPr>
            <w:r w:rsidRPr="00A57F05">
              <w:rPr>
                <w:bCs/>
                <w:sz w:val="22"/>
                <w:szCs w:val="22"/>
              </w:rPr>
              <w:t>Анадырский муниципальный район</w:t>
            </w:r>
          </w:p>
        </w:tc>
        <w:tc>
          <w:tcPr>
            <w:tcW w:w="1843" w:type="dxa"/>
            <w:tcBorders>
              <w:top w:val="nil"/>
              <w:left w:val="nil"/>
              <w:bottom w:val="single" w:sz="4" w:space="0" w:color="auto"/>
              <w:right w:val="single" w:sz="4" w:space="0" w:color="auto"/>
            </w:tcBorders>
            <w:shd w:val="clear" w:color="auto" w:fill="auto"/>
            <w:vAlign w:val="center"/>
          </w:tcPr>
          <w:p w:rsidR="009E26F4" w:rsidRPr="00A57F05" w:rsidRDefault="009E26F4" w:rsidP="00191861">
            <w:pPr>
              <w:jc w:val="right"/>
              <w:rPr>
                <w:bCs/>
                <w:sz w:val="22"/>
                <w:szCs w:val="22"/>
              </w:rPr>
            </w:pPr>
            <w:r w:rsidRPr="00A57F05">
              <w:rPr>
                <w:bCs/>
                <w:sz w:val="22"/>
                <w:szCs w:val="22"/>
              </w:rPr>
              <w:t>6 395,0</w:t>
            </w:r>
          </w:p>
        </w:tc>
        <w:tc>
          <w:tcPr>
            <w:tcW w:w="1728" w:type="dxa"/>
            <w:tcBorders>
              <w:top w:val="single" w:sz="4" w:space="0" w:color="auto"/>
              <w:left w:val="nil"/>
              <w:bottom w:val="single" w:sz="4" w:space="0" w:color="auto"/>
              <w:right w:val="single" w:sz="4" w:space="0" w:color="auto"/>
            </w:tcBorders>
            <w:vAlign w:val="center"/>
          </w:tcPr>
          <w:p w:rsidR="009E26F4" w:rsidRPr="00A57F05" w:rsidRDefault="009E26F4" w:rsidP="00191861">
            <w:pPr>
              <w:jc w:val="right"/>
              <w:rPr>
                <w:bCs/>
                <w:sz w:val="22"/>
                <w:szCs w:val="22"/>
              </w:rPr>
            </w:pPr>
            <w:r w:rsidRPr="00A57F05">
              <w:rPr>
                <w:bCs/>
                <w:sz w:val="22"/>
                <w:szCs w:val="22"/>
              </w:rPr>
              <w:t>6 395,0</w:t>
            </w:r>
          </w:p>
        </w:tc>
      </w:tr>
      <w:tr w:rsidR="009E26F4" w:rsidRPr="00A57F05" w:rsidTr="009E26F4">
        <w:trPr>
          <w:trHeight w:val="261"/>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9E26F4" w:rsidRDefault="009E26F4" w:rsidP="00191861">
            <w:pPr>
              <w:ind w:left="39" w:right="-108"/>
              <w:rPr>
                <w:bCs/>
                <w:sz w:val="22"/>
                <w:szCs w:val="22"/>
              </w:rPr>
            </w:pPr>
            <w:r w:rsidRPr="00A57F05">
              <w:rPr>
                <w:bCs/>
                <w:sz w:val="22"/>
                <w:szCs w:val="22"/>
              </w:rPr>
              <w:t xml:space="preserve">Городской округ </w:t>
            </w:r>
            <w:proofErr w:type="spellStart"/>
            <w:r w:rsidRPr="00A57F05">
              <w:rPr>
                <w:bCs/>
                <w:sz w:val="22"/>
                <w:szCs w:val="22"/>
              </w:rPr>
              <w:t>Певек</w:t>
            </w:r>
            <w:proofErr w:type="spellEnd"/>
          </w:p>
          <w:p w:rsidR="00A57F05" w:rsidRPr="00A57F05" w:rsidRDefault="00A57F05" w:rsidP="00191861">
            <w:pPr>
              <w:ind w:left="39" w:right="-108"/>
              <w:rPr>
                <w:bCs/>
                <w:sz w:val="4"/>
                <w:szCs w:val="4"/>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9E26F4" w:rsidRPr="00A57F05" w:rsidRDefault="009E26F4" w:rsidP="00191861">
            <w:pPr>
              <w:jc w:val="right"/>
              <w:rPr>
                <w:bCs/>
                <w:sz w:val="22"/>
                <w:szCs w:val="22"/>
              </w:rPr>
            </w:pPr>
            <w:r w:rsidRPr="00A57F05">
              <w:rPr>
                <w:bCs/>
                <w:sz w:val="22"/>
                <w:szCs w:val="22"/>
              </w:rPr>
              <w:t>8 000,0</w:t>
            </w:r>
          </w:p>
        </w:tc>
        <w:tc>
          <w:tcPr>
            <w:tcW w:w="1728" w:type="dxa"/>
            <w:tcBorders>
              <w:top w:val="single" w:sz="4" w:space="0" w:color="auto"/>
              <w:left w:val="nil"/>
              <w:bottom w:val="single" w:sz="4" w:space="0" w:color="auto"/>
              <w:right w:val="single" w:sz="4" w:space="0" w:color="auto"/>
            </w:tcBorders>
            <w:vAlign w:val="center"/>
          </w:tcPr>
          <w:p w:rsidR="009E26F4" w:rsidRPr="00A57F05" w:rsidRDefault="009E26F4" w:rsidP="00191861">
            <w:pPr>
              <w:jc w:val="right"/>
              <w:rPr>
                <w:bCs/>
                <w:sz w:val="22"/>
                <w:szCs w:val="22"/>
              </w:rPr>
            </w:pPr>
            <w:r w:rsidRPr="00A57F05">
              <w:rPr>
                <w:bCs/>
                <w:sz w:val="22"/>
                <w:szCs w:val="22"/>
              </w:rPr>
              <w:t>7 639,0</w:t>
            </w:r>
          </w:p>
        </w:tc>
      </w:tr>
    </w:tbl>
    <w:p w:rsidR="009E26F4" w:rsidRPr="00467F9C" w:rsidRDefault="009E26F4" w:rsidP="00191861">
      <w:pPr>
        <w:spacing w:before="120"/>
        <w:ind w:firstLine="709"/>
        <w:jc w:val="both"/>
        <w:rPr>
          <w:sz w:val="28"/>
          <w:szCs w:val="28"/>
        </w:rPr>
      </w:pPr>
      <w:r w:rsidRPr="00467F9C">
        <w:rPr>
          <w:sz w:val="28"/>
          <w:szCs w:val="28"/>
        </w:rPr>
        <w:t>Муниципальным образованиям округа в 2021 году распределены средства Резервного фонда в объеме 26 916,3 тыс. рублей и перечислены в сумме 26 555,3 тыс. рублей по следующим направлениям:</w:t>
      </w:r>
    </w:p>
    <w:p w:rsidR="009E26F4" w:rsidRPr="00467F9C" w:rsidRDefault="009E26F4" w:rsidP="00191861">
      <w:pPr>
        <w:ind w:firstLine="709"/>
        <w:jc w:val="both"/>
        <w:rPr>
          <w:sz w:val="28"/>
          <w:szCs w:val="28"/>
        </w:rPr>
      </w:pPr>
      <w:r w:rsidRPr="00467F9C">
        <w:rPr>
          <w:sz w:val="28"/>
          <w:szCs w:val="28"/>
        </w:rPr>
        <w:t>- для оплаты фактических расходов, связанных с оказанием услуг по перевозке пассажиров, багажа и груза воздушным судном в связи с введением режима «Чрезвычайная ситуация»;</w:t>
      </w:r>
    </w:p>
    <w:p w:rsidR="009E26F4" w:rsidRPr="00467F9C" w:rsidRDefault="009E26F4" w:rsidP="00191861">
      <w:pPr>
        <w:ind w:firstLine="709"/>
        <w:jc w:val="both"/>
        <w:rPr>
          <w:sz w:val="28"/>
          <w:szCs w:val="28"/>
        </w:rPr>
      </w:pPr>
      <w:r w:rsidRPr="00467F9C">
        <w:rPr>
          <w:sz w:val="28"/>
          <w:szCs w:val="28"/>
        </w:rPr>
        <w:t>- в целях оказания единовременной материальной помощи гражданам, пострадавшим в связи с коммунальной аварией на магистральной сети теплоснабжения;</w:t>
      </w:r>
    </w:p>
    <w:p w:rsidR="009E26F4" w:rsidRPr="00467F9C" w:rsidRDefault="009E26F4" w:rsidP="00191861">
      <w:pPr>
        <w:ind w:firstLine="709"/>
        <w:jc w:val="both"/>
        <w:rPr>
          <w:sz w:val="28"/>
          <w:szCs w:val="28"/>
        </w:rPr>
      </w:pPr>
      <w:r w:rsidRPr="00467F9C">
        <w:rPr>
          <w:sz w:val="28"/>
          <w:szCs w:val="28"/>
        </w:rPr>
        <w:t>- для оплаты расходов хозяйствующим субъектам на ледокольную проводку морских судов по Северному морскому пути;</w:t>
      </w:r>
    </w:p>
    <w:p w:rsidR="009E26F4" w:rsidRPr="00467F9C" w:rsidRDefault="009E26F4" w:rsidP="00191861">
      <w:pPr>
        <w:ind w:firstLine="709"/>
        <w:jc w:val="both"/>
        <w:rPr>
          <w:sz w:val="28"/>
          <w:szCs w:val="28"/>
        </w:rPr>
      </w:pPr>
      <w:r w:rsidRPr="00467F9C">
        <w:rPr>
          <w:sz w:val="28"/>
          <w:szCs w:val="28"/>
        </w:rPr>
        <w:t>- для возмещения расходов, связанных с доставкой лекарственных препаратов воздушным транспортом;</w:t>
      </w:r>
    </w:p>
    <w:p w:rsidR="009E26F4" w:rsidRPr="00467F9C" w:rsidRDefault="009E26F4" w:rsidP="00191861">
      <w:pPr>
        <w:ind w:firstLine="709"/>
        <w:jc w:val="both"/>
        <w:rPr>
          <w:sz w:val="28"/>
          <w:szCs w:val="28"/>
        </w:rPr>
      </w:pPr>
      <w:r w:rsidRPr="00467F9C">
        <w:rPr>
          <w:sz w:val="28"/>
          <w:szCs w:val="28"/>
        </w:rPr>
        <w:t>- в целях обеспечения деятельности (оказания услуг) домов-интернатов для престарелых и инвалидов в условиях полного карантина.</w:t>
      </w:r>
    </w:p>
    <w:p w:rsidR="009E26F4" w:rsidRPr="00467F9C" w:rsidRDefault="009E26F4" w:rsidP="00191861">
      <w:pPr>
        <w:spacing w:before="240" w:after="120"/>
        <w:jc w:val="center"/>
        <w:rPr>
          <w:b/>
          <w:sz w:val="28"/>
          <w:szCs w:val="28"/>
        </w:rPr>
      </w:pPr>
      <w:r w:rsidRPr="00467F9C">
        <w:rPr>
          <w:b/>
          <w:sz w:val="28"/>
          <w:szCs w:val="28"/>
        </w:rPr>
        <w:t xml:space="preserve">5.8. Расходы окружного бюджета </w:t>
      </w:r>
      <w:r w:rsidRPr="00467F9C">
        <w:rPr>
          <w:b/>
          <w:sz w:val="28"/>
          <w:szCs w:val="28"/>
        </w:rPr>
        <w:br/>
        <w:t xml:space="preserve">на закупку товаров, работ и услуг для государственных нужд </w:t>
      </w:r>
    </w:p>
    <w:p w:rsidR="009E26F4" w:rsidRPr="00467F9C" w:rsidRDefault="009E26F4" w:rsidP="00191861">
      <w:pPr>
        <w:ind w:left="45" w:right="-1" w:firstLine="663"/>
        <w:jc w:val="both"/>
        <w:rPr>
          <w:sz w:val="28"/>
          <w:szCs w:val="28"/>
        </w:rPr>
      </w:pPr>
      <w:r w:rsidRPr="00467F9C">
        <w:rPr>
          <w:sz w:val="28"/>
          <w:szCs w:val="28"/>
        </w:rPr>
        <w:t>Средства окружного бюджета, использованные на закупку товаров, работ и услуг для государственных нужд (далее – контрактуемые расходы), в 2021 году составили 7 886 516,6 тыс. рублей или 94,5% утвержденных сводной бюджетной росписью. Объем неисполненных расходов составил 455 293,6 тыс. рублей.</w:t>
      </w:r>
    </w:p>
    <w:p w:rsidR="009E26F4" w:rsidRPr="00467F9C" w:rsidRDefault="009E26F4" w:rsidP="00191861">
      <w:pPr>
        <w:ind w:left="45" w:firstLine="663"/>
        <w:jc w:val="both"/>
        <w:rPr>
          <w:sz w:val="28"/>
          <w:szCs w:val="28"/>
        </w:rPr>
      </w:pPr>
      <w:r w:rsidRPr="00467F9C">
        <w:rPr>
          <w:sz w:val="28"/>
          <w:szCs w:val="28"/>
        </w:rPr>
        <w:t>Информация об использовании средств окружного бюджета на закупку товаров, работ и услуг для государственных нужд в 2021 году представлена в таблице №20.</w:t>
      </w:r>
    </w:p>
    <w:p w:rsidR="009E26F4" w:rsidRPr="00467F9C" w:rsidRDefault="009E26F4" w:rsidP="00191861">
      <w:pPr>
        <w:tabs>
          <w:tab w:val="left" w:pos="709"/>
        </w:tabs>
        <w:autoSpaceDE w:val="0"/>
        <w:autoSpaceDN w:val="0"/>
        <w:adjustRightInd w:val="0"/>
        <w:jc w:val="right"/>
        <w:rPr>
          <w:sz w:val="28"/>
          <w:szCs w:val="28"/>
        </w:rPr>
      </w:pPr>
      <w:r w:rsidRPr="00467F9C">
        <w:rPr>
          <w:sz w:val="28"/>
          <w:szCs w:val="28"/>
        </w:rPr>
        <w:t>Таблица №20</w:t>
      </w:r>
    </w:p>
    <w:p w:rsidR="009E26F4" w:rsidRPr="00467F9C" w:rsidRDefault="009E26F4" w:rsidP="00191861">
      <w:pPr>
        <w:tabs>
          <w:tab w:val="left" w:pos="709"/>
        </w:tabs>
        <w:autoSpaceDE w:val="0"/>
        <w:autoSpaceDN w:val="0"/>
        <w:adjustRightInd w:val="0"/>
        <w:jc w:val="right"/>
        <w:rPr>
          <w:sz w:val="28"/>
          <w:szCs w:val="28"/>
        </w:rPr>
      </w:pPr>
      <w:r w:rsidRPr="00467F9C">
        <w:rPr>
          <w:sz w:val="28"/>
          <w:szCs w:val="28"/>
        </w:rPr>
        <w:t>(тыс. рублей)</w:t>
      </w:r>
    </w:p>
    <w:tbl>
      <w:tblPr>
        <w:tblW w:w="99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4"/>
        <w:gridCol w:w="1320"/>
        <w:gridCol w:w="1231"/>
        <w:gridCol w:w="1453"/>
      </w:tblGrid>
      <w:tr w:rsidR="009E26F4" w:rsidRPr="00A57F05" w:rsidTr="00A57F05">
        <w:trPr>
          <w:trHeight w:val="487"/>
          <w:tblHeader/>
        </w:trPr>
        <w:tc>
          <w:tcPr>
            <w:tcW w:w="5944" w:type="dxa"/>
            <w:shd w:val="clear" w:color="auto" w:fill="auto"/>
            <w:noWrap/>
            <w:vAlign w:val="center"/>
            <w:hideMark/>
          </w:tcPr>
          <w:p w:rsidR="009E26F4" w:rsidRPr="00A57F05" w:rsidRDefault="009E26F4" w:rsidP="00191861">
            <w:pPr>
              <w:jc w:val="center"/>
              <w:rPr>
                <w:bCs/>
                <w:sz w:val="20"/>
                <w:szCs w:val="20"/>
              </w:rPr>
            </w:pPr>
            <w:r w:rsidRPr="00A57F05">
              <w:rPr>
                <w:bCs/>
                <w:sz w:val="20"/>
                <w:szCs w:val="20"/>
              </w:rPr>
              <w:t xml:space="preserve">Наименование показателя </w:t>
            </w:r>
            <w:r w:rsidRPr="00A57F05">
              <w:rPr>
                <w:bCs/>
                <w:sz w:val="20"/>
                <w:szCs w:val="20"/>
              </w:rPr>
              <w:br/>
              <w:t>(вид расходов)</w:t>
            </w:r>
          </w:p>
        </w:tc>
        <w:tc>
          <w:tcPr>
            <w:tcW w:w="1320" w:type="dxa"/>
            <w:shd w:val="clear" w:color="auto" w:fill="auto"/>
            <w:noWrap/>
            <w:vAlign w:val="center"/>
            <w:hideMark/>
          </w:tcPr>
          <w:p w:rsidR="009E26F4" w:rsidRPr="00A57F05" w:rsidRDefault="009E26F4" w:rsidP="00191861">
            <w:pPr>
              <w:jc w:val="center"/>
              <w:rPr>
                <w:bCs/>
                <w:sz w:val="20"/>
                <w:szCs w:val="20"/>
              </w:rPr>
            </w:pPr>
            <w:r w:rsidRPr="00A57F05">
              <w:rPr>
                <w:bCs/>
                <w:sz w:val="20"/>
                <w:szCs w:val="20"/>
              </w:rPr>
              <w:t>Утверждено (СБР)</w:t>
            </w:r>
          </w:p>
        </w:tc>
        <w:tc>
          <w:tcPr>
            <w:tcW w:w="1231" w:type="dxa"/>
            <w:shd w:val="clear" w:color="auto" w:fill="auto"/>
            <w:noWrap/>
            <w:vAlign w:val="center"/>
            <w:hideMark/>
          </w:tcPr>
          <w:p w:rsidR="009E26F4" w:rsidRPr="00A57F05" w:rsidRDefault="009E26F4" w:rsidP="00191861">
            <w:pPr>
              <w:jc w:val="center"/>
              <w:rPr>
                <w:bCs/>
                <w:sz w:val="20"/>
                <w:szCs w:val="20"/>
              </w:rPr>
            </w:pPr>
            <w:r w:rsidRPr="00A57F05">
              <w:rPr>
                <w:bCs/>
                <w:sz w:val="20"/>
                <w:szCs w:val="20"/>
              </w:rPr>
              <w:t>Исполнено</w:t>
            </w:r>
          </w:p>
        </w:tc>
        <w:tc>
          <w:tcPr>
            <w:tcW w:w="1453" w:type="dxa"/>
            <w:shd w:val="clear" w:color="auto" w:fill="auto"/>
            <w:vAlign w:val="center"/>
            <w:hideMark/>
          </w:tcPr>
          <w:p w:rsidR="009E26F4" w:rsidRPr="00A57F05" w:rsidRDefault="009E26F4" w:rsidP="00A57F05">
            <w:pPr>
              <w:ind w:left="-78" w:right="-116"/>
              <w:jc w:val="center"/>
              <w:rPr>
                <w:bCs/>
                <w:sz w:val="20"/>
                <w:szCs w:val="20"/>
              </w:rPr>
            </w:pPr>
            <w:r w:rsidRPr="00A57F05">
              <w:rPr>
                <w:bCs/>
                <w:sz w:val="20"/>
                <w:szCs w:val="20"/>
              </w:rPr>
              <w:t>Уровень исполнения, %</w:t>
            </w:r>
          </w:p>
        </w:tc>
      </w:tr>
      <w:tr w:rsidR="009E26F4" w:rsidRPr="00A57F05" w:rsidTr="00A57F05">
        <w:trPr>
          <w:trHeight w:val="282"/>
          <w:tblHeader/>
        </w:trPr>
        <w:tc>
          <w:tcPr>
            <w:tcW w:w="5944" w:type="dxa"/>
            <w:shd w:val="clear" w:color="auto" w:fill="auto"/>
            <w:noWrap/>
            <w:vAlign w:val="center"/>
          </w:tcPr>
          <w:p w:rsidR="009E26F4" w:rsidRPr="00A57F05" w:rsidRDefault="009E26F4" w:rsidP="00191861">
            <w:pPr>
              <w:jc w:val="center"/>
              <w:rPr>
                <w:bCs/>
                <w:sz w:val="20"/>
                <w:szCs w:val="20"/>
              </w:rPr>
            </w:pPr>
            <w:r w:rsidRPr="00A57F05">
              <w:rPr>
                <w:bCs/>
                <w:sz w:val="20"/>
                <w:szCs w:val="20"/>
              </w:rPr>
              <w:t>1</w:t>
            </w:r>
          </w:p>
        </w:tc>
        <w:tc>
          <w:tcPr>
            <w:tcW w:w="1320" w:type="dxa"/>
            <w:shd w:val="clear" w:color="auto" w:fill="auto"/>
            <w:noWrap/>
            <w:vAlign w:val="center"/>
          </w:tcPr>
          <w:p w:rsidR="009E26F4" w:rsidRPr="00A57F05" w:rsidRDefault="009E26F4" w:rsidP="00191861">
            <w:pPr>
              <w:jc w:val="center"/>
              <w:rPr>
                <w:bCs/>
                <w:sz w:val="20"/>
                <w:szCs w:val="20"/>
              </w:rPr>
            </w:pPr>
            <w:r w:rsidRPr="00A57F05">
              <w:rPr>
                <w:bCs/>
                <w:sz w:val="20"/>
                <w:szCs w:val="20"/>
              </w:rPr>
              <w:t>2</w:t>
            </w:r>
          </w:p>
        </w:tc>
        <w:tc>
          <w:tcPr>
            <w:tcW w:w="1231" w:type="dxa"/>
            <w:shd w:val="clear" w:color="auto" w:fill="auto"/>
            <w:noWrap/>
            <w:vAlign w:val="center"/>
          </w:tcPr>
          <w:p w:rsidR="009E26F4" w:rsidRPr="00A57F05" w:rsidRDefault="009E26F4" w:rsidP="00191861">
            <w:pPr>
              <w:jc w:val="center"/>
              <w:rPr>
                <w:bCs/>
                <w:sz w:val="20"/>
                <w:szCs w:val="20"/>
              </w:rPr>
            </w:pPr>
            <w:r w:rsidRPr="00A57F05">
              <w:rPr>
                <w:bCs/>
                <w:sz w:val="20"/>
                <w:szCs w:val="20"/>
              </w:rPr>
              <w:t>3</w:t>
            </w:r>
          </w:p>
        </w:tc>
        <w:tc>
          <w:tcPr>
            <w:tcW w:w="1453" w:type="dxa"/>
            <w:shd w:val="clear" w:color="auto" w:fill="auto"/>
            <w:vAlign w:val="center"/>
          </w:tcPr>
          <w:p w:rsidR="009E26F4" w:rsidRPr="00A57F05" w:rsidRDefault="009E26F4" w:rsidP="00191861">
            <w:pPr>
              <w:jc w:val="center"/>
              <w:rPr>
                <w:bCs/>
                <w:sz w:val="20"/>
                <w:szCs w:val="20"/>
              </w:rPr>
            </w:pPr>
            <w:r w:rsidRPr="00A57F05">
              <w:rPr>
                <w:bCs/>
                <w:sz w:val="20"/>
                <w:szCs w:val="20"/>
              </w:rPr>
              <w:t>4</w:t>
            </w:r>
          </w:p>
        </w:tc>
      </w:tr>
      <w:tr w:rsidR="009E26F4" w:rsidRPr="00A57F05" w:rsidTr="00A57F05">
        <w:trPr>
          <w:trHeight w:val="282"/>
        </w:trPr>
        <w:tc>
          <w:tcPr>
            <w:tcW w:w="5944" w:type="dxa"/>
            <w:shd w:val="clear" w:color="auto" w:fill="auto"/>
            <w:vAlign w:val="center"/>
          </w:tcPr>
          <w:p w:rsidR="009E26F4" w:rsidRPr="00A57F05" w:rsidRDefault="009E26F4" w:rsidP="00191861">
            <w:pPr>
              <w:rPr>
                <w:b/>
                <w:sz w:val="20"/>
                <w:szCs w:val="20"/>
              </w:rPr>
            </w:pPr>
            <w:r w:rsidRPr="00A57F05">
              <w:rPr>
                <w:b/>
                <w:bCs/>
                <w:sz w:val="20"/>
                <w:szCs w:val="20"/>
              </w:rPr>
              <w:t>Всего расходов</w:t>
            </w:r>
          </w:p>
        </w:tc>
        <w:tc>
          <w:tcPr>
            <w:tcW w:w="1320" w:type="dxa"/>
            <w:shd w:val="clear" w:color="auto" w:fill="auto"/>
            <w:noWrap/>
            <w:vAlign w:val="center"/>
          </w:tcPr>
          <w:p w:rsidR="009E26F4" w:rsidRPr="00A57F05" w:rsidRDefault="009E26F4" w:rsidP="00191861">
            <w:pPr>
              <w:jc w:val="right"/>
              <w:rPr>
                <w:b/>
                <w:sz w:val="20"/>
                <w:szCs w:val="20"/>
              </w:rPr>
            </w:pPr>
            <w:r w:rsidRPr="00A57F05">
              <w:rPr>
                <w:b/>
                <w:bCs/>
                <w:sz w:val="20"/>
                <w:szCs w:val="20"/>
              </w:rPr>
              <w:t>8 341 810,2</w:t>
            </w:r>
          </w:p>
        </w:tc>
        <w:tc>
          <w:tcPr>
            <w:tcW w:w="1231" w:type="dxa"/>
            <w:shd w:val="clear" w:color="auto" w:fill="auto"/>
            <w:noWrap/>
            <w:vAlign w:val="center"/>
          </w:tcPr>
          <w:p w:rsidR="009E26F4" w:rsidRPr="00A57F05" w:rsidRDefault="009E26F4" w:rsidP="00191861">
            <w:pPr>
              <w:jc w:val="right"/>
              <w:rPr>
                <w:b/>
                <w:sz w:val="20"/>
                <w:szCs w:val="20"/>
              </w:rPr>
            </w:pPr>
            <w:r w:rsidRPr="00A57F05">
              <w:rPr>
                <w:b/>
                <w:bCs/>
                <w:sz w:val="20"/>
                <w:szCs w:val="20"/>
              </w:rPr>
              <w:t>7 886 516,6</w:t>
            </w:r>
          </w:p>
        </w:tc>
        <w:tc>
          <w:tcPr>
            <w:tcW w:w="1453" w:type="dxa"/>
            <w:shd w:val="clear" w:color="auto" w:fill="auto"/>
            <w:noWrap/>
            <w:vAlign w:val="center"/>
          </w:tcPr>
          <w:p w:rsidR="009E26F4" w:rsidRPr="00A57F05" w:rsidRDefault="009E26F4" w:rsidP="00191861">
            <w:pPr>
              <w:jc w:val="center"/>
              <w:rPr>
                <w:b/>
                <w:sz w:val="20"/>
                <w:szCs w:val="20"/>
              </w:rPr>
            </w:pPr>
            <w:r w:rsidRPr="00A57F05">
              <w:rPr>
                <w:b/>
                <w:bCs/>
                <w:sz w:val="20"/>
                <w:szCs w:val="20"/>
              </w:rPr>
              <w:t>94,5</w:t>
            </w:r>
          </w:p>
        </w:tc>
      </w:tr>
      <w:tr w:rsidR="009E26F4" w:rsidRPr="00A57F05" w:rsidTr="00A57F05">
        <w:trPr>
          <w:trHeight w:val="234"/>
        </w:trPr>
        <w:tc>
          <w:tcPr>
            <w:tcW w:w="5944" w:type="dxa"/>
            <w:shd w:val="clear" w:color="auto" w:fill="auto"/>
            <w:vAlign w:val="center"/>
            <w:hideMark/>
          </w:tcPr>
          <w:p w:rsidR="009E26F4" w:rsidRPr="00A57F05" w:rsidRDefault="009E26F4" w:rsidP="00191861">
            <w:pPr>
              <w:rPr>
                <w:sz w:val="20"/>
                <w:szCs w:val="20"/>
              </w:rPr>
            </w:pPr>
            <w:r w:rsidRPr="00A57F05">
              <w:rPr>
                <w:sz w:val="20"/>
                <w:szCs w:val="20"/>
              </w:rPr>
              <w:t>Закупка товаров, работ и услуг для государственных (муниципальных) нужд (</w:t>
            </w:r>
            <w:proofErr w:type="spellStart"/>
            <w:r w:rsidRPr="00A57F05">
              <w:rPr>
                <w:sz w:val="20"/>
                <w:szCs w:val="20"/>
              </w:rPr>
              <w:t>вр</w:t>
            </w:r>
            <w:proofErr w:type="spellEnd"/>
            <w:r w:rsidRPr="00A57F05">
              <w:rPr>
                <w:sz w:val="20"/>
                <w:szCs w:val="20"/>
              </w:rPr>
              <w:t xml:space="preserve"> 200)</w:t>
            </w:r>
          </w:p>
        </w:tc>
        <w:tc>
          <w:tcPr>
            <w:tcW w:w="1320" w:type="dxa"/>
            <w:shd w:val="clear" w:color="auto" w:fill="auto"/>
            <w:noWrap/>
            <w:vAlign w:val="center"/>
            <w:hideMark/>
          </w:tcPr>
          <w:p w:rsidR="009E26F4" w:rsidRPr="00A57F05" w:rsidRDefault="009E26F4" w:rsidP="00191861">
            <w:pPr>
              <w:jc w:val="right"/>
              <w:rPr>
                <w:sz w:val="20"/>
                <w:szCs w:val="20"/>
              </w:rPr>
            </w:pPr>
            <w:r w:rsidRPr="00A57F05">
              <w:rPr>
                <w:sz w:val="20"/>
                <w:szCs w:val="20"/>
              </w:rPr>
              <w:t>1 740 904,6</w:t>
            </w:r>
          </w:p>
        </w:tc>
        <w:tc>
          <w:tcPr>
            <w:tcW w:w="1231" w:type="dxa"/>
            <w:shd w:val="clear" w:color="auto" w:fill="auto"/>
            <w:noWrap/>
            <w:vAlign w:val="center"/>
            <w:hideMark/>
          </w:tcPr>
          <w:p w:rsidR="009E26F4" w:rsidRPr="00A57F05" w:rsidRDefault="009E26F4" w:rsidP="00191861">
            <w:pPr>
              <w:jc w:val="right"/>
              <w:rPr>
                <w:sz w:val="20"/>
                <w:szCs w:val="20"/>
              </w:rPr>
            </w:pPr>
            <w:r w:rsidRPr="00A57F05">
              <w:rPr>
                <w:sz w:val="20"/>
                <w:szCs w:val="20"/>
              </w:rPr>
              <w:t>1 647 661,8</w:t>
            </w:r>
          </w:p>
        </w:tc>
        <w:tc>
          <w:tcPr>
            <w:tcW w:w="1453" w:type="dxa"/>
            <w:shd w:val="clear" w:color="auto" w:fill="auto"/>
            <w:noWrap/>
            <w:vAlign w:val="center"/>
            <w:hideMark/>
          </w:tcPr>
          <w:p w:rsidR="009E26F4" w:rsidRPr="00A57F05" w:rsidRDefault="009E26F4" w:rsidP="00191861">
            <w:pPr>
              <w:jc w:val="center"/>
              <w:rPr>
                <w:sz w:val="20"/>
                <w:szCs w:val="20"/>
              </w:rPr>
            </w:pPr>
            <w:r w:rsidRPr="00A57F05">
              <w:rPr>
                <w:sz w:val="20"/>
                <w:szCs w:val="20"/>
              </w:rPr>
              <w:t>94,6</w:t>
            </w:r>
          </w:p>
        </w:tc>
      </w:tr>
      <w:tr w:rsidR="009E26F4" w:rsidRPr="00A57F05" w:rsidTr="00A57F05">
        <w:trPr>
          <w:trHeight w:val="60"/>
        </w:trPr>
        <w:tc>
          <w:tcPr>
            <w:tcW w:w="5944" w:type="dxa"/>
            <w:shd w:val="clear" w:color="auto" w:fill="auto"/>
            <w:vAlign w:val="center"/>
            <w:hideMark/>
          </w:tcPr>
          <w:p w:rsidR="009E26F4" w:rsidRPr="00A57F05" w:rsidRDefault="009E26F4" w:rsidP="00191861">
            <w:pPr>
              <w:rPr>
                <w:sz w:val="20"/>
                <w:szCs w:val="20"/>
              </w:rPr>
            </w:pPr>
            <w:r w:rsidRPr="00A57F05">
              <w:rPr>
                <w:sz w:val="20"/>
                <w:szCs w:val="20"/>
              </w:rPr>
              <w:t>Приобретение товаров, работ, услуг в пользу граждан в целях их социального обеспечения (</w:t>
            </w:r>
            <w:proofErr w:type="spellStart"/>
            <w:r w:rsidRPr="00A57F05">
              <w:rPr>
                <w:sz w:val="20"/>
                <w:szCs w:val="20"/>
              </w:rPr>
              <w:t>вр</w:t>
            </w:r>
            <w:proofErr w:type="spellEnd"/>
            <w:r w:rsidRPr="00A57F05">
              <w:rPr>
                <w:sz w:val="20"/>
                <w:szCs w:val="20"/>
              </w:rPr>
              <w:t xml:space="preserve"> 323)</w:t>
            </w:r>
          </w:p>
        </w:tc>
        <w:tc>
          <w:tcPr>
            <w:tcW w:w="1320" w:type="dxa"/>
            <w:shd w:val="clear" w:color="auto" w:fill="auto"/>
            <w:noWrap/>
            <w:vAlign w:val="center"/>
            <w:hideMark/>
          </w:tcPr>
          <w:p w:rsidR="009E26F4" w:rsidRPr="00A57F05" w:rsidRDefault="009E26F4" w:rsidP="00191861">
            <w:pPr>
              <w:jc w:val="right"/>
              <w:rPr>
                <w:sz w:val="20"/>
                <w:szCs w:val="20"/>
              </w:rPr>
            </w:pPr>
            <w:r w:rsidRPr="00A57F05">
              <w:rPr>
                <w:sz w:val="20"/>
                <w:szCs w:val="20"/>
              </w:rPr>
              <w:t>172 716,4</w:t>
            </w:r>
          </w:p>
        </w:tc>
        <w:tc>
          <w:tcPr>
            <w:tcW w:w="1231" w:type="dxa"/>
            <w:shd w:val="clear" w:color="auto" w:fill="auto"/>
            <w:noWrap/>
            <w:vAlign w:val="center"/>
            <w:hideMark/>
          </w:tcPr>
          <w:p w:rsidR="009E26F4" w:rsidRPr="00A57F05" w:rsidRDefault="009E26F4" w:rsidP="00191861">
            <w:pPr>
              <w:jc w:val="right"/>
              <w:rPr>
                <w:sz w:val="20"/>
                <w:szCs w:val="20"/>
              </w:rPr>
            </w:pPr>
            <w:r w:rsidRPr="00A57F05">
              <w:rPr>
                <w:sz w:val="20"/>
                <w:szCs w:val="20"/>
              </w:rPr>
              <w:t>171 407,7</w:t>
            </w:r>
          </w:p>
        </w:tc>
        <w:tc>
          <w:tcPr>
            <w:tcW w:w="1453" w:type="dxa"/>
            <w:shd w:val="clear" w:color="auto" w:fill="auto"/>
            <w:noWrap/>
            <w:vAlign w:val="center"/>
            <w:hideMark/>
          </w:tcPr>
          <w:p w:rsidR="009E26F4" w:rsidRPr="00A57F05" w:rsidRDefault="009E26F4" w:rsidP="00191861">
            <w:pPr>
              <w:jc w:val="center"/>
              <w:rPr>
                <w:sz w:val="20"/>
                <w:szCs w:val="20"/>
              </w:rPr>
            </w:pPr>
            <w:r w:rsidRPr="00A57F05">
              <w:rPr>
                <w:sz w:val="20"/>
                <w:szCs w:val="20"/>
              </w:rPr>
              <w:t>99,2</w:t>
            </w:r>
          </w:p>
        </w:tc>
      </w:tr>
      <w:tr w:rsidR="009E26F4" w:rsidRPr="00A57F05" w:rsidTr="00A57F05">
        <w:trPr>
          <w:trHeight w:val="449"/>
        </w:trPr>
        <w:tc>
          <w:tcPr>
            <w:tcW w:w="5944" w:type="dxa"/>
            <w:shd w:val="clear" w:color="auto" w:fill="auto"/>
            <w:vAlign w:val="center"/>
            <w:hideMark/>
          </w:tcPr>
          <w:p w:rsidR="009E26F4" w:rsidRPr="00A57F05" w:rsidRDefault="009E26F4" w:rsidP="00191861">
            <w:pPr>
              <w:rPr>
                <w:sz w:val="20"/>
                <w:szCs w:val="20"/>
              </w:rPr>
            </w:pPr>
            <w:r w:rsidRPr="00A57F05">
              <w:rPr>
                <w:sz w:val="20"/>
                <w:szCs w:val="20"/>
              </w:rPr>
              <w:t>Капитальные вложения в объекты государственной (муниципальной) собственности (</w:t>
            </w:r>
            <w:proofErr w:type="spellStart"/>
            <w:r w:rsidRPr="00A57F05">
              <w:rPr>
                <w:sz w:val="20"/>
                <w:szCs w:val="20"/>
              </w:rPr>
              <w:t>вр</w:t>
            </w:r>
            <w:proofErr w:type="spellEnd"/>
            <w:r w:rsidRPr="00A57F05">
              <w:rPr>
                <w:sz w:val="20"/>
                <w:szCs w:val="20"/>
              </w:rPr>
              <w:t xml:space="preserve"> 400)</w:t>
            </w:r>
          </w:p>
        </w:tc>
        <w:tc>
          <w:tcPr>
            <w:tcW w:w="1320" w:type="dxa"/>
            <w:shd w:val="clear" w:color="auto" w:fill="auto"/>
            <w:noWrap/>
            <w:vAlign w:val="center"/>
            <w:hideMark/>
          </w:tcPr>
          <w:p w:rsidR="009E26F4" w:rsidRPr="00A57F05" w:rsidRDefault="009E26F4" w:rsidP="00191861">
            <w:pPr>
              <w:jc w:val="right"/>
              <w:rPr>
                <w:sz w:val="20"/>
                <w:szCs w:val="20"/>
              </w:rPr>
            </w:pPr>
            <w:r w:rsidRPr="00A57F05">
              <w:rPr>
                <w:sz w:val="20"/>
                <w:szCs w:val="20"/>
              </w:rPr>
              <w:t>6 426 069,8</w:t>
            </w:r>
          </w:p>
        </w:tc>
        <w:tc>
          <w:tcPr>
            <w:tcW w:w="1231" w:type="dxa"/>
            <w:shd w:val="clear" w:color="auto" w:fill="auto"/>
            <w:noWrap/>
            <w:vAlign w:val="center"/>
            <w:hideMark/>
          </w:tcPr>
          <w:p w:rsidR="009E26F4" w:rsidRPr="00A57F05" w:rsidRDefault="009E26F4" w:rsidP="00191861">
            <w:pPr>
              <w:jc w:val="right"/>
              <w:rPr>
                <w:sz w:val="20"/>
                <w:szCs w:val="20"/>
              </w:rPr>
            </w:pPr>
            <w:r w:rsidRPr="00A57F05">
              <w:rPr>
                <w:sz w:val="20"/>
                <w:szCs w:val="20"/>
              </w:rPr>
              <w:t>6 065 327,7</w:t>
            </w:r>
          </w:p>
        </w:tc>
        <w:tc>
          <w:tcPr>
            <w:tcW w:w="1453" w:type="dxa"/>
            <w:shd w:val="clear" w:color="auto" w:fill="auto"/>
            <w:noWrap/>
            <w:vAlign w:val="center"/>
            <w:hideMark/>
          </w:tcPr>
          <w:p w:rsidR="009E26F4" w:rsidRPr="00A57F05" w:rsidRDefault="009E26F4" w:rsidP="00191861">
            <w:pPr>
              <w:jc w:val="center"/>
              <w:rPr>
                <w:sz w:val="20"/>
                <w:szCs w:val="20"/>
              </w:rPr>
            </w:pPr>
            <w:r w:rsidRPr="00A57F05">
              <w:rPr>
                <w:sz w:val="20"/>
                <w:szCs w:val="20"/>
              </w:rPr>
              <w:t>94,4</w:t>
            </w:r>
          </w:p>
        </w:tc>
      </w:tr>
      <w:tr w:rsidR="009E26F4" w:rsidRPr="00A57F05" w:rsidTr="00A57F05">
        <w:trPr>
          <w:trHeight w:val="319"/>
        </w:trPr>
        <w:tc>
          <w:tcPr>
            <w:tcW w:w="5944" w:type="dxa"/>
            <w:shd w:val="clear" w:color="auto" w:fill="auto"/>
            <w:vAlign w:val="center"/>
            <w:hideMark/>
          </w:tcPr>
          <w:p w:rsidR="009E26F4" w:rsidRPr="00A57F05" w:rsidRDefault="009E26F4" w:rsidP="00191861">
            <w:pPr>
              <w:rPr>
                <w:sz w:val="20"/>
                <w:szCs w:val="20"/>
              </w:rPr>
            </w:pPr>
            <w:r w:rsidRPr="00A57F05">
              <w:rPr>
                <w:sz w:val="20"/>
                <w:szCs w:val="20"/>
              </w:rPr>
              <w:t>Специальные расходы (</w:t>
            </w:r>
            <w:proofErr w:type="spellStart"/>
            <w:r w:rsidRPr="00A57F05">
              <w:rPr>
                <w:sz w:val="20"/>
                <w:szCs w:val="20"/>
              </w:rPr>
              <w:t>вр</w:t>
            </w:r>
            <w:proofErr w:type="spellEnd"/>
            <w:r w:rsidRPr="00A57F05">
              <w:rPr>
                <w:sz w:val="20"/>
                <w:szCs w:val="20"/>
              </w:rPr>
              <w:t xml:space="preserve"> 880)</w:t>
            </w:r>
          </w:p>
        </w:tc>
        <w:tc>
          <w:tcPr>
            <w:tcW w:w="1320" w:type="dxa"/>
            <w:shd w:val="clear" w:color="auto" w:fill="auto"/>
            <w:noWrap/>
            <w:vAlign w:val="center"/>
            <w:hideMark/>
          </w:tcPr>
          <w:p w:rsidR="009E26F4" w:rsidRPr="00A57F05" w:rsidRDefault="009E26F4" w:rsidP="00191861">
            <w:pPr>
              <w:jc w:val="right"/>
              <w:rPr>
                <w:sz w:val="20"/>
                <w:szCs w:val="20"/>
              </w:rPr>
            </w:pPr>
            <w:r w:rsidRPr="00A57F05">
              <w:rPr>
                <w:sz w:val="20"/>
                <w:szCs w:val="20"/>
              </w:rPr>
              <w:t>2 119,4</w:t>
            </w:r>
          </w:p>
        </w:tc>
        <w:tc>
          <w:tcPr>
            <w:tcW w:w="1231" w:type="dxa"/>
            <w:shd w:val="clear" w:color="auto" w:fill="auto"/>
            <w:noWrap/>
            <w:vAlign w:val="center"/>
            <w:hideMark/>
          </w:tcPr>
          <w:p w:rsidR="009E26F4" w:rsidRPr="00A57F05" w:rsidRDefault="009E26F4" w:rsidP="00191861">
            <w:pPr>
              <w:jc w:val="right"/>
              <w:rPr>
                <w:sz w:val="20"/>
                <w:szCs w:val="20"/>
              </w:rPr>
            </w:pPr>
            <w:r w:rsidRPr="00A57F05">
              <w:rPr>
                <w:sz w:val="20"/>
                <w:szCs w:val="20"/>
              </w:rPr>
              <w:t>2 119,4</w:t>
            </w:r>
          </w:p>
        </w:tc>
        <w:tc>
          <w:tcPr>
            <w:tcW w:w="1453" w:type="dxa"/>
            <w:shd w:val="clear" w:color="auto" w:fill="auto"/>
            <w:noWrap/>
            <w:vAlign w:val="center"/>
            <w:hideMark/>
          </w:tcPr>
          <w:p w:rsidR="009E26F4" w:rsidRPr="00A57F05" w:rsidRDefault="009E26F4" w:rsidP="00191861">
            <w:pPr>
              <w:jc w:val="center"/>
              <w:rPr>
                <w:sz w:val="20"/>
                <w:szCs w:val="20"/>
              </w:rPr>
            </w:pPr>
            <w:r w:rsidRPr="00A57F05">
              <w:rPr>
                <w:sz w:val="20"/>
                <w:szCs w:val="20"/>
              </w:rPr>
              <w:t>100,0</w:t>
            </w:r>
          </w:p>
        </w:tc>
      </w:tr>
    </w:tbl>
    <w:p w:rsidR="009E26F4" w:rsidRPr="00467F9C" w:rsidRDefault="009E26F4" w:rsidP="00191861">
      <w:pPr>
        <w:spacing w:before="120"/>
        <w:ind w:left="43" w:firstLine="665"/>
        <w:jc w:val="both"/>
        <w:rPr>
          <w:sz w:val="28"/>
          <w:szCs w:val="28"/>
        </w:rPr>
      </w:pPr>
      <w:r w:rsidRPr="00467F9C">
        <w:rPr>
          <w:sz w:val="28"/>
          <w:szCs w:val="28"/>
        </w:rPr>
        <w:lastRenderedPageBreak/>
        <w:t xml:space="preserve">Наиболее низкий уровень исполнения установлен в рамках расходов на закупку товаров, работ и услуг для государственных (муниципальных) нужд (94,6%) и на капитальные вложения в объекты государственной (муниципальной) собственности (94,4%), что обусловлено переносом сроков исполнения государственных контрактов, в том числе в связи со сложившейся ситуацией по доставке грузов в Чукотский автономный округ в навигацию 2021 года и санитарно-эпидемиологической ситуацией, связанной с распространением новой </w:t>
      </w:r>
      <w:proofErr w:type="spellStart"/>
      <w:r w:rsidRPr="00467F9C">
        <w:rPr>
          <w:sz w:val="28"/>
          <w:szCs w:val="28"/>
        </w:rPr>
        <w:t>коронавирусной</w:t>
      </w:r>
      <w:proofErr w:type="spellEnd"/>
      <w:r w:rsidRPr="00467F9C">
        <w:rPr>
          <w:sz w:val="28"/>
          <w:szCs w:val="28"/>
        </w:rPr>
        <w:t xml:space="preserve"> инфекции. </w:t>
      </w:r>
    </w:p>
    <w:p w:rsidR="009E26F4" w:rsidRPr="00467F9C" w:rsidRDefault="009E26F4" w:rsidP="00191861">
      <w:pPr>
        <w:tabs>
          <w:tab w:val="left" w:pos="8505"/>
        </w:tabs>
        <w:ind w:firstLine="709"/>
        <w:jc w:val="both"/>
        <w:rPr>
          <w:sz w:val="28"/>
          <w:szCs w:val="28"/>
        </w:rPr>
      </w:pPr>
      <w:r w:rsidRPr="00467F9C">
        <w:rPr>
          <w:sz w:val="28"/>
          <w:szCs w:val="28"/>
        </w:rPr>
        <w:t>Контрактуемые расходы в 2021 году осуществляли 16 главных распорядителей средств окружного бюджета. Уровень исполнения указанных расходов по 8 главным распорядителям средств окружного бюджета составил ниже 95% доведенных лимитов бюджетных обязательств. Наиболее низкий уровень исполнения сложился по Департаменту финансов (76,3%), Управлению по обеспечению деятельности мировых судей (75%), Департаменту образования (74,3%).</w:t>
      </w:r>
    </w:p>
    <w:p w:rsidR="009E26F4" w:rsidRPr="00467F9C" w:rsidRDefault="009E26F4" w:rsidP="00191861">
      <w:pPr>
        <w:ind w:firstLine="708"/>
        <w:jc w:val="both"/>
        <w:rPr>
          <w:sz w:val="28"/>
          <w:szCs w:val="28"/>
        </w:rPr>
      </w:pPr>
      <w:r w:rsidRPr="00467F9C">
        <w:rPr>
          <w:sz w:val="28"/>
          <w:szCs w:val="28"/>
        </w:rPr>
        <w:t>Государственные бюджетные и автономные учреждения Чукотского автономного округа в 2021 году средства окружного бюджета, полученные в форме субсидий на выполнение государственных заданий и на иные цели, использовали на закупки 2 281 821,0 тыс. рублей или 90,8% плановых назначений (таблица №21).</w:t>
      </w:r>
    </w:p>
    <w:p w:rsidR="009E26F4" w:rsidRPr="00467F9C" w:rsidRDefault="009E26F4" w:rsidP="00191861">
      <w:pPr>
        <w:ind w:firstLine="708"/>
        <w:jc w:val="right"/>
        <w:rPr>
          <w:sz w:val="28"/>
          <w:szCs w:val="28"/>
        </w:rPr>
      </w:pPr>
      <w:r w:rsidRPr="00467F9C">
        <w:rPr>
          <w:sz w:val="28"/>
          <w:szCs w:val="28"/>
        </w:rPr>
        <w:t>Таблица №21</w:t>
      </w:r>
    </w:p>
    <w:p w:rsidR="009E26F4" w:rsidRPr="00467F9C" w:rsidRDefault="009E26F4" w:rsidP="00191861">
      <w:pPr>
        <w:ind w:firstLine="708"/>
        <w:jc w:val="right"/>
        <w:rPr>
          <w:sz w:val="28"/>
          <w:szCs w:val="28"/>
        </w:rPr>
      </w:pPr>
      <w:r w:rsidRPr="00467F9C">
        <w:rPr>
          <w:sz w:val="28"/>
          <w:szCs w:val="28"/>
        </w:rPr>
        <w:t>(тыс. рублей)</w:t>
      </w:r>
    </w:p>
    <w:tbl>
      <w:tblPr>
        <w:tblStyle w:val="af5"/>
        <w:tblW w:w="9918" w:type="dxa"/>
        <w:tblLook w:val="04A0" w:firstRow="1" w:lastRow="0" w:firstColumn="1" w:lastColumn="0" w:noHBand="0" w:noVBand="1"/>
      </w:tblPr>
      <w:tblGrid>
        <w:gridCol w:w="4375"/>
        <w:gridCol w:w="1371"/>
        <w:gridCol w:w="1417"/>
        <w:gridCol w:w="1501"/>
        <w:gridCol w:w="1254"/>
      </w:tblGrid>
      <w:tr w:rsidR="009E26F4" w:rsidRPr="00A57F05" w:rsidTr="00A57F05">
        <w:trPr>
          <w:trHeight w:val="491"/>
          <w:tblHeader/>
        </w:trPr>
        <w:tc>
          <w:tcPr>
            <w:tcW w:w="4375" w:type="dxa"/>
            <w:vAlign w:val="center"/>
          </w:tcPr>
          <w:p w:rsidR="009E26F4" w:rsidRPr="00A57F05" w:rsidRDefault="009E26F4" w:rsidP="00191861">
            <w:pPr>
              <w:jc w:val="center"/>
              <w:rPr>
                <w:sz w:val="20"/>
                <w:szCs w:val="20"/>
              </w:rPr>
            </w:pPr>
            <w:r w:rsidRPr="00A57F05">
              <w:rPr>
                <w:sz w:val="20"/>
                <w:szCs w:val="20"/>
              </w:rPr>
              <w:t>Наименование показателя</w:t>
            </w:r>
          </w:p>
        </w:tc>
        <w:tc>
          <w:tcPr>
            <w:tcW w:w="1371" w:type="dxa"/>
            <w:vAlign w:val="center"/>
          </w:tcPr>
          <w:p w:rsidR="009E26F4" w:rsidRPr="00A57F05" w:rsidRDefault="009E26F4" w:rsidP="00191861">
            <w:pPr>
              <w:jc w:val="center"/>
              <w:rPr>
                <w:sz w:val="20"/>
                <w:szCs w:val="20"/>
              </w:rPr>
            </w:pPr>
            <w:r w:rsidRPr="00A57F05">
              <w:rPr>
                <w:sz w:val="20"/>
                <w:szCs w:val="20"/>
              </w:rPr>
              <w:t xml:space="preserve">Утверждено </w:t>
            </w:r>
          </w:p>
        </w:tc>
        <w:tc>
          <w:tcPr>
            <w:tcW w:w="0" w:type="auto"/>
            <w:vAlign w:val="center"/>
          </w:tcPr>
          <w:p w:rsidR="009E26F4" w:rsidRPr="00A57F05" w:rsidRDefault="009E26F4" w:rsidP="00191861">
            <w:pPr>
              <w:jc w:val="center"/>
              <w:rPr>
                <w:sz w:val="20"/>
                <w:szCs w:val="20"/>
              </w:rPr>
            </w:pPr>
            <w:r w:rsidRPr="00A57F05">
              <w:rPr>
                <w:sz w:val="20"/>
                <w:szCs w:val="20"/>
              </w:rPr>
              <w:t>Использовано</w:t>
            </w:r>
          </w:p>
        </w:tc>
        <w:tc>
          <w:tcPr>
            <w:tcW w:w="1501" w:type="dxa"/>
            <w:vAlign w:val="center"/>
          </w:tcPr>
          <w:p w:rsidR="009E26F4" w:rsidRPr="00A57F05" w:rsidRDefault="009E26F4" w:rsidP="00191861">
            <w:pPr>
              <w:jc w:val="center"/>
              <w:rPr>
                <w:sz w:val="20"/>
                <w:szCs w:val="20"/>
              </w:rPr>
            </w:pPr>
            <w:r w:rsidRPr="00A57F05">
              <w:rPr>
                <w:sz w:val="20"/>
                <w:szCs w:val="20"/>
              </w:rPr>
              <w:t>Уровень исполнения, %</w:t>
            </w:r>
          </w:p>
        </w:tc>
        <w:tc>
          <w:tcPr>
            <w:tcW w:w="1254" w:type="dxa"/>
            <w:vAlign w:val="center"/>
          </w:tcPr>
          <w:p w:rsidR="009E26F4" w:rsidRPr="00A57F05" w:rsidRDefault="009E26F4" w:rsidP="00191861">
            <w:pPr>
              <w:jc w:val="center"/>
              <w:rPr>
                <w:sz w:val="20"/>
                <w:szCs w:val="20"/>
              </w:rPr>
            </w:pPr>
            <w:r w:rsidRPr="00A57F05">
              <w:rPr>
                <w:sz w:val="20"/>
                <w:szCs w:val="20"/>
              </w:rPr>
              <w:t>Удельный вес, %</w:t>
            </w:r>
          </w:p>
        </w:tc>
      </w:tr>
      <w:tr w:rsidR="009E26F4" w:rsidRPr="00A57F05" w:rsidTr="00A57F05">
        <w:trPr>
          <w:trHeight w:val="226"/>
          <w:tblHeader/>
        </w:trPr>
        <w:tc>
          <w:tcPr>
            <w:tcW w:w="4375" w:type="dxa"/>
            <w:vAlign w:val="center"/>
          </w:tcPr>
          <w:p w:rsidR="009E26F4" w:rsidRPr="00A57F05" w:rsidRDefault="009E26F4" w:rsidP="00191861">
            <w:pPr>
              <w:jc w:val="center"/>
              <w:rPr>
                <w:sz w:val="20"/>
                <w:szCs w:val="20"/>
              </w:rPr>
            </w:pPr>
            <w:r w:rsidRPr="00A57F05">
              <w:rPr>
                <w:sz w:val="20"/>
                <w:szCs w:val="20"/>
              </w:rPr>
              <w:t>1</w:t>
            </w:r>
          </w:p>
        </w:tc>
        <w:tc>
          <w:tcPr>
            <w:tcW w:w="1371" w:type="dxa"/>
            <w:vAlign w:val="center"/>
          </w:tcPr>
          <w:p w:rsidR="009E26F4" w:rsidRPr="00A57F05" w:rsidRDefault="009E26F4" w:rsidP="00191861">
            <w:pPr>
              <w:jc w:val="center"/>
              <w:rPr>
                <w:sz w:val="20"/>
                <w:szCs w:val="20"/>
              </w:rPr>
            </w:pPr>
            <w:r w:rsidRPr="00A57F05">
              <w:rPr>
                <w:sz w:val="20"/>
                <w:szCs w:val="20"/>
              </w:rPr>
              <w:t>2</w:t>
            </w:r>
          </w:p>
        </w:tc>
        <w:tc>
          <w:tcPr>
            <w:tcW w:w="0" w:type="auto"/>
            <w:vAlign w:val="center"/>
          </w:tcPr>
          <w:p w:rsidR="009E26F4" w:rsidRPr="00A57F05" w:rsidRDefault="009E26F4" w:rsidP="00191861">
            <w:pPr>
              <w:jc w:val="center"/>
              <w:rPr>
                <w:sz w:val="20"/>
                <w:szCs w:val="20"/>
              </w:rPr>
            </w:pPr>
            <w:r w:rsidRPr="00A57F05">
              <w:rPr>
                <w:sz w:val="20"/>
                <w:szCs w:val="20"/>
              </w:rPr>
              <w:t>3</w:t>
            </w:r>
          </w:p>
        </w:tc>
        <w:tc>
          <w:tcPr>
            <w:tcW w:w="1501" w:type="dxa"/>
            <w:vAlign w:val="center"/>
          </w:tcPr>
          <w:p w:rsidR="009E26F4" w:rsidRPr="00A57F05" w:rsidRDefault="009E26F4" w:rsidP="00191861">
            <w:pPr>
              <w:jc w:val="center"/>
              <w:rPr>
                <w:sz w:val="20"/>
                <w:szCs w:val="20"/>
              </w:rPr>
            </w:pPr>
            <w:r w:rsidRPr="00A57F05">
              <w:rPr>
                <w:sz w:val="20"/>
                <w:szCs w:val="20"/>
              </w:rPr>
              <w:t>4</w:t>
            </w:r>
          </w:p>
        </w:tc>
        <w:tc>
          <w:tcPr>
            <w:tcW w:w="1254" w:type="dxa"/>
            <w:vAlign w:val="center"/>
          </w:tcPr>
          <w:p w:rsidR="009E26F4" w:rsidRPr="00A57F05" w:rsidRDefault="009E26F4" w:rsidP="00191861">
            <w:pPr>
              <w:jc w:val="center"/>
              <w:rPr>
                <w:sz w:val="20"/>
                <w:szCs w:val="20"/>
              </w:rPr>
            </w:pPr>
            <w:r w:rsidRPr="00A57F05">
              <w:rPr>
                <w:sz w:val="20"/>
                <w:szCs w:val="20"/>
              </w:rPr>
              <w:t>5</w:t>
            </w:r>
          </w:p>
        </w:tc>
      </w:tr>
      <w:tr w:rsidR="009E26F4" w:rsidRPr="00A57F05" w:rsidTr="00A57F05">
        <w:trPr>
          <w:trHeight w:val="585"/>
        </w:trPr>
        <w:tc>
          <w:tcPr>
            <w:tcW w:w="4375" w:type="dxa"/>
            <w:vAlign w:val="center"/>
          </w:tcPr>
          <w:p w:rsidR="009E26F4" w:rsidRPr="00A57F05" w:rsidRDefault="009E26F4" w:rsidP="00191861">
            <w:pPr>
              <w:rPr>
                <w:b/>
                <w:sz w:val="20"/>
                <w:szCs w:val="20"/>
              </w:rPr>
            </w:pPr>
            <w:r w:rsidRPr="00A57F05">
              <w:rPr>
                <w:b/>
                <w:sz w:val="20"/>
                <w:szCs w:val="20"/>
              </w:rPr>
              <w:t>Субсидии бюджетным и автономным учреждениям, в том числе:</w:t>
            </w:r>
          </w:p>
        </w:tc>
        <w:tc>
          <w:tcPr>
            <w:tcW w:w="1371" w:type="dxa"/>
            <w:vAlign w:val="center"/>
          </w:tcPr>
          <w:p w:rsidR="009E26F4" w:rsidRPr="00A57F05" w:rsidRDefault="009E26F4" w:rsidP="00191861">
            <w:pPr>
              <w:jc w:val="right"/>
              <w:rPr>
                <w:b/>
                <w:sz w:val="20"/>
                <w:szCs w:val="20"/>
              </w:rPr>
            </w:pPr>
            <w:r w:rsidRPr="00A57F05">
              <w:rPr>
                <w:b/>
                <w:sz w:val="20"/>
                <w:szCs w:val="20"/>
              </w:rPr>
              <w:t>2 512 060,9</w:t>
            </w:r>
          </w:p>
        </w:tc>
        <w:tc>
          <w:tcPr>
            <w:tcW w:w="0" w:type="auto"/>
            <w:vAlign w:val="center"/>
          </w:tcPr>
          <w:p w:rsidR="009E26F4" w:rsidRPr="00A57F05" w:rsidRDefault="009E26F4" w:rsidP="00191861">
            <w:pPr>
              <w:jc w:val="center"/>
              <w:rPr>
                <w:b/>
                <w:sz w:val="20"/>
                <w:szCs w:val="20"/>
              </w:rPr>
            </w:pPr>
            <w:r w:rsidRPr="00A57F05">
              <w:rPr>
                <w:b/>
                <w:sz w:val="20"/>
                <w:szCs w:val="20"/>
              </w:rPr>
              <w:t>2 281 821,0</w:t>
            </w:r>
          </w:p>
        </w:tc>
        <w:tc>
          <w:tcPr>
            <w:tcW w:w="1501" w:type="dxa"/>
            <w:vAlign w:val="center"/>
          </w:tcPr>
          <w:p w:rsidR="009E26F4" w:rsidRPr="00A57F05" w:rsidRDefault="009E26F4" w:rsidP="00191861">
            <w:pPr>
              <w:jc w:val="center"/>
              <w:rPr>
                <w:b/>
                <w:sz w:val="20"/>
                <w:szCs w:val="20"/>
              </w:rPr>
            </w:pPr>
            <w:r w:rsidRPr="00A57F05">
              <w:rPr>
                <w:b/>
                <w:sz w:val="20"/>
                <w:szCs w:val="20"/>
              </w:rPr>
              <w:t>90,8</w:t>
            </w:r>
          </w:p>
        </w:tc>
        <w:tc>
          <w:tcPr>
            <w:tcW w:w="1254" w:type="dxa"/>
            <w:vAlign w:val="center"/>
          </w:tcPr>
          <w:p w:rsidR="009E26F4" w:rsidRPr="00A57F05" w:rsidRDefault="009E26F4" w:rsidP="00191861">
            <w:pPr>
              <w:jc w:val="center"/>
              <w:rPr>
                <w:b/>
                <w:sz w:val="20"/>
                <w:szCs w:val="20"/>
              </w:rPr>
            </w:pPr>
            <w:r w:rsidRPr="00A57F05">
              <w:rPr>
                <w:b/>
                <w:sz w:val="20"/>
                <w:szCs w:val="20"/>
              </w:rPr>
              <w:t>100,0</w:t>
            </w:r>
          </w:p>
        </w:tc>
      </w:tr>
      <w:tr w:rsidR="009E26F4" w:rsidRPr="00A57F05" w:rsidTr="00A57F05">
        <w:trPr>
          <w:trHeight w:val="516"/>
        </w:trPr>
        <w:tc>
          <w:tcPr>
            <w:tcW w:w="4375" w:type="dxa"/>
            <w:vAlign w:val="center"/>
          </w:tcPr>
          <w:p w:rsidR="009E26F4" w:rsidRPr="00A57F05" w:rsidRDefault="009E26F4" w:rsidP="00191861">
            <w:pPr>
              <w:rPr>
                <w:sz w:val="20"/>
                <w:szCs w:val="20"/>
              </w:rPr>
            </w:pPr>
            <w:r w:rsidRPr="00A57F05">
              <w:rPr>
                <w:sz w:val="20"/>
                <w:szCs w:val="20"/>
              </w:rPr>
              <w:t>- субсидии на выполнение государственного задания</w:t>
            </w:r>
          </w:p>
        </w:tc>
        <w:tc>
          <w:tcPr>
            <w:tcW w:w="1371" w:type="dxa"/>
            <w:vAlign w:val="center"/>
          </w:tcPr>
          <w:p w:rsidR="009E26F4" w:rsidRPr="00A57F05" w:rsidRDefault="009E26F4" w:rsidP="00191861">
            <w:pPr>
              <w:jc w:val="right"/>
              <w:rPr>
                <w:sz w:val="20"/>
                <w:szCs w:val="20"/>
              </w:rPr>
            </w:pPr>
            <w:r w:rsidRPr="00A57F05">
              <w:rPr>
                <w:sz w:val="20"/>
                <w:szCs w:val="20"/>
              </w:rPr>
              <w:t>833 627,7</w:t>
            </w:r>
          </w:p>
        </w:tc>
        <w:tc>
          <w:tcPr>
            <w:tcW w:w="0" w:type="auto"/>
            <w:vAlign w:val="center"/>
          </w:tcPr>
          <w:p w:rsidR="009E26F4" w:rsidRPr="00A57F05" w:rsidRDefault="009E26F4" w:rsidP="00191861">
            <w:pPr>
              <w:jc w:val="center"/>
              <w:rPr>
                <w:sz w:val="20"/>
                <w:szCs w:val="20"/>
              </w:rPr>
            </w:pPr>
            <w:r w:rsidRPr="00A57F05">
              <w:rPr>
                <w:sz w:val="20"/>
                <w:szCs w:val="20"/>
              </w:rPr>
              <w:t>798 695,5</w:t>
            </w:r>
          </w:p>
        </w:tc>
        <w:tc>
          <w:tcPr>
            <w:tcW w:w="1501" w:type="dxa"/>
            <w:vAlign w:val="center"/>
          </w:tcPr>
          <w:p w:rsidR="009E26F4" w:rsidRPr="00A57F05" w:rsidRDefault="009E26F4" w:rsidP="00191861">
            <w:pPr>
              <w:jc w:val="center"/>
              <w:rPr>
                <w:sz w:val="20"/>
                <w:szCs w:val="20"/>
              </w:rPr>
            </w:pPr>
            <w:r w:rsidRPr="00A57F05">
              <w:rPr>
                <w:sz w:val="20"/>
                <w:szCs w:val="20"/>
              </w:rPr>
              <w:t>95,8</w:t>
            </w:r>
          </w:p>
        </w:tc>
        <w:tc>
          <w:tcPr>
            <w:tcW w:w="1254" w:type="dxa"/>
            <w:vAlign w:val="center"/>
          </w:tcPr>
          <w:p w:rsidR="009E26F4" w:rsidRPr="00A57F05" w:rsidRDefault="009E26F4" w:rsidP="00191861">
            <w:pPr>
              <w:jc w:val="center"/>
              <w:rPr>
                <w:sz w:val="20"/>
                <w:szCs w:val="20"/>
              </w:rPr>
            </w:pPr>
            <w:r w:rsidRPr="00A57F05">
              <w:rPr>
                <w:sz w:val="20"/>
                <w:szCs w:val="20"/>
              </w:rPr>
              <w:t>35,1</w:t>
            </w:r>
          </w:p>
        </w:tc>
      </w:tr>
      <w:tr w:rsidR="009E26F4" w:rsidRPr="00A57F05" w:rsidTr="00A57F05">
        <w:trPr>
          <w:trHeight w:val="435"/>
        </w:trPr>
        <w:tc>
          <w:tcPr>
            <w:tcW w:w="4375" w:type="dxa"/>
            <w:vAlign w:val="center"/>
          </w:tcPr>
          <w:p w:rsidR="009E26F4" w:rsidRPr="00A57F05" w:rsidRDefault="009E26F4" w:rsidP="00191861">
            <w:pPr>
              <w:rPr>
                <w:sz w:val="20"/>
                <w:szCs w:val="20"/>
              </w:rPr>
            </w:pPr>
            <w:r w:rsidRPr="00A57F05">
              <w:rPr>
                <w:sz w:val="20"/>
                <w:szCs w:val="20"/>
              </w:rPr>
              <w:t>- субсидии на иные цели</w:t>
            </w:r>
          </w:p>
        </w:tc>
        <w:tc>
          <w:tcPr>
            <w:tcW w:w="1371" w:type="dxa"/>
            <w:vAlign w:val="center"/>
          </w:tcPr>
          <w:p w:rsidR="009E26F4" w:rsidRPr="00A57F05" w:rsidRDefault="009E26F4" w:rsidP="00191861">
            <w:pPr>
              <w:jc w:val="right"/>
              <w:rPr>
                <w:sz w:val="20"/>
                <w:szCs w:val="20"/>
              </w:rPr>
            </w:pPr>
            <w:r w:rsidRPr="00A57F05">
              <w:rPr>
                <w:sz w:val="20"/>
                <w:szCs w:val="20"/>
              </w:rPr>
              <w:t>1 678 433,2</w:t>
            </w:r>
          </w:p>
        </w:tc>
        <w:tc>
          <w:tcPr>
            <w:tcW w:w="0" w:type="auto"/>
            <w:vAlign w:val="center"/>
          </w:tcPr>
          <w:p w:rsidR="009E26F4" w:rsidRPr="00A57F05" w:rsidRDefault="009E26F4" w:rsidP="00191861">
            <w:pPr>
              <w:jc w:val="center"/>
              <w:rPr>
                <w:sz w:val="20"/>
                <w:szCs w:val="20"/>
              </w:rPr>
            </w:pPr>
            <w:r w:rsidRPr="00A57F05">
              <w:rPr>
                <w:sz w:val="20"/>
                <w:szCs w:val="20"/>
              </w:rPr>
              <w:t>1 483 125,5</w:t>
            </w:r>
          </w:p>
        </w:tc>
        <w:tc>
          <w:tcPr>
            <w:tcW w:w="1501" w:type="dxa"/>
            <w:vAlign w:val="center"/>
          </w:tcPr>
          <w:p w:rsidR="009E26F4" w:rsidRPr="00A57F05" w:rsidRDefault="009E26F4" w:rsidP="00191861">
            <w:pPr>
              <w:jc w:val="center"/>
              <w:rPr>
                <w:sz w:val="20"/>
                <w:szCs w:val="20"/>
              </w:rPr>
            </w:pPr>
            <w:r w:rsidRPr="00A57F05">
              <w:rPr>
                <w:sz w:val="20"/>
                <w:szCs w:val="20"/>
              </w:rPr>
              <w:t>88,4</w:t>
            </w:r>
          </w:p>
        </w:tc>
        <w:tc>
          <w:tcPr>
            <w:tcW w:w="1254" w:type="dxa"/>
            <w:vAlign w:val="center"/>
          </w:tcPr>
          <w:p w:rsidR="009E26F4" w:rsidRPr="00A57F05" w:rsidRDefault="009E26F4" w:rsidP="00191861">
            <w:pPr>
              <w:jc w:val="center"/>
              <w:rPr>
                <w:sz w:val="20"/>
                <w:szCs w:val="20"/>
              </w:rPr>
            </w:pPr>
            <w:r w:rsidRPr="00A57F05">
              <w:rPr>
                <w:sz w:val="20"/>
                <w:szCs w:val="20"/>
              </w:rPr>
              <w:t>64,9</w:t>
            </w:r>
          </w:p>
        </w:tc>
      </w:tr>
    </w:tbl>
    <w:p w:rsidR="009E26F4" w:rsidRPr="00467F9C" w:rsidRDefault="009E26F4" w:rsidP="00191861">
      <w:pPr>
        <w:spacing w:before="120"/>
        <w:ind w:firstLine="709"/>
        <w:jc w:val="both"/>
        <w:rPr>
          <w:sz w:val="28"/>
          <w:szCs w:val="28"/>
        </w:rPr>
      </w:pPr>
      <w:r w:rsidRPr="00467F9C">
        <w:rPr>
          <w:sz w:val="28"/>
          <w:szCs w:val="28"/>
        </w:rPr>
        <w:t>Основными причинами неисполнения бюджетных ассигнований являлись:</w:t>
      </w:r>
    </w:p>
    <w:p w:rsidR="009E26F4" w:rsidRPr="00467F9C" w:rsidRDefault="009E26F4" w:rsidP="00191861">
      <w:pPr>
        <w:ind w:firstLine="709"/>
        <w:jc w:val="both"/>
        <w:rPr>
          <w:sz w:val="28"/>
          <w:szCs w:val="28"/>
        </w:rPr>
      </w:pPr>
      <w:r w:rsidRPr="00467F9C">
        <w:rPr>
          <w:sz w:val="28"/>
          <w:szCs w:val="28"/>
        </w:rPr>
        <w:t>- неисполнение поставщиками (подрядчиками, исполнителями) обязательств, предусмотренных государственными контрактами (договорами), в установленные сроки;</w:t>
      </w:r>
    </w:p>
    <w:p w:rsidR="009E26F4" w:rsidRPr="00467F9C" w:rsidRDefault="009E26F4" w:rsidP="00191861">
      <w:pPr>
        <w:ind w:firstLine="709"/>
        <w:jc w:val="both"/>
        <w:rPr>
          <w:sz w:val="28"/>
          <w:szCs w:val="28"/>
        </w:rPr>
      </w:pPr>
      <w:r w:rsidRPr="00467F9C">
        <w:rPr>
          <w:sz w:val="28"/>
          <w:szCs w:val="28"/>
        </w:rPr>
        <w:t>- несвоевременное представление исполнителями государственных контрактов (договоров) документов для расчетов;</w:t>
      </w:r>
    </w:p>
    <w:p w:rsidR="009E26F4" w:rsidRPr="00467F9C" w:rsidRDefault="009E26F4" w:rsidP="00191861">
      <w:pPr>
        <w:ind w:firstLine="709"/>
        <w:jc w:val="both"/>
        <w:rPr>
          <w:sz w:val="28"/>
          <w:szCs w:val="28"/>
        </w:rPr>
      </w:pPr>
      <w:r w:rsidRPr="00467F9C">
        <w:rPr>
          <w:sz w:val="28"/>
          <w:szCs w:val="28"/>
        </w:rPr>
        <w:t>- вина третьих лиц – задержка в оформлении документов, необходимых для реализации государственных контрактов (договоров), длительное проведение государственной экспертизы разработанной документации.</w:t>
      </w:r>
    </w:p>
    <w:p w:rsidR="009E26F4" w:rsidRPr="00467F9C" w:rsidRDefault="009E26F4" w:rsidP="00191861">
      <w:pPr>
        <w:spacing w:before="240" w:after="120"/>
        <w:jc w:val="center"/>
        <w:rPr>
          <w:b/>
          <w:sz w:val="28"/>
          <w:szCs w:val="28"/>
        </w:rPr>
      </w:pPr>
      <w:r w:rsidRPr="00467F9C">
        <w:rPr>
          <w:b/>
          <w:sz w:val="28"/>
          <w:szCs w:val="28"/>
        </w:rPr>
        <w:t>6. Источники финансирования дефицита окружного бюджета</w:t>
      </w:r>
    </w:p>
    <w:p w:rsidR="009E26F4" w:rsidRPr="00467F9C" w:rsidRDefault="009E26F4" w:rsidP="00191861">
      <w:pPr>
        <w:autoSpaceDE w:val="0"/>
        <w:autoSpaceDN w:val="0"/>
        <w:adjustRightInd w:val="0"/>
        <w:ind w:firstLine="709"/>
        <w:jc w:val="both"/>
        <w:rPr>
          <w:bCs/>
          <w:sz w:val="28"/>
          <w:szCs w:val="28"/>
        </w:rPr>
      </w:pPr>
      <w:r w:rsidRPr="00467F9C">
        <w:rPr>
          <w:sz w:val="28"/>
          <w:szCs w:val="28"/>
        </w:rPr>
        <w:t>Законом об окружном бюджете первоначально утвержден дефицит в размере 245 767,0 тыс. рублей, в результате внесенных изменений исполнение окружного бюджета предусмотрено с дефицитом в размере 6 047 543,4 тыс. рублей. Окружной бюджет по результатам финансового года исполнен с дефицитом в сумме 3 367 121,4 </w:t>
      </w:r>
      <w:r w:rsidRPr="00467F9C">
        <w:rPr>
          <w:bCs/>
          <w:sz w:val="28"/>
          <w:szCs w:val="28"/>
        </w:rPr>
        <w:t>тыс. рублей.</w:t>
      </w:r>
    </w:p>
    <w:p w:rsidR="009E26F4" w:rsidRPr="00467F9C" w:rsidRDefault="009E26F4" w:rsidP="00191861">
      <w:pPr>
        <w:pStyle w:val="Default"/>
        <w:ind w:firstLine="709"/>
        <w:jc w:val="both"/>
        <w:rPr>
          <w:color w:val="auto"/>
          <w:sz w:val="28"/>
          <w:szCs w:val="28"/>
        </w:rPr>
      </w:pPr>
      <w:r w:rsidRPr="00467F9C">
        <w:rPr>
          <w:color w:val="auto"/>
          <w:sz w:val="28"/>
          <w:szCs w:val="28"/>
        </w:rPr>
        <w:lastRenderedPageBreak/>
        <w:t>Показатели источников внутреннего финансирования дефицита представлены в таблице №22.</w:t>
      </w:r>
    </w:p>
    <w:p w:rsidR="009E26F4" w:rsidRPr="00467F9C" w:rsidRDefault="009E26F4" w:rsidP="00191861">
      <w:pPr>
        <w:pStyle w:val="Default"/>
        <w:ind w:firstLine="709"/>
        <w:jc w:val="right"/>
        <w:rPr>
          <w:color w:val="auto"/>
          <w:sz w:val="28"/>
          <w:szCs w:val="28"/>
        </w:rPr>
      </w:pPr>
      <w:r w:rsidRPr="00467F9C">
        <w:rPr>
          <w:color w:val="auto"/>
          <w:sz w:val="28"/>
          <w:szCs w:val="28"/>
        </w:rPr>
        <w:t>Таблица №22</w:t>
      </w:r>
    </w:p>
    <w:p w:rsidR="009E26F4" w:rsidRPr="00467F9C" w:rsidRDefault="009E26F4" w:rsidP="00191861">
      <w:pPr>
        <w:pStyle w:val="Default"/>
        <w:ind w:firstLine="709"/>
        <w:jc w:val="right"/>
        <w:rPr>
          <w:color w:val="auto"/>
          <w:sz w:val="28"/>
          <w:szCs w:val="28"/>
        </w:rPr>
      </w:pPr>
      <w:r w:rsidRPr="00467F9C">
        <w:rPr>
          <w:color w:val="auto"/>
          <w:sz w:val="28"/>
          <w:szCs w:val="28"/>
        </w:rPr>
        <w:t>(тыс. рублей)</w:t>
      </w:r>
    </w:p>
    <w:tbl>
      <w:tblPr>
        <w:tblW w:w="9938" w:type="dxa"/>
        <w:tblInd w:w="-5" w:type="dxa"/>
        <w:tblLook w:val="04A0" w:firstRow="1" w:lastRow="0" w:firstColumn="1" w:lastColumn="0" w:noHBand="0" w:noVBand="1"/>
      </w:tblPr>
      <w:tblGrid>
        <w:gridCol w:w="2268"/>
        <w:gridCol w:w="1276"/>
        <w:gridCol w:w="1276"/>
        <w:gridCol w:w="1275"/>
        <w:gridCol w:w="1276"/>
        <w:gridCol w:w="1337"/>
        <w:gridCol w:w="1224"/>
        <w:gridCol w:w="6"/>
      </w:tblGrid>
      <w:tr w:rsidR="009E26F4" w:rsidRPr="00A57F05" w:rsidTr="00C53844">
        <w:trPr>
          <w:trHeight w:val="300"/>
          <w:tblHeader/>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26F4" w:rsidRPr="00A57F05" w:rsidRDefault="009E26F4" w:rsidP="00191861">
            <w:pPr>
              <w:jc w:val="center"/>
              <w:rPr>
                <w:sz w:val="20"/>
                <w:szCs w:val="20"/>
              </w:rPr>
            </w:pPr>
            <w:r w:rsidRPr="00A57F05">
              <w:rPr>
                <w:sz w:val="20"/>
                <w:szCs w:val="20"/>
              </w:rPr>
              <w:t>Наименование показателя</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9E26F4" w:rsidRPr="00A57F05" w:rsidRDefault="009E26F4" w:rsidP="00191861">
            <w:pPr>
              <w:jc w:val="center"/>
              <w:rPr>
                <w:sz w:val="20"/>
                <w:szCs w:val="20"/>
              </w:rPr>
            </w:pPr>
            <w:r w:rsidRPr="00A57F05">
              <w:rPr>
                <w:sz w:val="20"/>
                <w:szCs w:val="20"/>
              </w:rPr>
              <w:t>Утверждено</w:t>
            </w:r>
          </w:p>
        </w:tc>
        <w:tc>
          <w:tcPr>
            <w:tcW w:w="5118" w:type="dxa"/>
            <w:gridSpan w:val="5"/>
            <w:tcBorders>
              <w:top w:val="single" w:sz="4" w:space="0" w:color="auto"/>
              <w:left w:val="nil"/>
              <w:bottom w:val="single" w:sz="4" w:space="0" w:color="auto"/>
              <w:right w:val="single" w:sz="4" w:space="0" w:color="auto"/>
            </w:tcBorders>
            <w:shd w:val="clear" w:color="auto" w:fill="auto"/>
            <w:vAlign w:val="center"/>
            <w:hideMark/>
          </w:tcPr>
          <w:p w:rsidR="009E26F4" w:rsidRPr="00A57F05" w:rsidRDefault="009E26F4" w:rsidP="00191861">
            <w:pPr>
              <w:jc w:val="center"/>
              <w:rPr>
                <w:sz w:val="20"/>
                <w:szCs w:val="20"/>
              </w:rPr>
            </w:pPr>
            <w:r w:rsidRPr="00A57F05">
              <w:rPr>
                <w:sz w:val="20"/>
                <w:szCs w:val="20"/>
              </w:rPr>
              <w:t>Исполнено</w:t>
            </w:r>
          </w:p>
        </w:tc>
      </w:tr>
      <w:tr w:rsidR="009E26F4" w:rsidRPr="00A57F05" w:rsidTr="00C53844">
        <w:trPr>
          <w:gridAfter w:val="1"/>
          <w:wAfter w:w="6" w:type="dxa"/>
          <w:trHeight w:val="371"/>
          <w:tblHeader/>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9E26F4" w:rsidRPr="00A57F05" w:rsidRDefault="009E26F4" w:rsidP="00191861">
            <w:pPr>
              <w:rPr>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9E26F4" w:rsidRPr="00A57F05" w:rsidRDefault="009E26F4" w:rsidP="00A57F05">
            <w:pPr>
              <w:ind w:left="-102"/>
              <w:jc w:val="center"/>
              <w:rPr>
                <w:sz w:val="20"/>
                <w:szCs w:val="20"/>
              </w:rPr>
            </w:pPr>
            <w:r w:rsidRPr="00A57F05">
              <w:rPr>
                <w:sz w:val="20"/>
                <w:szCs w:val="20"/>
              </w:rPr>
              <w:t>Закон об окружном бюджете</w:t>
            </w:r>
          </w:p>
        </w:tc>
        <w:tc>
          <w:tcPr>
            <w:tcW w:w="1276" w:type="dxa"/>
            <w:tcBorders>
              <w:top w:val="nil"/>
              <w:left w:val="nil"/>
              <w:bottom w:val="single" w:sz="4" w:space="0" w:color="auto"/>
              <w:right w:val="single" w:sz="4" w:space="0" w:color="auto"/>
            </w:tcBorders>
            <w:shd w:val="clear" w:color="auto" w:fill="auto"/>
            <w:vAlign w:val="center"/>
            <w:hideMark/>
          </w:tcPr>
          <w:p w:rsidR="009E26F4" w:rsidRPr="00A57F05" w:rsidRDefault="009E26F4" w:rsidP="00191861">
            <w:pPr>
              <w:jc w:val="center"/>
              <w:rPr>
                <w:sz w:val="20"/>
                <w:szCs w:val="20"/>
              </w:rPr>
            </w:pPr>
            <w:r w:rsidRPr="00A57F05">
              <w:rPr>
                <w:sz w:val="20"/>
                <w:szCs w:val="20"/>
              </w:rPr>
              <w:t>Сводная бюджетная роспись</w:t>
            </w:r>
          </w:p>
        </w:tc>
        <w:tc>
          <w:tcPr>
            <w:tcW w:w="1275" w:type="dxa"/>
            <w:tcBorders>
              <w:top w:val="nil"/>
              <w:left w:val="nil"/>
              <w:bottom w:val="single" w:sz="4" w:space="0" w:color="auto"/>
              <w:right w:val="single" w:sz="4" w:space="0" w:color="auto"/>
            </w:tcBorders>
            <w:shd w:val="clear" w:color="auto" w:fill="auto"/>
            <w:vAlign w:val="center"/>
            <w:hideMark/>
          </w:tcPr>
          <w:p w:rsidR="009E26F4" w:rsidRPr="00A57F05" w:rsidRDefault="009E26F4" w:rsidP="00191861">
            <w:pPr>
              <w:jc w:val="center"/>
              <w:rPr>
                <w:sz w:val="20"/>
                <w:szCs w:val="20"/>
              </w:rPr>
            </w:pPr>
            <w:r w:rsidRPr="00A57F05">
              <w:rPr>
                <w:sz w:val="20"/>
                <w:szCs w:val="20"/>
              </w:rPr>
              <w:t>Сумма</w:t>
            </w:r>
          </w:p>
        </w:tc>
        <w:tc>
          <w:tcPr>
            <w:tcW w:w="1276" w:type="dxa"/>
            <w:tcBorders>
              <w:top w:val="nil"/>
              <w:left w:val="nil"/>
              <w:bottom w:val="single" w:sz="4" w:space="0" w:color="auto"/>
              <w:right w:val="single" w:sz="4" w:space="0" w:color="auto"/>
            </w:tcBorders>
            <w:shd w:val="clear" w:color="auto" w:fill="auto"/>
            <w:vAlign w:val="center"/>
            <w:hideMark/>
          </w:tcPr>
          <w:p w:rsidR="009E26F4" w:rsidRPr="00A57F05" w:rsidRDefault="009E26F4" w:rsidP="00A57F05">
            <w:pPr>
              <w:ind w:left="-112"/>
              <w:jc w:val="center"/>
              <w:rPr>
                <w:sz w:val="20"/>
                <w:szCs w:val="20"/>
              </w:rPr>
            </w:pPr>
            <w:r w:rsidRPr="00A57F05">
              <w:rPr>
                <w:sz w:val="20"/>
                <w:szCs w:val="20"/>
              </w:rPr>
              <w:t>Отклонение от сводной бюджетной росписи</w:t>
            </w:r>
          </w:p>
        </w:tc>
        <w:tc>
          <w:tcPr>
            <w:tcW w:w="1337" w:type="dxa"/>
            <w:tcBorders>
              <w:top w:val="nil"/>
              <w:left w:val="nil"/>
              <w:bottom w:val="single" w:sz="4" w:space="0" w:color="auto"/>
              <w:right w:val="single" w:sz="4" w:space="0" w:color="auto"/>
            </w:tcBorders>
            <w:shd w:val="clear" w:color="auto" w:fill="auto"/>
            <w:vAlign w:val="center"/>
            <w:hideMark/>
          </w:tcPr>
          <w:p w:rsidR="009E26F4" w:rsidRPr="00A57F05" w:rsidRDefault="009E26F4" w:rsidP="00191861">
            <w:pPr>
              <w:jc w:val="center"/>
              <w:rPr>
                <w:sz w:val="20"/>
                <w:szCs w:val="20"/>
              </w:rPr>
            </w:pPr>
            <w:r w:rsidRPr="00A57F05">
              <w:rPr>
                <w:sz w:val="20"/>
                <w:szCs w:val="20"/>
              </w:rPr>
              <w:t>Уровень исполнения к Закону об окружном бюджете, %</w:t>
            </w:r>
          </w:p>
        </w:tc>
        <w:tc>
          <w:tcPr>
            <w:tcW w:w="1224" w:type="dxa"/>
            <w:tcBorders>
              <w:top w:val="nil"/>
              <w:left w:val="nil"/>
              <w:bottom w:val="single" w:sz="4" w:space="0" w:color="auto"/>
              <w:right w:val="single" w:sz="4" w:space="0" w:color="auto"/>
            </w:tcBorders>
            <w:shd w:val="clear" w:color="auto" w:fill="auto"/>
            <w:vAlign w:val="center"/>
            <w:hideMark/>
          </w:tcPr>
          <w:p w:rsidR="009E26F4" w:rsidRPr="00A57F05" w:rsidRDefault="009E26F4" w:rsidP="00191861">
            <w:pPr>
              <w:jc w:val="center"/>
              <w:rPr>
                <w:sz w:val="20"/>
                <w:szCs w:val="20"/>
              </w:rPr>
            </w:pPr>
            <w:r w:rsidRPr="00A57F05">
              <w:rPr>
                <w:sz w:val="20"/>
                <w:szCs w:val="20"/>
              </w:rPr>
              <w:t>Уровень исполнения к сводной бюджетной росписи, %</w:t>
            </w:r>
          </w:p>
        </w:tc>
      </w:tr>
      <w:tr w:rsidR="009E26F4" w:rsidRPr="00A57F05" w:rsidTr="00C53844">
        <w:trPr>
          <w:gridAfter w:val="1"/>
          <w:wAfter w:w="6" w:type="dxa"/>
          <w:trHeight w:val="244"/>
          <w:tblHeader/>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E26F4" w:rsidRPr="00A57F05" w:rsidRDefault="009E26F4" w:rsidP="00191861">
            <w:pPr>
              <w:jc w:val="center"/>
              <w:rPr>
                <w:sz w:val="20"/>
                <w:szCs w:val="20"/>
              </w:rPr>
            </w:pPr>
            <w:r w:rsidRPr="00A57F05">
              <w:rPr>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9E26F4" w:rsidRPr="00A57F05" w:rsidRDefault="009E26F4" w:rsidP="00A57F05">
            <w:pPr>
              <w:ind w:left="-102"/>
              <w:jc w:val="center"/>
              <w:rPr>
                <w:sz w:val="20"/>
                <w:szCs w:val="20"/>
              </w:rPr>
            </w:pPr>
            <w:r w:rsidRPr="00A57F05">
              <w:rPr>
                <w:sz w:val="20"/>
                <w:szCs w:val="20"/>
              </w:rPr>
              <w:t>2</w:t>
            </w:r>
          </w:p>
        </w:tc>
        <w:tc>
          <w:tcPr>
            <w:tcW w:w="1276" w:type="dxa"/>
            <w:tcBorders>
              <w:top w:val="nil"/>
              <w:left w:val="nil"/>
              <w:bottom w:val="single" w:sz="4" w:space="0" w:color="auto"/>
              <w:right w:val="single" w:sz="4" w:space="0" w:color="auto"/>
            </w:tcBorders>
            <w:shd w:val="clear" w:color="auto" w:fill="auto"/>
            <w:vAlign w:val="center"/>
            <w:hideMark/>
          </w:tcPr>
          <w:p w:rsidR="009E26F4" w:rsidRPr="00A57F05" w:rsidRDefault="009E26F4" w:rsidP="00191861">
            <w:pPr>
              <w:jc w:val="center"/>
              <w:rPr>
                <w:sz w:val="20"/>
                <w:szCs w:val="20"/>
              </w:rPr>
            </w:pPr>
            <w:r w:rsidRPr="00A57F05">
              <w:rPr>
                <w:sz w:val="20"/>
                <w:szCs w:val="20"/>
              </w:rPr>
              <w:t>3</w:t>
            </w:r>
          </w:p>
        </w:tc>
        <w:tc>
          <w:tcPr>
            <w:tcW w:w="1275" w:type="dxa"/>
            <w:tcBorders>
              <w:top w:val="nil"/>
              <w:left w:val="nil"/>
              <w:bottom w:val="single" w:sz="4" w:space="0" w:color="auto"/>
              <w:right w:val="single" w:sz="4" w:space="0" w:color="auto"/>
            </w:tcBorders>
            <w:shd w:val="clear" w:color="auto" w:fill="auto"/>
            <w:vAlign w:val="center"/>
            <w:hideMark/>
          </w:tcPr>
          <w:p w:rsidR="009E26F4" w:rsidRPr="00A57F05" w:rsidRDefault="009E26F4" w:rsidP="00191861">
            <w:pPr>
              <w:jc w:val="center"/>
              <w:rPr>
                <w:sz w:val="20"/>
                <w:szCs w:val="20"/>
              </w:rPr>
            </w:pPr>
            <w:r w:rsidRPr="00A57F05">
              <w:rPr>
                <w:sz w:val="20"/>
                <w:szCs w:val="20"/>
              </w:rPr>
              <w:t>4</w:t>
            </w:r>
          </w:p>
        </w:tc>
        <w:tc>
          <w:tcPr>
            <w:tcW w:w="1276" w:type="dxa"/>
            <w:tcBorders>
              <w:top w:val="nil"/>
              <w:left w:val="nil"/>
              <w:bottom w:val="single" w:sz="4" w:space="0" w:color="auto"/>
              <w:right w:val="single" w:sz="4" w:space="0" w:color="auto"/>
            </w:tcBorders>
            <w:shd w:val="clear" w:color="auto" w:fill="auto"/>
            <w:vAlign w:val="center"/>
            <w:hideMark/>
          </w:tcPr>
          <w:p w:rsidR="009E26F4" w:rsidRPr="00A57F05" w:rsidRDefault="009E26F4" w:rsidP="00A57F05">
            <w:pPr>
              <w:ind w:left="-112"/>
              <w:jc w:val="center"/>
              <w:rPr>
                <w:sz w:val="20"/>
                <w:szCs w:val="20"/>
              </w:rPr>
            </w:pPr>
            <w:r w:rsidRPr="00A57F05">
              <w:rPr>
                <w:sz w:val="20"/>
                <w:szCs w:val="20"/>
              </w:rPr>
              <w:t>5</w:t>
            </w:r>
          </w:p>
        </w:tc>
        <w:tc>
          <w:tcPr>
            <w:tcW w:w="1337" w:type="dxa"/>
            <w:tcBorders>
              <w:top w:val="nil"/>
              <w:left w:val="nil"/>
              <w:bottom w:val="single" w:sz="4" w:space="0" w:color="auto"/>
              <w:right w:val="single" w:sz="4" w:space="0" w:color="auto"/>
            </w:tcBorders>
            <w:shd w:val="clear" w:color="auto" w:fill="auto"/>
            <w:vAlign w:val="center"/>
            <w:hideMark/>
          </w:tcPr>
          <w:p w:rsidR="009E26F4" w:rsidRPr="00A57F05" w:rsidRDefault="009E26F4" w:rsidP="00191861">
            <w:pPr>
              <w:jc w:val="center"/>
              <w:rPr>
                <w:sz w:val="20"/>
                <w:szCs w:val="20"/>
              </w:rPr>
            </w:pPr>
            <w:r w:rsidRPr="00A57F05">
              <w:rPr>
                <w:sz w:val="20"/>
                <w:szCs w:val="20"/>
              </w:rPr>
              <w:t>6</w:t>
            </w:r>
          </w:p>
        </w:tc>
        <w:tc>
          <w:tcPr>
            <w:tcW w:w="1224" w:type="dxa"/>
            <w:tcBorders>
              <w:top w:val="nil"/>
              <w:left w:val="nil"/>
              <w:bottom w:val="single" w:sz="4" w:space="0" w:color="auto"/>
              <w:right w:val="single" w:sz="4" w:space="0" w:color="auto"/>
            </w:tcBorders>
            <w:shd w:val="clear" w:color="auto" w:fill="auto"/>
            <w:vAlign w:val="center"/>
            <w:hideMark/>
          </w:tcPr>
          <w:p w:rsidR="009E26F4" w:rsidRPr="00A57F05" w:rsidRDefault="009E26F4" w:rsidP="00191861">
            <w:pPr>
              <w:jc w:val="center"/>
              <w:rPr>
                <w:sz w:val="20"/>
                <w:szCs w:val="20"/>
              </w:rPr>
            </w:pPr>
            <w:r w:rsidRPr="00A57F05">
              <w:rPr>
                <w:sz w:val="20"/>
                <w:szCs w:val="20"/>
              </w:rPr>
              <w:t>7</w:t>
            </w:r>
          </w:p>
        </w:tc>
      </w:tr>
      <w:tr w:rsidR="009E26F4" w:rsidRPr="00A57F05" w:rsidTr="00C53844">
        <w:trPr>
          <w:gridAfter w:val="1"/>
          <w:wAfter w:w="6" w:type="dxa"/>
          <w:trHeight w:val="30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6F4" w:rsidRPr="00A57F05" w:rsidRDefault="009E26F4" w:rsidP="00191861">
            <w:pPr>
              <w:jc w:val="both"/>
              <w:rPr>
                <w:bCs/>
                <w:sz w:val="20"/>
                <w:szCs w:val="20"/>
              </w:rPr>
            </w:pPr>
            <w:r w:rsidRPr="00A57F05">
              <w:rPr>
                <w:bCs/>
                <w:sz w:val="20"/>
                <w:szCs w:val="20"/>
              </w:rPr>
              <w:t>Доходы бюджета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E26F4" w:rsidRPr="00A57F05" w:rsidRDefault="009E26F4" w:rsidP="00A57F05">
            <w:pPr>
              <w:ind w:left="-102"/>
              <w:jc w:val="right"/>
              <w:rPr>
                <w:bCs/>
                <w:sz w:val="20"/>
                <w:szCs w:val="20"/>
              </w:rPr>
            </w:pPr>
            <w:r w:rsidRPr="00A57F05">
              <w:rPr>
                <w:bCs/>
                <w:sz w:val="20"/>
                <w:szCs w:val="20"/>
              </w:rPr>
              <w:t>50 001 408,3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E26F4" w:rsidRPr="00A57F05" w:rsidRDefault="009E26F4" w:rsidP="00A57F05">
            <w:pPr>
              <w:ind w:left="-115" w:right="-11"/>
              <w:jc w:val="center"/>
              <w:rPr>
                <w:bCs/>
                <w:sz w:val="20"/>
                <w:szCs w:val="20"/>
              </w:rPr>
            </w:pPr>
            <w:r w:rsidRPr="00A57F05">
              <w:rPr>
                <w:bCs/>
                <w:sz w:val="20"/>
                <w:szCs w:val="20"/>
              </w:rPr>
              <w:t>х</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E26F4" w:rsidRPr="00A57F05" w:rsidRDefault="009E26F4" w:rsidP="00191861">
            <w:pPr>
              <w:jc w:val="right"/>
              <w:rPr>
                <w:bCs/>
                <w:sz w:val="20"/>
                <w:szCs w:val="20"/>
              </w:rPr>
            </w:pPr>
            <w:r w:rsidRPr="00A57F05">
              <w:rPr>
                <w:bCs/>
                <w:sz w:val="20"/>
                <w:szCs w:val="20"/>
              </w:rPr>
              <w:t>51 237 594,3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E26F4" w:rsidRPr="00A57F05" w:rsidRDefault="009E26F4" w:rsidP="00A57F05">
            <w:pPr>
              <w:ind w:left="-112"/>
              <w:jc w:val="center"/>
              <w:rPr>
                <w:bCs/>
                <w:sz w:val="20"/>
                <w:szCs w:val="20"/>
              </w:rPr>
            </w:pPr>
            <w:r w:rsidRPr="00A57F05">
              <w:rPr>
                <w:bCs/>
                <w:sz w:val="20"/>
                <w:szCs w:val="20"/>
              </w:rPr>
              <w:t>х</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9E26F4" w:rsidRPr="00A57F05" w:rsidRDefault="009E26F4" w:rsidP="00191861">
            <w:pPr>
              <w:jc w:val="center"/>
              <w:rPr>
                <w:sz w:val="20"/>
                <w:szCs w:val="20"/>
              </w:rPr>
            </w:pPr>
            <w:r w:rsidRPr="00A57F05">
              <w:rPr>
                <w:sz w:val="20"/>
                <w:szCs w:val="20"/>
              </w:rPr>
              <w:t>102,5</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9E26F4" w:rsidRPr="00A57F05" w:rsidRDefault="009E26F4" w:rsidP="00191861">
            <w:pPr>
              <w:jc w:val="center"/>
              <w:rPr>
                <w:sz w:val="20"/>
                <w:szCs w:val="20"/>
              </w:rPr>
            </w:pPr>
            <w:r w:rsidRPr="00A57F05">
              <w:rPr>
                <w:sz w:val="20"/>
                <w:szCs w:val="20"/>
              </w:rPr>
              <w:t>х</w:t>
            </w:r>
          </w:p>
        </w:tc>
      </w:tr>
      <w:tr w:rsidR="009E26F4" w:rsidRPr="00A57F05" w:rsidTr="00C53844">
        <w:trPr>
          <w:gridAfter w:val="1"/>
          <w:wAfter w:w="6" w:type="dxa"/>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E26F4" w:rsidRPr="00A57F05" w:rsidRDefault="009E26F4" w:rsidP="00191861">
            <w:pPr>
              <w:jc w:val="both"/>
              <w:rPr>
                <w:bCs/>
                <w:sz w:val="20"/>
                <w:szCs w:val="20"/>
              </w:rPr>
            </w:pPr>
            <w:r w:rsidRPr="00A57F05">
              <w:rPr>
                <w:bCs/>
                <w:sz w:val="20"/>
                <w:szCs w:val="20"/>
              </w:rPr>
              <w:t>Расходы бюджета</w:t>
            </w:r>
          </w:p>
        </w:tc>
        <w:tc>
          <w:tcPr>
            <w:tcW w:w="1276"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A57F05">
            <w:pPr>
              <w:ind w:left="-102"/>
              <w:jc w:val="right"/>
              <w:rPr>
                <w:bCs/>
                <w:sz w:val="20"/>
                <w:szCs w:val="20"/>
              </w:rPr>
            </w:pPr>
            <w:r w:rsidRPr="00A57F05">
              <w:rPr>
                <w:bCs/>
                <w:sz w:val="20"/>
                <w:szCs w:val="20"/>
              </w:rPr>
              <w:t>56 048 951,7</w:t>
            </w:r>
          </w:p>
        </w:tc>
        <w:tc>
          <w:tcPr>
            <w:tcW w:w="1276"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A57F05">
            <w:pPr>
              <w:ind w:left="-115" w:right="-11"/>
              <w:jc w:val="right"/>
              <w:rPr>
                <w:bCs/>
                <w:sz w:val="20"/>
                <w:szCs w:val="20"/>
              </w:rPr>
            </w:pPr>
            <w:r w:rsidRPr="00A57F05">
              <w:rPr>
                <w:bCs/>
                <w:sz w:val="20"/>
                <w:szCs w:val="20"/>
              </w:rPr>
              <w:t>56 151 343,9</w:t>
            </w:r>
          </w:p>
        </w:tc>
        <w:tc>
          <w:tcPr>
            <w:tcW w:w="1275"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191861">
            <w:pPr>
              <w:jc w:val="right"/>
              <w:rPr>
                <w:bCs/>
                <w:sz w:val="20"/>
                <w:szCs w:val="20"/>
              </w:rPr>
            </w:pPr>
            <w:r w:rsidRPr="00A57F05">
              <w:rPr>
                <w:bCs/>
                <w:sz w:val="20"/>
                <w:szCs w:val="20"/>
              </w:rPr>
              <w:t>54 604 715,7</w:t>
            </w:r>
          </w:p>
        </w:tc>
        <w:tc>
          <w:tcPr>
            <w:tcW w:w="1276"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A57F05">
            <w:pPr>
              <w:ind w:left="-112"/>
              <w:jc w:val="right"/>
              <w:rPr>
                <w:bCs/>
                <w:sz w:val="20"/>
                <w:szCs w:val="20"/>
              </w:rPr>
            </w:pPr>
            <w:r w:rsidRPr="00A57F05">
              <w:rPr>
                <w:bCs/>
                <w:sz w:val="20"/>
                <w:szCs w:val="20"/>
              </w:rPr>
              <w:t>-1 546 628,2</w:t>
            </w:r>
          </w:p>
        </w:tc>
        <w:tc>
          <w:tcPr>
            <w:tcW w:w="1337" w:type="dxa"/>
            <w:tcBorders>
              <w:top w:val="nil"/>
              <w:left w:val="nil"/>
              <w:bottom w:val="single" w:sz="4" w:space="0" w:color="auto"/>
              <w:right w:val="single" w:sz="4" w:space="0" w:color="auto"/>
            </w:tcBorders>
            <w:shd w:val="clear" w:color="auto" w:fill="auto"/>
            <w:vAlign w:val="center"/>
            <w:hideMark/>
          </w:tcPr>
          <w:p w:rsidR="009E26F4" w:rsidRPr="00A57F05" w:rsidRDefault="009E26F4" w:rsidP="00191861">
            <w:pPr>
              <w:jc w:val="center"/>
              <w:rPr>
                <w:sz w:val="20"/>
                <w:szCs w:val="20"/>
              </w:rPr>
            </w:pPr>
            <w:r w:rsidRPr="00A57F05">
              <w:rPr>
                <w:sz w:val="20"/>
                <w:szCs w:val="20"/>
              </w:rPr>
              <w:t>97,4</w:t>
            </w:r>
          </w:p>
        </w:tc>
        <w:tc>
          <w:tcPr>
            <w:tcW w:w="1224" w:type="dxa"/>
            <w:tcBorders>
              <w:top w:val="nil"/>
              <w:left w:val="nil"/>
              <w:bottom w:val="single" w:sz="4" w:space="0" w:color="auto"/>
              <w:right w:val="single" w:sz="4" w:space="0" w:color="auto"/>
            </w:tcBorders>
            <w:shd w:val="clear" w:color="auto" w:fill="auto"/>
            <w:vAlign w:val="center"/>
            <w:hideMark/>
          </w:tcPr>
          <w:p w:rsidR="009E26F4" w:rsidRPr="00A57F05" w:rsidRDefault="009E26F4" w:rsidP="00191861">
            <w:pPr>
              <w:jc w:val="center"/>
              <w:rPr>
                <w:sz w:val="20"/>
                <w:szCs w:val="20"/>
              </w:rPr>
            </w:pPr>
            <w:r w:rsidRPr="00A57F05">
              <w:rPr>
                <w:sz w:val="20"/>
                <w:szCs w:val="20"/>
              </w:rPr>
              <w:t>97,2</w:t>
            </w:r>
          </w:p>
        </w:tc>
      </w:tr>
      <w:tr w:rsidR="009E26F4" w:rsidRPr="00A57F05" w:rsidTr="00C53844">
        <w:trPr>
          <w:gridAfter w:val="1"/>
          <w:wAfter w:w="6" w:type="dxa"/>
          <w:trHeight w:val="79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E26F4" w:rsidRPr="00A57F05" w:rsidRDefault="009E26F4" w:rsidP="00191861">
            <w:pPr>
              <w:jc w:val="both"/>
              <w:rPr>
                <w:b/>
                <w:bCs/>
                <w:sz w:val="20"/>
                <w:szCs w:val="20"/>
              </w:rPr>
            </w:pPr>
            <w:r w:rsidRPr="00A57F05">
              <w:rPr>
                <w:b/>
                <w:bCs/>
                <w:sz w:val="20"/>
                <w:szCs w:val="20"/>
              </w:rPr>
              <w:t>Результат исполнения бюджета (Дефицит «-»; Профицит «+»)</w:t>
            </w:r>
          </w:p>
        </w:tc>
        <w:tc>
          <w:tcPr>
            <w:tcW w:w="1276"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A57F05">
            <w:pPr>
              <w:ind w:left="-102"/>
              <w:jc w:val="right"/>
              <w:rPr>
                <w:b/>
                <w:bCs/>
                <w:sz w:val="20"/>
                <w:szCs w:val="20"/>
              </w:rPr>
            </w:pPr>
            <w:r w:rsidRPr="00A57F05">
              <w:rPr>
                <w:b/>
                <w:bCs/>
                <w:sz w:val="20"/>
                <w:szCs w:val="20"/>
              </w:rPr>
              <w:t>-6 047 543,4</w:t>
            </w:r>
          </w:p>
        </w:tc>
        <w:tc>
          <w:tcPr>
            <w:tcW w:w="1276"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A57F05">
            <w:pPr>
              <w:ind w:left="-115" w:right="-11"/>
              <w:jc w:val="right"/>
              <w:rPr>
                <w:b/>
                <w:bCs/>
                <w:sz w:val="20"/>
                <w:szCs w:val="20"/>
              </w:rPr>
            </w:pPr>
            <w:r w:rsidRPr="00A57F05">
              <w:rPr>
                <w:b/>
                <w:bCs/>
                <w:sz w:val="20"/>
                <w:szCs w:val="20"/>
              </w:rPr>
              <w:t>-6 149 935,6</w:t>
            </w:r>
          </w:p>
        </w:tc>
        <w:tc>
          <w:tcPr>
            <w:tcW w:w="1275"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191861">
            <w:pPr>
              <w:jc w:val="right"/>
              <w:rPr>
                <w:b/>
                <w:bCs/>
                <w:sz w:val="20"/>
                <w:szCs w:val="20"/>
              </w:rPr>
            </w:pPr>
            <w:r w:rsidRPr="00A57F05">
              <w:rPr>
                <w:b/>
                <w:bCs/>
                <w:sz w:val="20"/>
                <w:szCs w:val="20"/>
              </w:rPr>
              <w:t>-3 367 121,4</w:t>
            </w:r>
          </w:p>
        </w:tc>
        <w:tc>
          <w:tcPr>
            <w:tcW w:w="1276"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A57F05">
            <w:pPr>
              <w:ind w:left="-112"/>
              <w:jc w:val="right"/>
              <w:rPr>
                <w:b/>
                <w:bCs/>
                <w:sz w:val="20"/>
                <w:szCs w:val="20"/>
              </w:rPr>
            </w:pPr>
            <w:r w:rsidRPr="00A57F05">
              <w:rPr>
                <w:b/>
                <w:bCs/>
                <w:sz w:val="20"/>
                <w:szCs w:val="20"/>
              </w:rPr>
              <w:t>2 782 814,2</w:t>
            </w:r>
          </w:p>
        </w:tc>
        <w:tc>
          <w:tcPr>
            <w:tcW w:w="1337"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191861">
            <w:pPr>
              <w:jc w:val="center"/>
              <w:rPr>
                <w:b/>
                <w:sz w:val="20"/>
                <w:szCs w:val="20"/>
              </w:rPr>
            </w:pPr>
            <w:r w:rsidRPr="00A57F05">
              <w:rPr>
                <w:b/>
                <w:sz w:val="20"/>
                <w:szCs w:val="20"/>
              </w:rPr>
              <w:t>55,7</w:t>
            </w:r>
          </w:p>
        </w:tc>
        <w:tc>
          <w:tcPr>
            <w:tcW w:w="1224"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191861">
            <w:pPr>
              <w:jc w:val="center"/>
              <w:rPr>
                <w:b/>
                <w:sz w:val="20"/>
                <w:szCs w:val="20"/>
              </w:rPr>
            </w:pPr>
            <w:r w:rsidRPr="00A57F05">
              <w:rPr>
                <w:b/>
                <w:sz w:val="20"/>
                <w:szCs w:val="20"/>
              </w:rPr>
              <w:t>54,7</w:t>
            </w:r>
          </w:p>
        </w:tc>
      </w:tr>
      <w:tr w:rsidR="009E26F4" w:rsidRPr="00A57F05" w:rsidTr="00C53844">
        <w:trPr>
          <w:gridAfter w:val="1"/>
          <w:wAfter w:w="6" w:type="dxa"/>
          <w:trHeight w:val="186"/>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E26F4" w:rsidRPr="00A57F05" w:rsidRDefault="009E26F4" w:rsidP="00191861">
            <w:pPr>
              <w:jc w:val="both"/>
              <w:rPr>
                <w:b/>
                <w:bCs/>
                <w:sz w:val="20"/>
                <w:szCs w:val="20"/>
              </w:rPr>
            </w:pPr>
            <w:r w:rsidRPr="00A57F05">
              <w:rPr>
                <w:b/>
                <w:bCs/>
                <w:sz w:val="20"/>
                <w:szCs w:val="20"/>
              </w:rPr>
              <w:t>Источники финансирования дефицита, в том числе:</w:t>
            </w:r>
          </w:p>
        </w:tc>
        <w:tc>
          <w:tcPr>
            <w:tcW w:w="1276"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A57F05">
            <w:pPr>
              <w:ind w:left="-102"/>
              <w:jc w:val="right"/>
              <w:rPr>
                <w:b/>
                <w:bCs/>
                <w:sz w:val="20"/>
                <w:szCs w:val="20"/>
              </w:rPr>
            </w:pPr>
            <w:r w:rsidRPr="00A57F05">
              <w:rPr>
                <w:b/>
                <w:bCs/>
                <w:sz w:val="20"/>
                <w:szCs w:val="20"/>
              </w:rPr>
              <w:t>6 047 543,4</w:t>
            </w:r>
          </w:p>
        </w:tc>
        <w:tc>
          <w:tcPr>
            <w:tcW w:w="1276"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A57F05">
            <w:pPr>
              <w:ind w:left="-115" w:right="-11"/>
              <w:jc w:val="right"/>
              <w:rPr>
                <w:b/>
                <w:bCs/>
                <w:sz w:val="20"/>
                <w:szCs w:val="20"/>
              </w:rPr>
            </w:pPr>
            <w:r w:rsidRPr="00A57F05">
              <w:rPr>
                <w:b/>
                <w:bCs/>
                <w:sz w:val="20"/>
                <w:szCs w:val="20"/>
              </w:rPr>
              <w:t>6 149 935,6</w:t>
            </w:r>
          </w:p>
        </w:tc>
        <w:tc>
          <w:tcPr>
            <w:tcW w:w="1275"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191861">
            <w:pPr>
              <w:jc w:val="right"/>
              <w:rPr>
                <w:b/>
                <w:bCs/>
                <w:sz w:val="20"/>
                <w:szCs w:val="20"/>
              </w:rPr>
            </w:pPr>
            <w:r w:rsidRPr="00A57F05">
              <w:rPr>
                <w:b/>
                <w:bCs/>
                <w:sz w:val="20"/>
                <w:szCs w:val="20"/>
              </w:rPr>
              <w:t>3 367 121,4</w:t>
            </w:r>
          </w:p>
        </w:tc>
        <w:tc>
          <w:tcPr>
            <w:tcW w:w="1276"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A57F05">
            <w:pPr>
              <w:ind w:left="-112"/>
              <w:jc w:val="right"/>
              <w:rPr>
                <w:b/>
                <w:bCs/>
                <w:sz w:val="20"/>
                <w:szCs w:val="20"/>
              </w:rPr>
            </w:pPr>
            <w:r w:rsidRPr="00A57F05">
              <w:rPr>
                <w:b/>
                <w:bCs/>
                <w:sz w:val="20"/>
                <w:szCs w:val="20"/>
              </w:rPr>
              <w:t>-2 782 814,2</w:t>
            </w:r>
          </w:p>
        </w:tc>
        <w:tc>
          <w:tcPr>
            <w:tcW w:w="1337"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191861">
            <w:pPr>
              <w:jc w:val="center"/>
              <w:rPr>
                <w:b/>
                <w:sz w:val="20"/>
                <w:szCs w:val="20"/>
              </w:rPr>
            </w:pPr>
            <w:r w:rsidRPr="00A57F05">
              <w:rPr>
                <w:b/>
                <w:sz w:val="20"/>
                <w:szCs w:val="20"/>
              </w:rPr>
              <w:t>55,7</w:t>
            </w:r>
          </w:p>
        </w:tc>
        <w:tc>
          <w:tcPr>
            <w:tcW w:w="1224"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191861">
            <w:pPr>
              <w:jc w:val="center"/>
              <w:rPr>
                <w:b/>
                <w:sz w:val="20"/>
                <w:szCs w:val="20"/>
              </w:rPr>
            </w:pPr>
            <w:r w:rsidRPr="00A57F05">
              <w:rPr>
                <w:b/>
                <w:sz w:val="20"/>
                <w:szCs w:val="20"/>
              </w:rPr>
              <w:t>54,7</w:t>
            </w:r>
          </w:p>
        </w:tc>
      </w:tr>
      <w:tr w:rsidR="009E26F4" w:rsidRPr="00A57F05" w:rsidTr="00C53844">
        <w:trPr>
          <w:gridAfter w:val="1"/>
          <w:wAfter w:w="6" w:type="dxa"/>
          <w:trHeight w:val="116"/>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E26F4" w:rsidRPr="00A57F05" w:rsidRDefault="009E26F4" w:rsidP="00191861">
            <w:pPr>
              <w:jc w:val="both"/>
              <w:rPr>
                <w:sz w:val="20"/>
                <w:szCs w:val="20"/>
              </w:rPr>
            </w:pPr>
            <w:r w:rsidRPr="00A57F05">
              <w:rPr>
                <w:sz w:val="20"/>
                <w:szCs w:val="20"/>
              </w:rPr>
              <w:t xml:space="preserve">Бюджетные кредиты от других бюджетов </w:t>
            </w:r>
          </w:p>
        </w:tc>
        <w:tc>
          <w:tcPr>
            <w:tcW w:w="1276"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A57F05">
            <w:pPr>
              <w:ind w:left="-102"/>
              <w:jc w:val="right"/>
              <w:rPr>
                <w:sz w:val="20"/>
                <w:szCs w:val="20"/>
              </w:rPr>
            </w:pPr>
            <w:r w:rsidRPr="00A57F05">
              <w:rPr>
                <w:sz w:val="20"/>
                <w:szCs w:val="20"/>
              </w:rPr>
              <w:t>-360 130,2</w:t>
            </w:r>
          </w:p>
        </w:tc>
        <w:tc>
          <w:tcPr>
            <w:tcW w:w="1276"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A57F05">
            <w:pPr>
              <w:ind w:left="-115" w:right="-11"/>
              <w:jc w:val="right"/>
              <w:rPr>
                <w:sz w:val="20"/>
                <w:szCs w:val="20"/>
              </w:rPr>
            </w:pPr>
            <w:r w:rsidRPr="00A57F05">
              <w:rPr>
                <w:sz w:val="20"/>
                <w:szCs w:val="20"/>
              </w:rPr>
              <w:t>-360 130,2</w:t>
            </w:r>
          </w:p>
        </w:tc>
        <w:tc>
          <w:tcPr>
            <w:tcW w:w="1275"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191861">
            <w:pPr>
              <w:jc w:val="right"/>
              <w:rPr>
                <w:sz w:val="20"/>
                <w:szCs w:val="20"/>
              </w:rPr>
            </w:pPr>
            <w:r w:rsidRPr="00A57F05">
              <w:rPr>
                <w:sz w:val="20"/>
                <w:szCs w:val="20"/>
              </w:rPr>
              <w:t>-360 130,2</w:t>
            </w:r>
          </w:p>
        </w:tc>
        <w:tc>
          <w:tcPr>
            <w:tcW w:w="1276"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A57F05">
            <w:pPr>
              <w:ind w:left="-112"/>
              <w:jc w:val="right"/>
              <w:rPr>
                <w:sz w:val="20"/>
                <w:szCs w:val="20"/>
              </w:rPr>
            </w:pPr>
            <w:r w:rsidRPr="00A57F05">
              <w:rPr>
                <w:sz w:val="20"/>
                <w:szCs w:val="20"/>
              </w:rPr>
              <w:t>-</w:t>
            </w:r>
          </w:p>
        </w:tc>
        <w:tc>
          <w:tcPr>
            <w:tcW w:w="1337"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191861">
            <w:pPr>
              <w:jc w:val="center"/>
              <w:rPr>
                <w:sz w:val="20"/>
                <w:szCs w:val="20"/>
              </w:rPr>
            </w:pPr>
            <w:r w:rsidRPr="00A57F05">
              <w:rPr>
                <w:sz w:val="20"/>
                <w:szCs w:val="20"/>
              </w:rPr>
              <w:t>100,0</w:t>
            </w:r>
          </w:p>
        </w:tc>
        <w:tc>
          <w:tcPr>
            <w:tcW w:w="1224"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191861">
            <w:pPr>
              <w:jc w:val="center"/>
              <w:rPr>
                <w:sz w:val="20"/>
                <w:szCs w:val="20"/>
              </w:rPr>
            </w:pPr>
            <w:r w:rsidRPr="00A57F05">
              <w:rPr>
                <w:sz w:val="20"/>
                <w:szCs w:val="20"/>
              </w:rPr>
              <w:t>х</w:t>
            </w:r>
          </w:p>
        </w:tc>
      </w:tr>
      <w:tr w:rsidR="009E26F4" w:rsidRPr="00A57F05" w:rsidTr="00C53844">
        <w:trPr>
          <w:gridAfter w:val="1"/>
          <w:wAfter w:w="6" w:type="dxa"/>
          <w:trHeight w:val="56"/>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E26F4" w:rsidRPr="00A57F05" w:rsidRDefault="009E26F4" w:rsidP="00191861">
            <w:pPr>
              <w:jc w:val="both"/>
              <w:rPr>
                <w:sz w:val="20"/>
                <w:szCs w:val="20"/>
              </w:rPr>
            </w:pPr>
            <w:r w:rsidRPr="00A57F05">
              <w:rPr>
                <w:sz w:val="20"/>
                <w:szCs w:val="20"/>
              </w:rPr>
              <w:t xml:space="preserve">Бюджетные кредиты, предоставленные </w:t>
            </w:r>
          </w:p>
        </w:tc>
        <w:tc>
          <w:tcPr>
            <w:tcW w:w="1276"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A57F05">
            <w:pPr>
              <w:ind w:left="-102"/>
              <w:jc w:val="right"/>
              <w:rPr>
                <w:sz w:val="20"/>
                <w:szCs w:val="20"/>
              </w:rPr>
            </w:pPr>
            <w:r w:rsidRPr="00A57F05">
              <w:rPr>
                <w:sz w:val="20"/>
                <w:szCs w:val="20"/>
              </w:rPr>
              <w:t>172 624,2</w:t>
            </w:r>
          </w:p>
        </w:tc>
        <w:tc>
          <w:tcPr>
            <w:tcW w:w="1276"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A57F05">
            <w:pPr>
              <w:ind w:left="-115" w:right="-11"/>
              <w:jc w:val="right"/>
              <w:rPr>
                <w:sz w:val="20"/>
                <w:szCs w:val="20"/>
              </w:rPr>
            </w:pPr>
            <w:r w:rsidRPr="00A57F05">
              <w:rPr>
                <w:sz w:val="20"/>
                <w:szCs w:val="20"/>
              </w:rPr>
              <w:t>172 624,2</w:t>
            </w:r>
          </w:p>
        </w:tc>
        <w:tc>
          <w:tcPr>
            <w:tcW w:w="1275"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191861">
            <w:pPr>
              <w:jc w:val="right"/>
              <w:rPr>
                <w:sz w:val="20"/>
                <w:szCs w:val="20"/>
              </w:rPr>
            </w:pPr>
            <w:r w:rsidRPr="00A57F05">
              <w:rPr>
                <w:sz w:val="20"/>
                <w:szCs w:val="20"/>
              </w:rPr>
              <w:t>172 624,2</w:t>
            </w:r>
          </w:p>
        </w:tc>
        <w:tc>
          <w:tcPr>
            <w:tcW w:w="1276"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A57F05">
            <w:pPr>
              <w:ind w:left="-112"/>
              <w:jc w:val="right"/>
              <w:rPr>
                <w:sz w:val="20"/>
                <w:szCs w:val="20"/>
              </w:rPr>
            </w:pPr>
            <w:r w:rsidRPr="00A57F05">
              <w:rPr>
                <w:sz w:val="20"/>
                <w:szCs w:val="20"/>
              </w:rPr>
              <w:t>-</w:t>
            </w:r>
          </w:p>
        </w:tc>
        <w:tc>
          <w:tcPr>
            <w:tcW w:w="1337"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191861">
            <w:pPr>
              <w:jc w:val="center"/>
              <w:rPr>
                <w:sz w:val="20"/>
                <w:szCs w:val="20"/>
              </w:rPr>
            </w:pPr>
            <w:r w:rsidRPr="00A57F05">
              <w:rPr>
                <w:sz w:val="20"/>
                <w:szCs w:val="20"/>
              </w:rPr>
              <w:t>100,0</w:t>
            </w:r>
          </w:p>
        </w:tc>
        <w:tc>
          <w:tcPr>
            <w:tcW w:w="1224"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191861">
            <w:pPr>
              <w:jc w:val="center"/>
              <w:rPr>
                <w:sz w:val="20"/>
                <w:szCs w:val="20"/>
              </w:rPr>
            </w:pPr>
            <w:r w:rsidRPr="00A57F05">
              <w:rPr>
                <w:sz w:val="20"/>
                <w:szCs w:val="20"/>
              </w:rPr>
              <w:t>х</w:t>
            </w:r>
          </w:p>
        </w:tc>
      </w:tr>
      <w:tr w:rsidR="009E26F4" w:rsidRPr="00A57F05" w:rsidTr="00C53844">
        <w:trPr>
          <w:gridAfter w:val="1"/>
          <w:wAfter w:w="6" w:type="dxa"/>
          <w:trHeight w:val="79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E26F4" w:rsidRPr="00A57F05" w:rsidRDefault="009E26F4" w:rsidP="00191861">
            <w:pPr>
              <w:jc w:val="both"/>
              <w:rPr>
                <w:sz w:val="20"/>
                <w:szCs w:val="20"/>
              </w:rPr>
            </w:pPr>
            <w:r w:rsidRPr="00A57F05">
              <w:rPr>
                <w:sz w:val="20"/>
                <w:szCs w:val="20"/>
              </w:rPr>
              <w:t>Средства от продажи акций и иных форм участия в капитале</w:t>
            </w:r>
          </w:p>
        </w:tc>
        <w:tc>
          <w:tcPr>
            <w:tcW w:w="1276"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A57F05">
            <w:pPr>
              <w:ind w:left="-102"/>
              <w:jc w:val="right"/>
              <w:rPr>
                <w:sz w:val="20"/>
                <w:szCs w:val="20"/>
              </w:rPr>
            </w:pPr>
            <w:r w:rsidRPr="00A57F05">
              <w:rPr>
                <w:sz w:val="20"/>
                <w:szCs w:val="20"/>
              </w:rPr>
              <w:t>2 423 944,4</w:t>
            </w:r>
          </w:p>
        </w:tc>
        <w:tc>
          <w:tcPr>
            <w:tcW w:w="1276"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A57F05">
            <w:pPr>
              <w:ind w:left="-115" w:right="-11"/>
              <w:jc w:val="right"/>
              <w:rPr>
                <w:sz w:val="20"/>
                <w:szCs w:val="20"/>
              </w:rPr>
            </w:pPr>
            <w:r w:rsidRPr="00A57F05">
              <w:rPr>
                <w:sz w:val="20"/>
                <w:szCs w:val="20"/>
              </w:rPr>
              <w:t>2 423 944,4</w:t>
            </w:r>
          </w:p>
        </w:tc>
        <w:tc>
          <w:tcPr>
            <w:tcW w:w="1275"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191861">
            <w:pPr>
              <w:jc w:val="right"/>
              <w:rPr>
                <w:sz w:val="20"/>
                <w:szCs w:val="20"/>
              </w:rPr>
            </w:pPr>
            <w:r w:rsidRPr="00A57F05">
              <w:rPr>
                <w:sz w:val="20"/>
                <w:szCs w:val="20"/>
              </w:rPr>
              <w:t>4 625 000,0</w:t>
            </w:r>
          </w:p>
        </w:tc>
        <w:tc>
          <w:tcPr>
            <w:tcW w:w="1276"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A57F05">
            <w:pPr>
              <w:ind w:left="-112"/>
              <w:jc w:val="right"/>
              <w:rPr>
                <w:sz w:val="20"/>
                <w:szCs w:val="20"/>
              </w:rPr>
            </w:pPr>
            <w:r w:rsidRPr="00A57F05">
              <w:rPr>
                <w:sz w:val="20"/>
                <w:szCs w:val="20"/>
              </w:rPr>
              <w:t>2 201 055,6</w:t>
            </w:r>
          </w:p>
        </w:tc>
        <w:tc>
          <w:tcPr>
            <w:tcW w:w="1337"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191861">
            <w:pPr>
              <w:jc w:val="center"/>
              <w:rPr>
                <w:sz w:val="20"/>
                <w:szCs w:val="20"/>
              </w:rPr>
            </w:pPr>
            <w:r w:rsidRPr="00A57F05">
              <w:rPr>
                <w:sz w:val="20"/>
                <w:szCs w:val="20"/>
              </w:rPr>
              <w:t>в 1,9 раза</w:t>
            </w:r>
          </w:p>
        </w:tc>
        <w:tc>
          <w:tcPr>
            <w:tcW w:w="1224"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191861">
            <w:pPr>
              <w:jc w:val="center"/>
              <w:rPr>
                <w:sz w:val="20"/>
                <w:szCs w:val="20"/>
              </w:rPr>
            </w:pPr>
            <w:r w:rsidRPr="00A57F05">
              <w:rPr>
                <w:sz w:val="20"/>
                <w:szCs w:val="20"/>
              </w:rPr>
              <w:t>х</w:t>
            </w:r>
          </w:p>
        </w:tc>
      </w:tr>
      <w:tr w:rsidR="009E26F4" w:rsidRPr="00A57F05" w:rsidTr="00C53844">
        <w:trPr>
          <w:gridAfter w:val="1"/>
          <w:wAfter w:w="6" w:type="dxa"/>
          <w:trHeight w:val="79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E26F4" w:rsidRPr="00A57F05" w:rsidRDefault="009E26F4" w:rsidP="00191861">
            <w:pPr>
              <w:jc w:val="both"/>
              <w:rPr>
                <w:sz w:val="20"/>
                <w:szCs w:val="20"/>
              </w:rPr>
            </w:pPr>
            <w:r w:rsidRPr="00A57F05">
              <w:rPr>
                <w:sz w:val="20"/>
                <w:szCs w:val="20"/>
              </w:rPr>
              <w:t>Изменения остатков средств на счетах по учету средств бюджета</w:t>
            </w:r>
          </w:p>
        </w:tc>
        <w:tc>
          <w:tcPr>
            <w:tcW w:w="1276"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A57F05">
            <w:pPr>
              <w:ind w:left="-102"/>
              <w:jc w:val="right"/>
              <w:rPr>
                <w:sz w:val="20"/>
                <w:szCs w:val="20"/>
              </w:rPr>
            </w:pPr>
            <w:r w:rsidRPr="00A57F05">
              <w:rPr>
                <w:sz w:val="20"/>
                <w:szCs w:val="20"/>
              </w:rPr>
              <w:t>3 811 105,0</w:t>
            </w:r>
          </w:p>
        </w:tc>
        <w:tc>
          <w:tcPr>
            <w:tcW w:w="1276"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A57F05">
            <w:pPr>
              <w:ind w:left="-115" w:right="-11"/>
              <w:jc w:val="right"/>
              <w:rPr>
                <w:sz w:val="20"/>
                <w:szCs w:val="20"/>
              </w:rPr>
            </w:pPr>
            <w:r w:rsidRPr="00A57F05">
              <w:rPr>
                <w:sz w:val="20"/>
                <w:szCs w:val="20"/>
              </w:rPr>
              <w:t>3 913 497,2</w:t>
            </w:r>
          </w:p>
        </w:tc>
        <w:tc>
          <w:tcPr>
            <w:tcW w:w="1275"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191861">
            <w:pPr>
              <w:jc w:val="right"/>
              <w:rPr>
                <w:sz w:val="20"/>
                <w:szCs w:val="20"/>
              </w:rPr>
            </w:pPr>
            <w:r w:rsidRPr="00A57F05">
              <w:rPr>
                <w:sz w:val="20"/>
                <w:szCs w:val="20"/>
              </w:rPr>
              <w:t>-1 070 372,6</w:t>
            </w:r>
          </w:p>
        </w:tc>
        <w:tc>
          <w:tcPr>
            <w:tcW w:w="1276"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A57F05">
            <w:pPr>
              <w:ind w:left="-112"/>
              <w:jc w:val="right"/>
              <w:rPr>
                <w:sz w:val="20"/>
                <w:szCs w:val="20"/>
              </w:rPr>
            </w:pPr>
            <w:r w:rsidRPr="00A57F05">
              <w:rPr>
                <w:sz w:val="20"/>
                <w:szCs w:val="20"/>
              </w:rPr>
              <w:t>-4 983 869,8</w:t>
            </w:r>
          </w:p>
        </w:tc>
        <w:tc>
          <w:tcPr>
            <w:tcW w:w="1337"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191861">
            <w:pPr>
              <w:jc w:val="center"/>
              <w:rPr>
                <w:sz w:val="20"/>
                <w:szCs w:val="20"/>
              </w:rPr>
            </w:pPr>
            <w:r w:rsidRPr="00A57F05">
              <w:rPr>
                <w:sz w:val="20"/>
                <w:szCs w:val="20"/>
              </w:rPr>
              <w:t>-28,1</w:t>
            </w:r>
          </w:p>
        </w:tc>
        <w:tc>
          <w:tcPr>
            <w:tcW w:w="1224" w:type="dxa"/>
            <w:tcBorders>
              <w:top w:val="nil"/>
              <w:left w:val="nil"/>
              <w:bottom w:val="single" w:sz="4" w:space="0" w:color="auto"/>
              <w:right w:val="single" w:sz="4" w:space="0" w:color="auto"/>
            </w:tcBorders>
            <w:shd w:val="clear" w:color="auto" w:fill="auto"/>
            <w:noWrap/>
            <w:vAlign w:val="center"/>
            <w:hideMark/>
          </w:tcPr>
          <w:p w:rsidR="009E26F4" w:rsidRPr="00A57F05" w:rsidRDefault="009E26F4" w:rsidP="00191861">
            <w:pPr>
              <w:jc w:val="center"/>
              <w:rPr>
                <w:sz w:val="20"/>
                <w:szCs w:val="20"/>
              </w:rPr>
            </w:pPr>
            <w:r w:rsidRPr="00A57F05">
              <w:rPr>
                <w:sz w:val="20"/>
                <w:szCs w:val="20"/>
              </w:rPr>
              <w:t>-27,4</w:t>
            </w:r>
          </w:p>
        </w:tc>
      </w:tr>
    </w:tbl>
    <w:p w:rsidR="009E26F4" w:rsidRPr="00467F9C" w:rsidRDefault="009E26F4" w:rsidP="00191861">
      <w:pPr>
        <w:autoSpaceDE w:val="0"/>
        <w:autoSpaceDN w:val="0"/>
        <w:adjustRightInd w:val="0"/>
        <w:spacing w:before="120"/>
        <w:ind w:firstLine="709"/>
        <w:jc w:val="both"/>
        <w:rPr>
          <w:sz w:val="28"/>
          <w:szCs w:val="28"/>
        </w:rPr>
      </w:pPr>
      <w:r w:rsidRPr="00467F9C">
        <w:rPr>
          <w:bCs/>
          <w:sz w:val="28"/>
          <w:szCs w:val="28"/>
        </w:rPr>
        <w:t xml:space="preserve">Размер сложившегося дефицита в 1,8 раз меньше запланированного Законом об окружном бюджете. </w:t>
      </w:r>
      <w:r w:rsidRPr="00467F9C">
        <w:rPr>
          <w:sz w:val="28"/>
          <w:szCs w:val="28"/>
        </w:rPr>
        <w:t xml:space="preserve">Покрытие дефицита окружного бюджета обеспечено за счет средств от продажи акций и иных форм участия в капитале и бюджетных кредитов, а также средств на счетах по учету средств бюджета, что соответствует требованиям статьи 95 Бюджетного кодекса. </w:t>
      </w:r>
    </w:p>
    <w:p w:rsidR="009E26F4" w:rsidRPr="00467F9C" w:rsidRDefault="009E26F4" w:rsidP="00191861">
      <w:pPr>
        <w:pStyle w:val="aff1"/>
        <w:autoSpaceDE w:val="0"/>
        <w:autoSpaceDN w:val="0"/>
        <w:spacing w:after="0" w:line="240" w:lineRule="auto"/>
        <w:ind w:firstLine="709"/>
        <w:jc w:val="both"/>
        <w:rPr>
          <w:sz w:val="28"/>
          <w:szCs w:val="28"/>
        </w:rPr>
      </w:pPr>
      <w:r w:rsidRPr="00467F9C">
        <w:rPr>
          <w:sz w:val="28"/>
          <w:szCs w:val="28"/>
        </w:rPr>
        <w:t>По состоянию на 1 января 2022 года задолженность по выданным из окружного бюджета кредитам составила 938 273,0 тыс. рублей. Информация о предоставленных бюджетных кредитах приведена в таблице №23.</w:t>
      </w:r>
    </w:p>
    <w:p w:rsidR="009E26F4" w:rsidRPr="00467F9C" w:rsidRDefault="009E26F4" w:rsidP="00191861">
      <w:pPr>
        <w:pStyle w:val="aff1"/>
        <w:tabs>
          <w:tab w:val="left" w:pos="851"/>
        </w:tabs>
        <w:autoSpaceDE w:val="0"/>
        <w:autoSpaceDN w:val="0"/>
        <w:spacing w:after="0" w:line="240" w:lineRule="auto"/>
        <w:ind w:firstLine="709"/>
        <w:jc w:val="right"/>
        <w:rPr>
          <w:sz w:val="28"/>
          <w:szCs w:val="28"/>
        </w:rPr>
      </w:pPr>
      <w:r w:rsidRPr="00467F9C">
        <w:rPr>
          <w:sz w:val="28"/>
          <w:szCs w:val="28"/>
        </w:rPr>
        <w:t>Таблица №23</w:t>
      </w:r>
    </w:p>
    <w:p w:rsidR="009E26F4" w:rsidRPr="00467F9C" w:rsidRDefault="009E26F4" w:rsidP="00191861">
      <w:pPr>
        <w:pStyle w:val="aff1"/>
        <w:tabs>
          <w:tab w:val="left" w:pos="851"/>
        </w:tabs>
        <w:autoSpaceDE w:val="0"/>
        <w:autoSpaceDN w:val="0"/>
        <w:spacing w:after="0" w:line="240" w:lineRule="auto"/>
        <w:ind w:firstLine="709"/>
        <w:jc w:val="right"/>
        <w:rPr>
          <w:sz w:val="28"/>
          <w:szCs w:val="28"/>
        </w:rPr>
      </w:pPr>
      <w:r w:rsidRPr="00467F9C">
        <w:rPr>
          <w:sz w:val="28"/>
          <w:szCs w:val="28"/>
        </w:rPr>
        <w:t>тыс. рублей</w:t>
      </w:r>
    </w:p>
    <w:tbl>
      <w:tblPr>
        <w:tblW w:w="9965" w:type="dxa"/>
        <w:tblInd w:w="-5" w:type="dxa"/>
        <w:tblLook w:val="04A0" w:firstRow="1" w:lastRow="0" w:firstColumn="1" w:lastColumn="0" w:noHBand="0" w:noVBand="1"/>
      </w:tblPr>
      <w:tblGrid>
        <w:gridCol w:w="3686"/>
        <w:gridCol w:w="1594"/>
        <w:gridCol w:w="1489"/>
        <w:gridCol w:w="1595"/>
        <w:gridCol w:w="1601"/>
      </w:tblGrid>
      <w:tr w:rsidR="009E26F4" w:rsidRPr="00C53844" w:rsidTr="00C53844">
        <w:trPr>
          <w:trHeight w:val="377"/>
          <w:tblHeader/>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Получатель бюджетного кредита</w:t>
            </w:r>
          </w:p>
        </w:tc>
        <w:tc>
          <w:tcPr>
            <w:tcW w:w="1594" w:type="dxa"/>
            <w:tcBorders>
              <w:top w:val="single" w:sz="4" w:space="0" w:color="auto"/>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 xml:space="preserve">Задолженность по состоянию </w:t>
            </w:r>
            <w:r w:rsidRPr="00C53844">
              <w:rPr>
                <w:sz w:val="20"/>
                <w:szCs w:val="20"/>
              </w:rPr>
              <w:br/>
              <w:t>на 01.01.2021 г.</w:t>
            </w:r>
          </w:p>
        </w:tc>
        <w:tc>
          <w:tcPr>
            <w:tcW w:w="1489" w:type="dxa"/>
            <w:tcBorders>
              <w:top w:val="single" w:sz="4" w:space="0" w:color="auto"/>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Погашено (списано)</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Предоставлено</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 xml:space="preserve">Задолженность по состоянию </w:t>
            </w:r>
            <w:r w:rsidRPr="00C53844">
              <w:rPr>
                <w:sz w:val="20"/>
                <w:szCs w:val="20"/>
              </w:rPr>
              <w:br/>
              <w:t>на 01.01.2022 г.</w:t>
            </w:r>
          </w:p>
        </w:tc>
      </w:tr>
      <w:tr w:rsidR="009E26F4" w:rsidRPr="00C53844" w:rsidTr="00C53844">
        <w:trPr>
          <w:trHeight w:val="157"/>
          <w:tblHead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1</w:t>
            </w:r>
          </w:p>
        </w:tc>
        <w:tc>
          <w:tcPr>
            <w:tcW w:w="159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2</w:t>
            </w:r>
          </w:p>
        </w:tc>
        <w:tc>
          <w:tcPr>
            <w:tcW w:w="1489"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3</w:t>
            </w:r>
          </w:p>
        </w:tc>
        <w:tc>
          <w:tcPr>
            <w:tcW w:w="1595"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4</w:t>
            </w:r>
          </w:p>
        </w:tc>
        <w:tc>
          <w:tcPr>
            <w:tcW w:w="160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5</w:t>
            </w:r>
          </w:p>
        </w:tc>
      </w:tr>
      <w:tr w:rsidR="009E26F4" w:rsidRPr="00C53844" w:rsidTr="00C53844">
        <w:trPr>
          <w:trHeight w:val="28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b/>
                <w:bCs/>
                <w:sz w:val="20"/>
                <w:szCs w:val="20"/>
              </w:rPr>
            </w:pPr>
            <w:r w:rsidRPr="00C53844">
              <w:rPr>
                <w:b/>
                <w:bCs/>
                <w:sz w:val="20"/>
                <w:szCs w:val="20"/>
              </w:rPr>
              <w:t>Всего</w:t>
            </w:r>
          </w:p>
        </w:tc>
        <w:tc>
          <w:tcPr>
            <w:tcW w:w="159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b/>
                <w:bCs/>
                <w:sz w:val="20"/>
                <w:szCs w:val="20"/>
              </w:rPr>
            </w:pPr>
            <w:r w:rsidRPr="00C53844">
              <w:rPr>
                <w:b/>
                <w:bCs/>
                <w:sz w:val="20"/>
                <w:szCs w:val="20"/>
              </w:rPr>
              <w:t>1 218 117,2</w:t>
            </w:r>
          </w:p>
        </w:tc>
        <w:tc>
          <w:tcPr>
            <w:tcW w:w="1489"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b/>
                <w:bCs/>
                <w:sz w:val="20"/>
                <w:szCs w:val="20"/>
              </w:rPr>
            </w:pPr>
            <w:r w:rsidRPr="00C53844">
              <w:rPr>
                <w:b/>
                <w:bCs/>
                <w:sz w:val="20"/>
                <w:szCs w:val="20"/>
              </w:rPr>
              <w:t>329 844,2</w:t>
            </w:r>
          </w:p>
        </w:tc>
        <w:tc>
          <w:tcPr>
            <w:tcW w:w="1595"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b/>
                <w:bCs/>
                <w:sz w:val="20"/>
                <w:szCs w:val="20"/>
              </w:rPr>
            </w:pPr>
            <w:r w:rsidRPr="00C53844">
              <w:rPr>
                <w:b/>
                <w:bCs/>
                <w:sz w:val="20"/>
                <w:szCs w:val="20"/>
              </w:rPr>
              <w:t>50 000,0</w:t>
            </w:r>
          </w:p>
        </w:tc>
        <w:tc>
          <w:tcPr>
            <w:tcW w:w="160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b/>
                <w:bCs/>
                <w:sz w:val="20"/>
                <w:szCs w:val="20"/>
              </w:rPr>
            </w:pPr>
            <w:r w:rsidRPr="00C53844">
              <w:rPr>
                <w:b/>
                <w:bCs/>
                <w:sz w:val="20"/>
                <w:szCs w:val="20"/>
              </w:rPr>
              <w:t>938 273,0</w:t>
            </w:r>
          </w:p>
        </w:tc>
      </w:tr>
      <w:tr w:rsidR="009E26F4" w:rsidRPr="00C53844" w:rsidTr="00C53844">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sz w:val="20"/>
                <w:szCs w:val="20"/>
              </w:rPr>
            </w:pPr>
            <w:r w:rsidRPr="00C53844">
              <w:rPr>
                <w:sz w:val="20"/>
                <w:szCs w:val="20"/>
              </w:rPr>
              <w:t>Юридические лица</w:t>
            </w:r>
          </w:p>
        </w:tc>
        <w:tc>
          <w:tcPr>
            <w:tcW w:w="159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947 117,2</w:t>
            </w:r>
          </w:p>
        </w:tc>
        <w:tc>
          <w:tcPr>
            <w:tcW w:w="1489"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223 344,2</w:t>
            </w:r>
          </w:p>
        </w:tc>
        <w:tc>
          <w:tcPr>
            <w:tcW w:w="1595"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w:t>
            </w:r>
          </w:p>
        </w:tc>
        <w:tc>
          <w:tcPr>
            <w:tcW w:w="160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723 773,0</w:t>
            </w:r>
          </w:p>
        </w:tc>
      </w:tr>
      <w:tr w:rsidR="009E26F4" w:rsidRPr="00C53844" w:rsidTr="00C53844">
        <w:trPr>
          <w:trHeight w:val="26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sz w:val="20"/>
                <w:szCs w:val="20"/>
              </w:rPr>
            </w:pPr>
            <w:r w:rsidRPr="00C53844">
              <w:rPr>
                <w:sz w:val="20"/>
                <w:szCs w:val="20"/>
              </w:rPr>
              <w:t>Муниципальные образования</w:t>
            </w:r>
          </w:p>
        </w:tc>
        <w:tc>
          <w:tcPr>
            <w:tcW w:w="159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271 000,0</w:t>
            </w:r>
          </w:p>
        </w:tc>
        <w:tc>
          <w:tcPr>
            <w:tcW w:w="1489"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106 500,0</w:t>
            </w:r>
          </w:p>
        </w:tc>
        <w:tc>
          <w:tcPr>
            <w:tcW w:w="1595"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50 000,0</w:t>
            </w:r>
          </w:p>
        </w:tc>
        <w:tc>
          <w:tcPr>
            <w:tcW w:w="160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214 500,0</w:t>
            </w:r>
          </w:p>
        </w:tc>
      </w:tr>
    </w:tbl>
    <w:p w:rsidR="009E26F4" w:rsidRPr="00467F9C" w:rsidRDefault="009E26F4" w:rsidP="00191861">
      <w:pPr>
        <w:widowControl w:val="0"/>
        <w:autoSpaceDE w:val="0"/>
        <w:autoSpaceDN w:val="0"/>
        <w:adjustRightInd w:val="0"/>
        <w:spacing w:before="120"/>
        <w:ind w:firstLine="709"/>
        <w:jc w:val="both"/>
        <w:rPr>
          <w:sz w:val="28"/>
          <w:szCs w:val="28"/>
        </w:rPr>
      </w:pPr>
      <w:r w:rsidRPr="00467F9C">
        <w:rPr>
          <w:sz w:val="28"/>
          <w:szCs w:val="28"/>
        </w:rPr>
        <w:t xml:space="preserve">Статьей 10 Закона об окружном бюджете утверждены бюджетные кредиты на частичное покрытие дефицитов местных бюджетов в сумме 50 000,0 тыс. </w:t>
      </w:r>
      <w:r w:rsidRPr="00467F9C">
        <w:rPr>
          <w:sz w:val="28"/>
          <w:szCs w:val="28"/>
        </w:rPr>
        <w:lastRenderedPageBreak/>
        <w:t>рублей, предоставляемые в соответствии с утвержденным Порядком №167</w:t>
      </w:r>
      <w:r w:rsidRPr="00467F9C">
        <w:rPr>
          <w:rStyle w:val="ab"/>
          <w:sz w:val="28"/>
          <w:szCs w:val="28"/>
        </w:rPr>
        <w:footnoteReference w:id="77"/>
      </w:r>
      <w:r w:rsidRPr="00467F9C">
        <w:rPr>
          <w:sz w:val="28"/>
          <w:szCs w:val="28"/>
        </w:rPr>
        <w:t xml:space="preserve">. </w:t>
      </w:r>
    </w:p>
    <w:p w:rsidR="009E26F4" w:rsidRPr="00467F9C" w:rsidRDefault="009E26F4" w:rsidP="00191861">
      <w:pPr>
        <w:widowControl w:val="0"/>
        <w:autoSpaceDE w:val="0"/>
        <w:autoSpaceDN w:val="0"/>
        <w:adjustRightInd w:val="0"/>
        <w:spacing w:before="120"/>
        <w:ind w:firstLine="709"/>
        <w:jc w:val="both"/>
        <w:rPr>
          <w:sz w:val="28"/>
          <w:szCs w:val="28"/>
        </w:rPr>
      </w:pPr>
      <w:bookmarkStart w:id="38" w:name="_Hlk40446458"/>
      <w:r w:rsidRPr="00467F9C">
        <w:rPr>
          <w:sz w:val="28"/>
          <w:szCs w:val="28"/>
        </w:rPr>
        <w:t>Информация о </w:t>
      </w:r>
      <w:r w:rsidRPr="00467F9C">
        <w:rPr>
          <w:b/>
          <w:sz w:val="28"/>
          <w:szCs w:val="28"/>
        </w:rPr>
        <w:t>бюджетных кредитах, предоставленных муниципальным образованиям</w:t>
      </w:r>
      <w:r w:rsidRPr="00467F9C">
        <w:rPr>
          <w:sz w:val="28"/>
          <w:szCs w:val="28"/>
        </w:rPr>
        <w:t xml:space="preserve">, приведена в таблице </w:t>
      </w:r>
      <w:bookmarkEnd w:id="38"/>
      <w:r w:rsidRPr="00467F9C">
        <w:rPr>
          <w:sz w:val="28"/>
          <w:szCs w:val="28"/>
        </w:rPr>
        <w:t>№24.</w:t>
      </w:r>
    </w:p>
    <w:p w:rsidR="009E26F4" w:rsidRPr="00467F9C" w:rsidRDefault="009E26F4" w:rsidP="00191861">
      <w:pPr>
        <w:widowControl w:val="0"/>
        <w:autoSpaceDE w:val="0"/>
        <w:autoSpaceDN w:val="0"/>
        <w:adjustRightInd w:val="0"/>
        <w:ind w:left="709" w:hanging="709"/>
        <w:jc w:val="right"/>
        <w:rPr>
          <w:sz w:val="28"/>
          <w:szCs w:val="28"/>
        </w:rPr>
      </w:pPr>
      <w:r w:rsidRPr="00467F9C">
        <w:rPr>
          <w:sz w:val="28"/>
          <w:szCs w:val="28"/>
        </w:rPr>
        <w:t>Таблица №24</w:t>
      </w:r>
    </w:p>
    <w:p w:rsidR="009E26F4" w:rsidRPr="00467F9C" w:rsidRDefault="009E26F4" w:rsidP="00191861">
      <w:pPr>
        <w:widowControl w:val="0"/>
        <w:autoSpaceDE w:val="0"/>
        <w:autoSpaceDN w:val="0"/>
        <w:adjustRightInd w:val="0"/>
        <w:ind w:left="709" w:hanging="709"/>
        <w:jc w:val="right"/>
        <w:rPr>
          <w:sz w:val="28"/>
          <w:szCs w:val="28"/>
        </w:rPr>
      </w:pPr>
      <w:r w:rsidRPr="00467F9C">
        <w:rPr>
          <w:sz w:val="28"/>
          <w:szCs w:val="28"/>
        </w:rPr>
        <w:t>(тыс. рублей)</w:t>
      </w:r>
    </w:p>
    <w:tbl>
      <w:tblPr>
        <w:tblW w:w="9859" w:type="dxa"/>
        <w:tblInd w:w="-5" w:type="dxa"/>
        <w:tblLook w:val="04A0" w:firstRow="1" w:lastRow="0" w:firstColumn="1" w:lastColumn="0" w:noHBand="0" w:noVBand="1"/>
      </w:tblPr>
      <w:tblGrid>
        <w:gridCol w:w="3848"/>
        <w:gridCol w:w="1632"/>
        <w:gridCol w:w="1242"/>
        <w:gridCol w:w="1506"/>
        <w:gridCol w:w="1631"/>
      </w:tblGrid>
      <w:tr w:rsidR="009E26F4" w:rsidRPr="00C53844" w:rsidTr="00C53844">
        <w:trPr>
          <w:trHeight w:val="324"/>
          <w:tblHead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 xml:space="preserve">Наименование </w:t>
            </w:r>
            <w:r w:rsidRPr="00C53844">
              <w:rPr>
                <w:sz w:val="20"/>
                <w:szCs w:val="20"/>
              </w:rPr>
              <w:br/>
              <w:t>муниципального образования</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Задолженность по состоянию</w:t>
            </w:r>
            <w:r w:rsidRPr="00C53844">
              <w:rPr>
                <w:sz w:val="20"/>
                <w:szCs w:val="20"/>
              </w:rPr>
              <w:br/>
              <w:t xml:space="preserve"> на 01.01.2021 г.</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 xml:space="preserve">Погашено </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Предоставлено</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 xml:space="preserve">Задолженность по состоянию </w:t>
            </w:r>
            <w:r w:rsidRPr="00C53844">
              <w:rPr>
                <w:sz w:val="20"/>
                <w:szCs w:val="20"/>
              </w:rPr>
              <w:br/>
              <w:t>на 01.01.2022 г.</w:t>
            </w:r>
          </w:p>
        </w:tc>
      </w:tr>
      <w:tr w:rsidR="009E26F4" w:rsidRPr="00C53844" w:rsidTr="00C53844">
        <w:trPr>
          <w:trHeight w:val="135"/>
          <w:tblHeader/>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1</w:t>
            </w:r>
          </w:p>
        </w:tc>
        <w:tc>
          <w:tcPr>
            <w:tcW w:w="1638"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2</w:t>
            </w:r>
          </w:p>
        </w:tc>
        <w:tc>
          <w:tcPr>
            <w:tcW w:w="125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3</w:t>
            </w:r>
          </w:p>
        </w:tc>
        <w:tc>
          <w:tcPr>
            <w:tcW w:w="136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4</w:t>
            </w:r>
          </w:p>
        </w:tc>
        <w:tc>
          <w:tcPr>
            <w:tcW w:w="1637"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5</w:t>
            </w:r>
          </w:p>
        </w:tc>
      </w:tr>
      <w:tr w:rsidR="009E26F4" w:rsidRPr="00C53844" w:rsidTr="00C53844">
        <w:trPr>
          <w:trHeight w:val="13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b/>
                <w:bCs/>
                <w:sz w:val="20"/>
                <w:szCs w:val="20"/>
              </w:rPr>
            </w:pPr>
            <w:r w:rsidRPr="00C53844">
              <w:rPr>
                <w:b/>
                <w:bCs/>
                <w:sz w:val="20"/>
                <w:szCs w:val="20"/>
              </w:rPr>
              <w:t>Всего</w:t>
            </w:r>
          </w:p>
        </w:tc>
        <w:tc>
          <w:tcPr>
            <w:tcW w:w="1638"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b/>
                <w:bCs/>
                <w:sz w:val="20"/>
                <w:szCs w:val="20"/>
              </w:rPr>
            </w:pPr>
            <w:r w:rsidRPr="00C53844">
              <w:rPr>
                <w:b/>
                <w:bCs/>
                <w:sz w:val="20"/>
                <w:szCs w:val="20"/>
              </w:rPr>
              <w:t>271 000,0</w:t>
            </w:r>
          </w:p>
        </w:tc>
        <w:tc>
          <w:tcPr>
            <w:tcW w:w="125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b/>
                <w:bCs/>
                <w:sz w:val="20"/>
                <w:szCs w:val="20"/>
              </w:rPr>
            </w:pPr>
            <w:r w:rsidRPr="00C53844">
              <w:rPr>
                <w:b/>
                <w:bCs/>
                <w:sz w:val="20"/>
                <w:szCs w:val="20"/>
              </w:rPr>
              <w:t>106 500,0</w:t>
            </w:r>
          </w:p>
        </w:tc>
        <w:tc>
          <w:tcPr>
            <w:tcW w:w="136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b/>
                <w:bCs/>
                <w:sz w:val="20"/>
                <w:szCs w:val="20"/>
              </w:rPr>
            </w:pPr>
            <w:r w:rsidRPr="00C53844">
              <w:rPr>
                <w:b/>
                <w:bCs/>
                <w:sz w:val="20"/>
                <w:szCs w:val="20"/>
              </w:rPr>
              <w:t>50 000,0</w:t>
            </w:r>
          </w:p>
        </w:tc>
        <w:tc>
          <w:tcPr>
            <w:tcW w:w="1637"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b/>
                <w:bCs/>
                <w:sz w:val="20"/>
                <w:szCs w:val="20"/>
              </w:rPr>
            </w:pPr>
            <w:r w:rsidRPr="00C53844">
              <w:rPr>
                <w:b/>
                <w:bCs/>
                <w:sz w:val="20"/>
                <w:szCs w:val="20"/>
              </w:rPr>
              <w:t>214 500,0</w:t>
            </w:r>
          </w:p>
        </w:tc>
      </w:tr>
      <w:tr w:rsidR="009E26F4" w:rsidRPr="00C53844" w:rsidTr="00C53844">
        <w:trPr>
          <w:trHeight w:val="13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sz w:val="20"/>
                <w:szCs w:val="20"/>
              </w:rPr>
            </w:pPr>
            <w:r w:rsidRPr="00C53844">
              <w:rPr>
                <w:sz w:val="20"/>
                <w:szCs w:val="20"/>
              </w:rPr>
              <w:t>Городской округ Анадырь</w:t>
            </w:r>
          </w:p>
        </w:tc>
        <w:tc>
          <w:tcPr>
            <w:tcW w:w="1638"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70 500,0</w:t>
            </w:r>
          </w:p>
        </w:tc>
        <w:tc>
          <w:tcPr>
            <w:tcW w:w="125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40 000,0</w:t>
            </w:r>
          </w:p>
        </w:tc>
        <w:tc>
          <w:tcPr>
            <w:tcW w:w="136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22 930,0</w:t>
            </w:r>
          </w:p>
        </w:tc>
        <w:tc>
          <w:tcPr>
            <w:tcW w:w="1637"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53 430,0</w:t>
            </w:r>
          </w:p>
        </w:tc>
      </w:tr>
      <w:tr w:rsidR="009E26F4" w:rsidRPr="00C53844" w:rsidTr="00C53844">
        <w:trPr>
          <w:trHeight w:val="13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sz w:val="20"/>
                <w:szCs w:val="20"/>
              </w:rPr>
            </w:pPr>
            <w:r w:rsidRPr="00C53844">
              <w:rPr>
                <w:sz w:val="20"/>
                <w:szCs w:val="20"/>
              </w:rPr>
              <w:t xml:space="preserve">Городской округ </w:t>
            </w:r>
            <w:proofErr w:type="spellStart"/>
            <w:r w:rsidRPr="00C53844">
              <w:rPr>
                <w:sz w:val="20"/>
                <w:szCs w:val="20"/>
              </w:rPr>
              <w:t>Певек</w:t>
            </w:r>
            <w:proofErr w:type="spellEnd"/>
          </w:p>
        </w:tc>
        <w:tc>
          <w:tcPr>
            <w:tcW w:w="1638"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105 000,0</w:t>
            </w:r>
          </w:p>
        </w:tc>
        <w:tc>
          <w:tcPr>
            <w:tcW w:w="125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8 000,0</w:t>
            </w:r>
          </w:p>
        </w:tc>
        <w:tc>
          <w:tcPr>
            <w:tcW w:w="136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w:t>
            </w:r>
          </w:p>
        </w:tc>
        <w:tc>
          <w:tcPr>
            <w:tcW w:w="1637"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97 000,0</w:t>
            </w:r>
          </w:p>
        </w:tc>
      </w:tr>
      <w:tr w:rsidR="009E26F4" w:rsidRPr="00C53844" w:rsidTr="00C53844">
        <w:trPr>
          <w:trHeight w:val="13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sz w:val="20"/>
                <w:szCs w:val="20"/>
              </w:rPr>
            </w:pPr>
            <w:r w:rsidRPr="00C53844">
              <w:rPr>
                <w:sz w:val="20"/>
                <w:szCs w:val="20"/>
              </w:rPr>
              <w:t xml:space="preserve">Городской округ </w:t>
            </w:r>
            <w:proofErr w:type="spellStart"/>
            <w:r w:rsidRPr="00C53844">
              <w:rPr>
                <w:sz w:val="20"/>
                <w:szCs w:val="20"/>
              </w:rPr>
              <w:t>Эгвекинот</w:t>
            </w:r>
            <w:proofErr w:type="spellEnd"/>
          </w:p>
        </w:tc>
        <w:tc>
          <w:tcPr>
            <w:tcW w:w="1638"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19 500,0</w:t>
            </w:r>
          </w:p>
        </w:tc>
        <w:tc>
          <w:tcPr>
            <w:tcW w:w="125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w:t>
            </w:r>
          </w:p>
        </w:tc>
        <w:tc>
          <w:tcPr>
            <w:tcW w:w="136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8 500,0</w:t>
            </w:r>
          </w:p>
        </w:tc>
        <w:tc>
          <w:tcPr>
            <w:tcW w:w="1637"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28 000,0</w:t>
            </w:r>
          </w:p>
        </w:tc>
      </w:tr>
      <w:tr w:rsidR="009E26F4" w:rsidRPr="00C53844" w:rsidTr="00C53844">
        <w:trPr>
          <w:trHeight w:val="2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sz w:val="20"/>
                <w:szCs w:val="20"/>
              </w:rPr>
            </w:pPr>
            <w:proofErr w:type="spellStart"/>
            <w:r w:rsidRPr="00C53844">
              <w:rPr>
                <w:sz w:val="20"/>
                <w:szCs w:val="20"/>
              </w:rPr>
              <w:t>Провиденский</w:t>
            </w:r>
            <w:proofErr w:type="spellEnd"/>
            <w:r w:rsidRPr="00C53844">
              <w:rPr>
                <w:sz w:val="20"/>
                <w:szCs w:val="20"/>
              </w:rPr>
              <w:t xml:space="preserve"> городской округ</w:t>
            </w:r>
          </w:p>
        </w:tc>
        <w:tc>
          <w:tcPr>
            <w:tcW w:w="1638"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w:t>
            </w:r>
          </w:p>
        </w:tc>
        <w:tc>
          <w:tcPr>
            <w:tcW w:w="125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w:t>
            </w:r>
          </w:p>
        </w:tc>
        <w:tc>
          <w:tcPr>
            <w:tcW w:w="136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4 500,0</w:t>
            </w:r>
          </w:p>
        </w:tc>
        <w:tc>
          <w:tcPr>
            <w:tcW w:w="1637"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4 500,0</w:t>
            </w:r>
          </w:p>
        </w:tc>
      </w:tr>
      <w:tr w:rsidR="009E26F4" w:rsidRPr="00C53844" w:rsidTr="00C53844">
        <w:trPr>
          <w:trHeight w:val="2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sz w:val="20"/>
                <w:szCs w:val="20"/>
              </w:rPr>
            </w:pPr>
            <w:r w:rsidRPr="00C53844">
              <w:rPr>
                <w:sz w:val="20"/>
                <w:szCs w:val="20"/>
              </w:rPr>
              <w:t>Анадырский муниципальный район</w:t>
            </w:r>
          </w:p>
        </w:tc>
        <w:tc>
          <w:tcPr>
            <w:tcW w:w="1638"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46 500,0</w:t>
            </w:r>
          </w:p>
        </w:tc>
        <w:tc>
          <w:tcPr>
            <w:tcW w:w="125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29 000,0</w:t>
            </w:r>
          </w:p>
        </w:tc>
        <w:tc>
          <w:tcPr>
            <w:tcW w:w="136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14 070,0</w:t>
            </w:r>
          </w:p>
        </w:tc>
        <w:tc>
          <w:tcPr>
            <w:tcW w:w="1637"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31 570,0</w:t>
            </w:r>
          </w:p>
        </w:tc>
      </w:tr>
      <w:tr w:rsidR="009E26F4" w:rsidRPr="00C53844" w:rsidTr="00C53844">
        <w:trPr>
          <w:trHeight w:val="2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sz w:val="20"/>
                <w:szCs w:val="20"/>
              </w:rPr>
            </w:pPr>
            <w:proofErr w:type="spellStart"/>
            <w:r w:rsidRPr="00C53844">
              <w:rPr>
                <w:sz w:val="20"/>
                <w:szCs w:val="20"/>
              </w:rPr>
              <w:t>Билибинский</w:t>
            </w:r>
            <w:proofErr w:type="spellEnd"/>
            <w:r w:rsidRPr="00C53844">
              <w:rPr>
                <w:sz w:val="20"/>
                <w:szCs w:val="20"/>
              </w:rPr>
              <w:t xml:space="preserve"> муниципальный район</w:t>
            </w:r>
          </w:p>
        </w:tc>
        <w:tc>
          <w:tcPr>
            <w:tcW w:w="1638"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10 000,0</w:t>
            </w:r>
          </w:p>
        </w:tc>
        <w:tc>
          <w:tcPr>
            <w:tcW w:w="125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10 000,0</w:t>
            </w:r>
          </w:p>
        </w:tc>
        <w:tc>
          <w:tcPr>
            <w:tcW w:w="136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w:t>
            </w:r>
          </w:p>
        </w:tc>
        <w:tc>
          <w:tcPr>
            <w:tcW w:w="1637"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w:t>
            </w:r>
          </w:p>
        </w:tc>
      </w:tr>
      <w:tr w:rsidR="009E26F4" w:rsidRPr="00C53844" w:rsidTr="00C53844">
        <w:trPr>
          <w:trHeight w:val="2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sz w:val="20"/>
                <w:szCs w:val="20"/>
              </w:rPr>
            </w:pPr>
            <w:r w:rsidRPr="00C53844">
              <w:rPr>
                <w:sz w:val="20"/>
                <w:szCs w:val="20"/>
              </w:rPr>
              <w:t>Чукотский муниципальный район</w:t>
            </w:r>
          </w:p>
        </w:tc>
        <w:tc>
          <w:tcPr>
            <w:tcW w:w="1638"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19 500,0</w:t>
            </w:r>
          </w:p>
        </w:tc>
        <w:tc>
          <w:tcPr>
            <w:tcW w:w="125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19 500,0</w:t>
            </w:r>
          </w:p>
        </w:tc>
        <w:tc>
          <w:tcPr>
            <w:tcW w:w="136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w:t>
            </w:r>
          </w:p>
        </w:tc>
        <w:tc>
          <w:tcPr>
            <w:tcW w:w="1637"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w:t>
            </w:r>
          </w:p>
        </w:tc>
      </w:tr>
    </w:tbl>
    <w:p w:rsidR="009E26F4" w:rsidRPr="00467F9C" w:rsidRDefault="009E26F4" w:rsidP="00191861">
      <w:pPr>
        <w:autoSpaceDE w:val="0"/>
        <w:autoSpaceDN w:val="0"/>
        <w:adjustRightInd w:val="0"/>
        <w:spacing w:before="120"/>
        <w:ind w:firstLine="709"/>
        <w:jc w:val="both"/>
        <w:rPr>
          <w:sz w:val="28"/>
          <w:szCs w:val="28"/>
        </w:rPr>
      </w:pPr>
      <w:r w:rsidRPr="00467F9C">
        <w:rPr>
          <w:sz w:val="28"/>
          <w:szCs w:val="28"/>
        </w:rPr>
        <w:t xml:space="preserve">В отчетном периоде 4 муниципальным образованиям округа предоставлены кредиты на частичное покрытие дефицитов местных бюджетов в общей сумме 50 000,0 тыс. рублей. Задолженность муниципалитетов перед окружным бюджетом по кредитам на 1 января 2022 года составила 214 500,0 тыс. рублей. Плата за пользование бюджетными кредитами в 2021 году согласно пункту 4 статьи 10 Закона об окружном бюджете составляет </w:t>
      </w:r>
      <w:r w:rsidRPr="00467F9C">
        <w:rPr>
          <w:bCs/>
          <w:sz w:val="28"/>
          <w:szCs w:val="28"/>
        </w:rPr>
        <w:t xml:space="preserve">0,1% годовых. </w:t>
      </w:r>
      <w:r w:rsidRPr="00467F9C">
        <w:rPr>
          <w:sz w:val="28"/>
          <w:szCs w:val="28"/>
        </w:rPr>
        <w:t>Просроченная задолженность по бюджетным кредитам отсутствует.</w:t>
      </w:r>
    </w:p>
    <w:p w:rsidR="009E26F4" w:rsidRPr="00467F9C" w:rsidRDefault="009E26F4" w:rsidP="00191861">
      <w:pPr>
        <w:widowControl w:val="0"/>
        <w:autoSpaceDE w:val="0"/>
        <w:autoSpaceDN w:val="0"/>
        <w:adjustRightInd w:val="0"/>
        <w:spacing w:before="120"/>
        <w:ind w:firstLine="709"/>
        <w:jc w:val="both"/>
        <w:rPr>
          <w:sz w:val="28"/>
          <w:szCs w:val="28"/>
        </w:rPr>
      </w:pPr>
      <w:r w:rsidRPr="00467F9C">
        <w:rPr>
          <w:sz w:val="28"/>
          <w:szCs w:val="28"/>
        </w:rPr>
        <w:t xml:space="preserve">Законом об окружном бюджете (статья 10) предусмотрены </w:t>
      </w:r>
      <w:r w:rsidRPr="00467F9C">
        <w:rPr>
          <w:b/>
          <w:sz w:val="28"/>
          <w:szCs w:val="28"/>
        </w:rPr>
        <w:t xml:space="preserve">бюджетные кредиты юридическим лицам </w:t>
      </w:r>
      <w:r w:rsidRPr="00467F9C">
        <w:rPr>
          <w:sz w:val="28"/>
          <w:szCs w:val="28"/>
        </w:rPr>
        <w:t xml:space="preserve">для закупки и доставки топлива в Чукотский автономный округ в сумме 1 000 000,0 тыс. рублей на срок в пределах 2021 года. В отчетном периоде юридическим лицам кредиты на закупку и доставку топлива в Чукотский автономный округ не предоставлялись. </w:t>
      </w:r>
    </w:p>
    <w:p w:rsidR="009E26F4" w:rsidRPr="00467F9C" w:rsidRDefault="009E26F4" w:rsidP="00191861">
      <w:pPr>
        <w:widowControl w:val="0"/>
        <w:autoSpaceDE w:val="0"/>
        <w:autoSpaceDN w:val="0"/>
        <w:adjustRightInd w:val="0"/>
        <w:ind w:firstLine="709"/>
        <w:jc w:val="both"/>
        <w:rPr>
          <w:sz w:val="28"/>
          <w:szCs w:val="28"/>
        </w:rPr>
      </w:pPr>
      <w:r w:rsidRPr="00467F9C">
        <w:rPr>
          <w:sz w:val="28"/>
          <w:szCs w:val="28"/>
        </w:rPr>
        <w:t>Информация о бюджетных кредитах, предоставленных юридическим лицам ранее 2021 года, приведена в таблице№25.</w:t>
      </w:r>
    </w:p>
    <w:p w:rsidR="009E26F4" w:rsidRPr="00467F9C" w:rsidRDefault="009E26F4" w:rsidP="00191861">
      <w:pPr>
        <w:widowControl w:val="0"/>
        <w:autoSpaceDE w:val="0"/>
        <w:autoSpaceDN w:val="0"/>
        <w:adjustRightInd w:val="0"/>
        <w:ind w:firstLine="709"/>
        <w:jc w:val="right"/>
        <w:rPr>
          <w:sz w:val="28"/>
          <w:szCs w:val="28"/>
        </w:rPr>
      </w:pPr>
      <w:r w:rsidRPr="00467F9C">
        <w:rPr>
          <w:sz w:val="28"/>
          <w:szCs w:val="28"/>
        </w:rPr>
        <w:t>Таблица №25</w:t>
      </w:r>
    </w:p>
    <w:p w:rsidR="009E26F4" w:rsidRPr="00467F9C" w:rsidRDefault="009E26F4" w:rsidP="00191861">
      <w:pPr>
        <w:widowControl w:val="0"/>
        <w:autoSpaceDE w:val="0"/>
        <w:autoSpaceDN w:val="0"/>
        <w:adjustRightInd w:val="0"/>
        <w:ind w:left="6372" w:firstLine="708"/>
        <w:jc w:val="right"/>
        <w:rPr>
          <w:sz w:val="28"/>
          <w:szCs w:val="28"/>
        </w:rPr>
      </w:pPr>
      <w:r w:rsidRPr="00467F9C">
        <w:rPr>
          <w:sz w:val="28"/>
          <w:szCs w:val="28"/>
        </w:rPr>
        <w:t>(тыс. рублей)</w:t>
      </w:r>
    </w:p>
    <w:tbl>
      <w:tblPr>
        <w:tblW w:w="9781" w:type="dxa"/>
        <w:tblInd w:w="137" w:type="dxa"/>
        <w:tblLook w:val="04A0" w:firstRow="1" w:lastRow="0" w:firstColumn="1" w:lastColumn="0" w:noHBand="0" w:noVBand="1"/>
      </w:tblPr>
      <w:tblGrid>
        <w:gridCol w:w="2405"/>
        <w:gridCol w:w="3124"/>
        <w:gridCol w:w="1509"/>
        <w:gridCol w:w="2743"/>
      </w:tblGrid>
      <w:tr w:rsidR="009E26F4" w:rsidRPr="00C53844" w:rsidTr="009E26F4">
        <w:trPr>
          <w:trHeight w:val="464"/>
          <w:tblHead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6F4" w:rsidRDefault="009E26F4" w:rsidP="00191861">
            <w:pPr>
              <w:jc w:val="center"/>
              <w:rPr>
                <w:sz w:val="20"/>
                <w:szCs w:val="20"/>
              </w:rPr>
            </w:pPr>
            <w:r w:rsidRPr="00C53844">
              <w:rPr>
                <w:sz w:val="20"/>
                <w:szCs w:val="20"/>
              </w:rPr>
              <w:t xml:space="preserve">Год </w:t>
            </w:r>
            <w:r w:rsidRPr="00C53844">
              <w:rPr>
                <w:sz w:val="20"/>
                <w:szCs w:val="20"/>
              </w:rPr>
              <w:br/>
              <w:t>предоставления бюджетного кредита</w:t>
            </w:r>
          </w:p>
          <w:p w:rsidR="00C53844" w:rsidRPr="00C53844" w:rsidRDefault="00C53844" w:rsidP="00191861">
            <w:pPr>
              <w:jc w:val="center"/>
              <w:rPr>
                <w:sz w:val="4"/>
                <w:szCs w:val="4"/>
              </w:rPr>
            </w:pPr>
          </w:p>
        </w:tc>
        <w:tc>
          <w:tcPr>
            <w:tcW w:w="3124" w:type="dxa"/>
            <w:tcBorders>
              <w:top w:val="single" w:sz="4" w:space="0" w:color="auto"/>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Задолженность по состоянию</w:t>
            </w:r>
            <w:r w:rsidRPr="00C53844">
              <w:rPr>
                <w:sz w:val="20"/>
                <w:szCs w:val="20"/>
              </w:rPr>
              <w:br/>
              <w:t>на 01.01.2021 г.</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Погашено (списано)</w:t>
            </w:r>
          </w:p>
        </w:tc>
        <w:tc>
          <w:tcPr>
            <w:tcW w:w="2743" w:type="dxa"/>
            <w:tcBorders>
              <w:top w:val="single" w:sz="4" w:space="0" w:color="auto"/>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 xml:space="preserve">Задолженность по состоянию </w:t>
            </w:r>
            <w:r w:rsidRPr="00C53844">
              <w:rPr>
                <w:sz w:val="20"/>
                <w:szCs w:val="20"/>
              </w:rPr>
              <w:br/>
              <w:t>на 01.01.2022 г.</w:t>
            </w:r>
          </w:p>
        </w:tc>
      </w:tr>
      <w:tr w:rsidR="009E26F4" w:rsidRPr="00C53844" w:rsidTr="009E26F4">
        <w:trPr>
          <w:trHeight w:val="192"/>
          <w:tblHeader/>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1</w:t>
            </w:r>
          </w:p>
        </w:tc>
        <w:tc>
          <w:tcPr>
            <w:tcW w:w="312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2</w:t>
            </w:r>
          </w:p>
        </w:tc>
        <w:tc>
          <w:tcPr>
            <w:tcW w:w="1509"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3</w:t>
            </w:r>
          </w:p>
        </w:tc>
        <w:tc>
          <w:tcPr>
            <w:tcW w:w="2743"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4</w:t>
            </w:r>
          </w:p>
        </w:tc>
      </w:tr>
      <w:tr w:rsidR="009E26F4" w:rsidRPr="00C53844" w:rsidTr="009E26F4">
        <w:trPr>
          <w:trHeight w:val="192"/>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jc w:val="center"/>
              <w:rPr>
                <w:b/>
                <w:bCs/>
                <w:sz w:val="20"/>
                <w:szCs w:val="20"/>
              </w:rPr>
            </w:pPr>
            <w:r w:rsidRPr="00C53844">
              <w:rPr>
                <w:b/>
                <w:bCs/>
                <w:sz w:val="20"/>
                <w:szCs w:val="20"/>
              </w:rPr>
              <w:t>Всего</w:t>
            </w:r>
          </w:p>
        </w:tc>
        <w:tc>
          <w:tcPr>
            <w:tcW w:w="312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b/>
                <w:bCs/>
                <w:sz w:val="20"/>
                <w:szCs w:val="20"/>
              </w:rPr>
            </w:pPr>
            <w:r w:rsidRPr="00C53844">
              <w:rPr>
                <w:b/>
                <w:bCs/>
                <w:sz w:val="20"/>
                <w:szCs w:val="20"/>
              </w:rPr>
              <w:t>947 117,2</w:t>
            </w:r>
          </w:p>
        </w:tc>
        <w:tc>
          <w:tcPr>
            <w:tcW w:w="1509"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b/>
                <w:bCs/>
                <w:sz w:val="20"/>
                <w:szCs w:val="20"/>
              </w:rPr>
            </w:pPr>
            <w:r w:rsidRPr="00C53844">
              <w:rPr>
                <w:b/>
                <w:bCs/>
                <w:sz w:val="20"/>
                <w:szCs w:val="20"/>
              </w:rPr>
              <w:t>223 344,2</w:t>
            </w:r>
          </w:p>
        </w:tc>
        <w:tc>
          <w:tcPr>
            <w:tcW w:w="2743"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b/>
                <w:bCs/>
                <w:sz w:val="20"/>
                <w:szCs w:val="20"/>
              </w:rPr>
            </w:pPr>
            <w:r w:rsidRPr="00C53844">
              <w:rPr>
                <w:b/>
                <w:bCs/>
                <w:sz w:val="20"/>
                <w:szCs w:val="20"/>
              </w:rPr>
              <w:t>723 773,0</w:t>
            </w:r>
          </w:p>
        </w:tc>
      </w:tr>
      <w:tr w:rsidR="009E26F4" w:rsidRPr="00C53844" w:rsidTr="009E26F4">
        <w:trPr>
          <w:trHeight w:val="192"/>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1993-1994</w:t>
            </w:r>
          </w:p>
        </w:tc>
        <w:tc>
          <w:tcPr>
            <w:tcW w:w="312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720,0</w:t>
            </w:r>
          </w:p>
        </w:tc>
        <w:tc>
          <w:tcPr>
            <w:tcW w:w="1509"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720,0</w:t>
            </w:r>
          </w:p>
        </w:tc>
        <w:tc>
          <w:tcPr>
            <w:tcW w:w="2743"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w:t>
            </w:r>
          </w:p>
        </w:tc>
      </w:tr>
      <w:tr w:rsidR="009E26F4" w:rsidRPr="00C53844" w:rsidTr="009E26F4">
        <w:trPr>
          <w:trHeight w:val="192"/>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2019</w:t>
            </w:r>
          </w:p>
        </w:tc>
        <w:tc>
          <w:tcPr>
            <w:tcW w:w="312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318 646,5</w:t>
            </w:r>
          </w:p>
        </w:tc>
        <w:tc>
          <w:tcPr>
            <w:tcW w:w="1509"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222 624,2</w:t>
            </w:r>
          </w:p>
        </w:tc>
        <w:tc>
          <w:tcPr>
            <w:tcW w:w="2743"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96 022,3</w:t>
            </w:r>
          </w:p>
        </w:tc>
      </w:tr>
      <w:tr w:rsidR="009E26F4" w:rsidRPr="00C53844" w:rsidTr="009E26F4">
        <w:trPr>
          <w:trHeight w:val="192"/>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2020</w:t>
            </w:r>
          </w:p>
        </w:tc>
        <w:tc>
          <w:tcPr>
            <w:tcW w:w="312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627 750,7</w:t>
            </w:r>
          </w:p>
        </w:tc>
        <w:tc>
          <w:tcPr>
            <w:tcW w:w="1509"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w:t>
            </w:r>
          </w:p>
        </w:tc>
        <w:tc>
          <w:tcPr>
            <w:tcW w:w="2743"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627 750,7</w:t>
            </w:r>
          </w:p>
        </w:tc>
      </w:tr>
    </w:tbl>
    <w:p w:rsidR="009E26F4" w:rsidRPr="00467F9C" w:rsidRDefault="009E26F4" w:rsidP="00191861">
      <w:pPr>
        <w:autoSpaceDE w:val="0"/>
        <w:autoSpaceDN w:val="0"/>
        <w:adjustRightInd w:val="0"/>
        <w:spacing w:before="120"/>
        <w:ind w:firstLine="709"/>
        <w:jc w:val="both"/>
        <w:rPr>
          <w:sz w:val="28"/>
          <w:szCs w:val="28"/>
        </w:rPr>
      </w:pPr>
      <w:r w:rsidRPr="00467F9C">
        <w:rPr>
          <w:sz w:val="28"/>
          <w:szCs w:val="28"/>
        </w:rPr>
        <w:t>В 2021 году бюджетные кредиты юридическим лицам не предоставлялись.</w:t>
      </w:r>
    </w:p>
    <w:p w:rsidR="009E26F4" w:rsidRPr="00467F9C" w:rsidRDefault="009E26F4" w:rsidP="00191861">
      <w:pPr>
        <w:autoSpaceDE w:val="0"/>
        <w:autoSpaceDN w:val="0"/>
        <w:adjustRightInd w:val="0"/>
        <w:ind w:firstLine="709"/>
        <w:jc w:val="both"/>
        <w:rPr>
          <w:sz w:val="28"/>
          <w:szCs w:val="28"/>
        </w:rPr>
      </w:pPr>
      <w:r w:rsidRPr="00467F9C">
        <w:rPr>
          <w:sz w:val="28"/>
          <w:szCs w:val="28"/>
        </w:rPr>
        <w:t xml:space="preserve">Задолженность в размере 720,0 тыс. рублей перед окружным бюджетом по централизованным кредитам, выданным в 1993-1994 годах, в связи с отсутствием по состоянию на 1 января 2021 года лиц, имеющих указанную задолженность, в Единых государственных реестрах юридических лиц и </w:t>
      </w:r>
      <w:r w:rsidRPr="00467F9C">
        <w:rPr>
          <w:sz w:val="28"/>
          <w:szCs w:val="28"/>
        </w:rPr>
        <w:lastRenderedPageBreak/>
        <w:t xml:space="preserve">индивидуальных предпринимателей признана безнадежной к взысканию и снята с учета в сумме задолженности, не имеющей источников погашения. </w:t>
      </w:r>
    </w:p>
    <w:p w:rsidR="009E26F4" w:rsidRPr="00467F9C" w:rsidRDefault="009E26F4" w:rsidP="00191861">
      <w:pPr>
        <w:autoSpaceDE w:val="0"/>
        <w:autoSpaceDN w:val="0"/>
        <w:adjustRightInd w:val="0"/>
        <w:ind w:firstLine="709"/>
        <w:jc w:val="both"/>
        <w:rPr>
          <w:sz w:val="28"/>
          <w:szCs w:val="28"/>
        </w:rPr>
      </w:pPr>
      <w:r w:rsidRPr="00467F9C">
        <w:rPr>
          <w:sz w:val="28"/>
          <w:szCs w:val="28"/>
        </w:rPr>
        <w:t xml:space="preserve">По состоянию на 1 января 2022 года задолженность юридических лиц по предоставленным бюджетным кредитам составила 723 773,0 тыс. рублей. </w:t>
      </w:r>
    </w:p>
    <w:p w:rsidR="009E26F4" w:rsidRPr="00467F9C" w:rsidRDefault="009E26F4" w:rsidP="00191861">
      <w:pPr>
        <w:widowControl w:val="0"/>
        <w:autoSpaceDE w:val="0"/>
        <w:autoSpaceDN w:val="0"/>
        <w:adjustRightInd w:val="0"/>
        <w:ind w:firstLine="709"/>
        <w:jc w:val="both"/>
        <w:rPr>
          <w:sz w:val="28"/>
          <w:szCs w:val="28"/>
        </w:rPr>
      </w:pPr>
      <w:r w:rsidRPr="00467F9C">
        <w:rPr>
          <w:sz w:val="28"/>
          <w:szCs w:val="28"/>
        </w:rPr>
        <w:t>В отчетном периоде в доход окружного бюджета поступила плата за предоставление бюджетных кредитов в сумме 25 085,7 тыс. рублей или 102,4% плановых назначений (24 500,0 тыс. рублей), превышение плановых показателей связано с продлением срока возврата кредитов.</w:t>
      </w:r>
    </w:p>
    <w:p w:rsidR="009E26F4" w:rsidRPr="00467F9C" w:rsidRDefault="009E26F4" w:rsidP="00191861">
      <w:pPr>
        <w:spacing w:before="240" w:after="120"/>
        <w:jc w:val="center"/>
        <w:rPr>
          <w:b/>
          <w:sz w:val="28"/>
          <w:szCs w:val="28"/>
        </w:rPr>
      </w:pPr>
      <w:r w:rsidRPr="00467F9C">
        <w:rPr>
          <w:b/>
          <w:sz w:val="28"/>
          <w:szCs w:val="28"/>
        </w:rPr>
        <w:t>7. Государственный долг Чукотского автономного округа</w:t>
      </w:r>
    </w:p>
    <w:p w:rsidR="009E26F4" w:rsidRPr="00467F9C" w:rsidRDefault="009E26F4" w:rsidP="00191861">
      <w:pPr>
        <w:autoSpaceDE w:val="0"/>
        <w:autoSpaceDN w:val="0"/>
        <w:adjustRightInd w:val="0"/>
        <w:ind w:firstLine="709"/>
        <w:jc w:val="both"/>
        <w:rPr>
          <w:sz w:val="28"/>
          <w:szCs w:val="28"/>
        </w:rPr>
      </w:pPr>
      <w:r w:rsidRPr="00467F9C">
        <w:rPr>
          <w:sz w:val="28"/>
          <w:szCs w:val="28"/>
        </w:rPr>
        <w:t xml:space="preserve">Верхний предел государственного внутреннего долга Чукотского автономного округа на 1 января 2022 года установлен Законом об окружном бюджете в сумме 9 802 712,5 тыс. рублей, в том числе по государственным гарантиям Чукотского автономного округа в сумме 1 870 000,0 тыс. рублей. </w:t>
      </w:r>
    </w:p>
    <w:p w:rsidR="009E26F4" w:rsidRPr="00467F9C" w:rsidRDefault="009E26F4" w:rsidP="00191861">
      <w:pPr>
        <w:ind w:firstLine="709"/>
        <w:jc w:val="both"/>
        <w:rPr>
          <w:sz w:val="28"/>
          <w:szCs w:val="28"/>
        </w:rPr>
      </w:pPr>
      <w:r w:rsidRPr="00467F9C">
        <w:rPr>
          <w:sz w:val="28"/>
          <w:szCs w:val="28"/>
        </w:rPr>
        <w:t>Государственный долг Чукотского автономного округа на 1 января 2021 года составлял 10 249 342,7 тыс. рублей. За 2021 год размер государственного долга снизился на 566 630,2 тыс. рублей и по состоянию на 1 января 2022 года составил 9 682 712,5 тыс. рублей, в том числе:</w:t>
      </w:r>
    </w:p>
    <w:p w:rsidR="009E26F4" w:rsidRPr="00467F9C" w:rsidRDefault="009E26F4" w:rsidP="00191861">
      <w:pPr>
        <w:ind w:firstLine="709"/>
        <w:jc w:val="both"/>
        <w:rPr>
          <w:sz w:val="28"/>
          <w:szCs w:val="28"/>
        </w:rPr>
      </w:pPr>
      <w:r w:rsidRPr="00467F9C">
        <w:rPr>
          <w:sz w:val="28"/>
          <w:szCs w:val="28"/>
        </w:rPr>
        <w:t xml:space="preserve">- 7 932 712,5 тыс. рублей – основной долг по кредитам, полученным из федерального бюджета для частичного покрытия дефицита окружного бюджета; </w:t>
      </w:r>
    </w:p>
    <w:p w:rsidR="009E26F4" w:rsidRPr="00467F9C" w:rsidRDefault="009E26F4" w:rsidP="00191861">
      <w:pPr>
        <w:ind w:firstLine="709"/>
        <w:jc w:val="both"/>
        <w:rPr>
          <w:sz w:val="28"/>
          <w:szCs w:val="28"/>
        </w:rPr>
      </w:pPr>
      <w:r w:rsidRPr="00467F9C">
        <w:rPr>
          <w:sz w:val="28"/>
          <w:szCs w:val="28"/>
        </w:rPr>
        <w:t>- 1 750 000,0 тыс. рублей – обязательства на обеспечение государственных гарантий, предоставленных Правительством Чукотского автономного округа.</w:t>
      </w:r>
    </w:p>
    <w:p w:rsidR="009E26F4" w:rsidRPr="00467F9C" w:rsidRDefault="009E26F4" w:rsidP="00191861">
      <w:pPr>
        <w:autoSpaceDE w:val="0"/>
        <w:autoSpaceDN w:val="0"/>
        <w:adjustRightInd w:val="0"/>
        <w:ind w:firstLine="709"/>
        <w:jc w:val="both"/>
        <w:rPr>
          <w:sz w:val="28"/>
          <w:szCs w:val="28"/>
        </w:rPr>
      </w:pPr>
      <w:r w:rsidRPr="00467F9C">
        <w:rPr>
          <w:sz w:val="28"/>
          <w:szCs w:val="28"/>
        </w:rPr>
        <w:t>Информация об объеме и структуре государственного долга Чукотского автономного округа, а также об общем объеме доходов окружного бюджета без учета утвержденного объема безвозмездных поступлений, предназначенного для расчета предельного объема государственного долга, в 2020 и 2021 году представлена в таблице №26.</w:t>
      </w:r>
    </w:p>
    <w:p w:rsidR="009E26F4" w:rsidRPr="00467F9C" w:rsidRDefault="009E26F4" w:rsidP="00191861">
      <w:pPr>
        <w:autoSpaceDE w:val="0"/>
        <w:autoSpaceDN w:val="0"/>
        <w:adjustRightInd w:val="0"/>
        <w:ind w:firstLine="709"/>
        <w:jc w:val="right"/>
        <w:rPr>
          <w:sz w:val="28"/>
          <w:szCs w:val="28"/>
        </w:rPr>
      </w:pPr>
      <w:r w:rsidRPr="00467F9C">
        <w:rPr>
          <w:sz w:val="28"/>
          <w:szCs w:val="28"/>
        </w:rPr>
        <w:t>Таблица №26</w:t>
      </w:r>
    </w:p>
    <w:p w:rsidR="009E26F4" w:rsidRPr="00467F9C" w:rsidRDefault="009E26F4" w:rsidP="00191861">
      <w:pPr>
        <w:autoSpaceDE w:val="0"/>
        <w:autoSpaceDN w:val="0"/>
        <w:adjustRightInd w:val="0"/>
        <w:ind w:firstLine="709"/>
        <w:jc w:val="right"/>
        <w:rPr>
          <w:sz w:val="28"/>
          <w:szCs w:val="28"/>
        </w:rPr>
      </w:pPr>
      <w:r w:rsidRPr="00467F9C">
        <w:rPr>
          <w:sz w:val="28"/>
          <w:szCs w:val="28"/>
        </w:rPr>
        <w:t>(тыс. рублей)</w:t>
      </w:r>
    </w:p>
    <w:tbl>
      <w:tblPr>
        <w:tblW w:w="9918" w:type="dxa"/>
        <w:tblLook w:val="04A0" w:firstRow="1" w:lastRow="0" w:firstColumn="1" w:lastColumn="0" w:noHBand="0" w:noVBand="1"/>
      </w:tblPr>
      <w:tblGrid>
        <w:gridCol w:w="4815"/>
        <w:gridCol w:w="1485"/>
        <w:gridCol w:w="1129"/>
        <w:gridCol w:w="9"/>
        <w:gridCol w:w="1414"/>
        <w:gridCol w:w="1066"/>
      </w:tblGrid>
      <w:tr w:rsidR="009E26F4" w:rsidRPr="00C53844" w:rsidTr="00C53844">
        <w:trPr>
          <w:trHeight w:val="300"/>
          <w:tblHeader/>
        </w:trPr>
        <w:tc>
          <w:tcPr>
            <w:tcW w:w="48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Наименование показателя</w:t>
            </w:r>
          </w:p>
        </w:tc>
        <w:tc>
          <w:tcPr>
            <w:tcW w:w="2623" w:type="dxa"/>
            <w:gridSpan w:val="3"/>
            <w:tcBorders>
              <w:top w:val="single" w:sz="4" w:space="0" w:color="auto"/>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2020 год</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2021 год</w:t>
            </w:r>
          </w:p>
        </w:tc>
      </w:tr>
      <w:tr w:rsidR="009E26F4" w:rsidRPr="00C53844" w:rsidTr="00C53844">
        <w:trPr>
          <w:trHeight w:val="152"/>
          <w:tblHeader/>
        </w:trPr>
        <w:tc>
          <w:tcPr>
            <w:tcW w:w="4815" w:type="dxa"/>
            <w:vMerge/>
            <w:tcBorders>
              <w:top w:val="single" w:sz="4" w:space="0" w:color="auto"/>
              <w:left w:val="single" w:sz="4" w:space="0" w:color="auto"/>
              <w:bottom w:val="single" w:sz="4" w:space="0" w:color="000000"/>
              <w:right w:val="single" w:sz="4" w:space="0" w:color="auto"/>
            </w:tcBorders>
            <w:vAlign w:val="center"/>
            <w:hideMark/>
          </w:tcPr>
          <w:p w:rsidR="009E26F4" w:rsidRPr="00C53844" w:rsidRDefault="009E26F4" w:rsidP="00191861">
            <w:pPr>
              <w:rPr>
                <w:sz w:val="20"/>
                <w:szCs w:val="20"/>
              </w:rPr>
            </w:pPr>
          </w:p>
        </w:tc>
        <w:tc>
          <w:tcPr>
            <w:tcW w:w="1485"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сумма</w:t>
            </w:r>
          </w:p>
        </w:tc>
        <w:tc>
          <w:tcPr>
            <w:tcW w:w="1129"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удельный вес, %</w:t>
            </w:r>
          </w:p>
        </w:tc>
        <w:tc>
          <w:tcPr>
            <w:tcW w:w="1423" w:type="dxa"/>
            <w:gridSpan w:val="2"/>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сумма</w:t>
            </w:r>
          </w:p>
        </w:tc>
        <w:tc>
          <w:tcPr>
            <w:tcW w:w="1066"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удельный вес, %</w:t>
            </w:r>
          </w:p>
        </w:tc>
      </w:tr>
      <w:tr w:rsidR="009E26F4" w:rsidRPr="00C53844" w:rsidTr="00C53844">
        <w:trPr>
          <w:trHeight w:val="116"/>
          <w:tblHeader/>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1</w:t>
            </w:r>
          </w:p>
        </w:tc>
        <w:tc>
          <w:tcPr>
            <w:tcW w:w="1485" w:type="dxa"/>
            <w:tcBorders>
              <w:top w:val="nil"/>
              <w:left w:val="nil"/>
              <w:bottom w:val="single" w:sz="4" w:space="0" w:color="auto"/>
              <w:right w:val="single" w:sz="4" w:space="0" w:color="auto"/>
            </w:tcBorders>
            <w:shd w:val="clear" w:color="auto" w:fill="auto"/>
            <w:noWrap/>
            <w:vAlign w:val="center"/>
            <w:hideMark/>
          </w:tcPr>
          <w:p w:rsidR="009E26F4" w:rsidRPr="00C53844" w:rsidRDefault="009E26F4" w:rsidP="00191861">
            <w:pPr>
              <w:jc w:val="center"/>
              <w:rPr>
                <w:sz w:val="20"/>
                <w:szCs w:val="20"/>
              </w:rPr>
            </w:pPr>
            <w:r w:rsidRPr="00C53844">
              <w:rPr>
                <w:sz w:val="20"/>
                <w:szCs w:val="20"/>
              </w:rPr>
              <w:t>2</w:t>
            </w:r>
          </w:p>
        </w:tc>
        <w:tc>
          <w:tcPr>
            <w:tcW w:w="1129" w:type="dxa"/>
            <w:tcBorders>
              <w:top w:val="nil"/>
              <w:left w:val="nil"/>
              <w:bottom w:val="single" w:sz="4" w:space="0" w:color="auto"/>
              <w:right w:val="single" w:sz="4" w:space="0" w:color="auto"/>
            </w:tcBorders>
            <w:shd w:val="clear" w:color="auto" w:fill="auto"/>
            <w:noWrap/>
            <w:vAlign w:val="center"/>
            <w:hideMark/>
          </w:tcPr>
          <w:p w:rsidR="009E26F4" w:rsidRPr="00C53844" w:rsidRDefault="009E26F4" w:rsidP="00191861">
            <w:pPr>
              <w:jc w:val="center"/>
              <w:rPr>
                <w:sz w:val="20"/>
                <w:szCs w:val="20"/>
              </w:rPr>
            </w:pPr>
            <w:r w:rsidRPr="00C53844">
              <w:rPr>
                <w:sz w:val="20"/>
                <w:szCs w:val="20"/>
              </w:rPr>
              <w:t>3</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9E26F4" w:rsidRPr="00C53844" w:rsidRDefault="009E26F4" w:rsidP="00191861">
            <w:pPr>
              <w:jc w:val="center"/>
              <w:rPr>
                <w:sz w:val="20"/>
                <w:szCs w:val="20"/>
              </w:rPr>
            </w:pPr>
            <w:r w:rsidRPr="00C53844">
              <w:rPr>
                <w:sz w:val="20"/>
                <w:szCs w:val="20"/>
              </w:rPr>
              <w:t>4</w:t>
            </w:r>
          </w:p>
        </w:tc>
        <w:tc>
          <w:tcPr>
            <w:tcW w:w="1066" w:type="dxa"/>
            <w:tcBorders>
              <w:top w:val="nil"/>
              <w:left w:val="nil"/>
              <w:bottom w:val="single" w:sz="4" w:space="0" w:color="auto"/>
              <w:right w:val="single" w:sz="4" w:space="0" w:color="auto"/>
            </w:tcBorders>
            <w:shd w:val="clear" w:color="auto" w:fill="auto"/>
            <w:noWrap/>
            <w:vAlign w:val="center"/>
            <w:hideMark/>
          </w:tcPr>
          <w:p w:rsidR="009E26F4" w:rsidRPr="00C53844" w:rsidRDefault="009E26F4" w:rsidP="00191861">
            <w:pPr>
              <w:jc w:val="center"/>
              <w:rPr>
                <w:sz w:val="20"/>
                <w:szCs w:val="20"/>
              </w:rPr>
            </w:pPr>
            <w:r w:rsidRPr="00C53844">
              <w:rPr>
                <w:sz w:val="20"/>
                <w:szCs w:val="20"/>
              </w:rPr>
              <w:t>5</w:t>
            </w:r>
          </w:p>
        </w:tc>
      </w:tr>
      <w:tr w:rsidR="009E26F4" w:rsidRPr="00C53844" w:rsidTr="00C53844">
        <w:trPr>
          <w:trHeight w:val="56"/>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b/>
                <w:bCs/>
                <w:sz w:val="20"/>
                <w:szCs w:val="20"/>
              </w:rPr>
            </w:pPr>
            <w:r w:rsidRPr="00C53844">
              <w:rPr>
                <w:b/>
                <w:bCs/>
                <w:sz w:val="20"/>
                <w:szCs w:val="20"/>
              </w:rPr>
              <w:t>Государственный долг Чукотского автономного округа, в том числе:</w:t>
            </w:r>
          </w:p>
        </w:tc>
        <w:tc>
          <w:tcPr>
            <w:tcW w:w="1485" w:type="dxa"/>
            <w:tcBorders>
              <w:top w:val="nil"/>
              <w:left w:val="nil"/>
              <w:bottom w:val="single" w:sz="4" w:space="0" w:color="auto"/>
              <w:right w:val="single" w:sz="4" w:space="0" w:color="auto"/>
            </w:tcBorders>
            <w:shd w:val="clear" w:color="auto" w:fill="auto"/>
            <w:noWrap/>
            <w:vAlign w:val="center"/>
            <w:hideMark/>
          </w:tcPr>
          <w:p w:rsidR="009E26F4" w:rsidRPr="00C53844" w:rsidRDefault="009E26F4" w:rsidP="00191861">
            <w:pPr>
              <w:jc w:val="right"/>
              <w:rPr>
                <w:b/>
                <w:bCs/>
                <w:sz w:val="20"/>
                <w:szCs w:val="20"/>
              </w:rPr>
            </w:pPr>
            <w:r w:rsidRPr="00C53844">
              <w:rPr>
                <w:b/>
                <w:bCs/>
                <w:sz w:val="20"/>
                <w:szCs w:val="20"/>
              </w:rPr>
              <w:t>10 249 342,7</w:t>
            </w:r>
          </w:p>
        </w:tc>
        <w:tc>
          <w:tcPr>
            <w:tcW w:w="1129" w:type="dxa"/>
            <w:tcBorders>
              <w:top w:val="nil"/>
              <w:left w:val="nil"/>
              <w:bottom w:val="single" w:sz="4" w:space="0" w:color="auto"/>
              <w:right w:val="single" w:sz="4" w:space="0" w:color="auto"/>
            </w:tcBorders>
            <w:shd w:val="clear" w:color="auto" w:fill="auto"/>
            <w:noWrap/>
            <w:vAlign w:val="center"/>
            <w:hideMark/>
          </w:tcPr>
          <w:p w:rsidR="009E26F4" w:rsidRPr="00C53844" w:rsidRDefault="009E26F4" w:rsidP="00191861">
            <w:pPr>
              <w:jc w:val="center"/>
              <w:rPr>
                <w:b/>
                <w:bCs/>
                <w:sz w:val="20"/>
                <w:szCs w:val="20"/>
              </w:rPr>
            </w:pPr>
            <w:r w:rsidRPr="00C53844">
              <w:rPr>
                <w:b/>
                <w:bCs/>
                <w:sz w:val="20"/>
                <w:szCs w:val="20"/>
              </w:rPr>
              <w:t>100,0</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9E26F4" w:rsidRPr="00C53844" w:rsidRDefault="009E26F4" w:rsidP="00191861">
            <w:pPr>
              <w:jc w:val="right"/>
              <w:rPr>
                <w:b/>
                <w:bCs/>
                <w:sz w:val="20"/>
                <w:szCs w:val="20"/>
              </w:rPr>
            </w:pPr>
            <w:r w:rsidRPr="00C53844">
              <w:rPr>
                <w:b/>
                <w:bCs/>
                <w:sz w:val="20"/>
                <w:szCs w:val="20"/>
              </w:rPr>
              <w:t>9 682 712,5</w:t>
            </w:r>
          </w:p>
        </w:tc>
        <w:tc>
          <w:tcPr>
            <w:tcW w:w="1066" w:type="dxa"/>
            <w:tcBorders>
              <w:top w:val="nil"/>
              <w:left w:val="nil"/>
              <w:bottom w:val="single" w:sz="4" w:space="0" w:color="auto"/>
              <w:right w:val="single" w:sz="4" w:space="0" w:color="auto"/>
            </w:tcBorders>
            <w:shd w:val="clear" w:color="auto" w:fill="auto"/>
            <w:noWrap/>
            <w:vAlign w:val="center"/>
            <w:hideMark/>
          </w:tcPr>
          <w:p w:rsidR="009E26F4" w:rsidRPr="00C53844" w:rsidRDefault="009E26F4" w:rsidP="00191861">
            <w:pPr>
              <w:jc w:val="center"/>
              <w:rPr>
                <w:b/>
                <w:bCs/>
                <w:sz w:val="20"/>
                <w:szCs w:val="20"/>
              </w:rPr>
            </w:pPr>
            <w:r w:rsidRPr="00C53844">
              <w:rPr>
                <w:b/>
                <w:bCs/>
                <w:sz w:val="20"/>
                <w:szCs w:val="20"/>
              </w:rPr>
              <w:t>100,0</w:t>
            </w:r>
          </w:p>
        </w:tc>
      </w:tr>
      <w:tr w:rsidR="009E26F4" w:rsidRPr="00C53844" w:rsidTr="00C53844">
        <w:trPr>
          <w:trHeight w:val="56"/>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sz w:val="20"/>
                <w:szCs w:val="20"/>
              </w:rPr>
            </w:pPr>
            <w:r w:rsidRPr="00C53844">
              <w:rPr>
                <w:sz w:val="20"/>
                <w:szCs w:val="20"/>
              </w:rPr>
              <w:t>долг по кредитам, полученным из федерального бюджета</w:t>
            </w:r>
          </w:p>
        </w:tc>
        <w:tc>
          <w:tcPr>
            <w:tcW w:w="1485" w:type="dxa"/>
            <w:tcBorders>
              <w:top w:val="nil"/>
              <w:left w:val="nil"/>
              <w:bottom w:val="single" w:sz="4" w:space="0" w:color="auto"/>
              <w:right w:val="single" w:sz="4" w:space="0" w:color="auto"/>
            </w:tcBorders>
            <w:shd w:val="clear" w:color="auto" w:fill="auto"/>
            <w:noWrap/>
            <w:vAlign w:val="center"/>
            <w:hideMark/>
          </w:tcPr>
          <w:p w:rsidR="009E26F4" w:rsidRPr="00C53844" w:rsidRDefault="009E26F4" w:rsidP="00191861">
            <w:pPr>
              <w:jc w:val="right"/>
              <w:rPr>
                <w:sz w:val="20"/>
                <w:szCs w:val="20"/>
              </w:rPr>
            </w:pPr>
            <w:r w:rsidRPr="00C53844">
              <w:rPr>
                <w:sz w:val="20"/>
                <w:szCs w:val="20"/>
              </w:rPr>
              <w:t>8 399 342,7</w:t>
            </w:r>
          </w:p>
        </w:tc>
        <w:tc>
          <w:tcPr>
            <w:tcW w:w="1129" w:type="dxa"/>
            <w:tcBorders>
              <w:top w:val="nil"/>
              <w:left w:val="nil"/>
              <w:bottom w:val="single" w:sz="4" w:space="0" w:color="auto"/>
              <w:right w:val="single" w:sz="4" w:space="0" w:color="auto"/>
            </w:tcBorders>
            <w:shd w:val="clear" w:color="auto" w:fill="auto"/>
            <w:noWrap/>
            <w:vAlign w:val="center"/>
            <w:hideMark/>
          </w:tcPr>
          <w:p w:rsidR="009E26F4" w:rsidRPr="00C53844" w:rsidRDefault="009E26F4" w:rsidP="00191861">
            <w:pPr>
              <w:jc w:val="center"/>
              <w:rPr>
                <w:sz w:val="20"/>
                <w:szCs w:val="20"/>
              </w:rPr>
            </w:pPr>
            <w:r w:rsidRPr="00C53844">
              <w:rPr>
                <w:sz w:val="20"/>
                <w:szCs w:val="20"/>
              </w:rPr>
              <w:t>82,0</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9E26F4" w:rsidRPr="00C53844" w:rsidRDefault="009E26F4" w:rsidP="00191861">
            <w:pPr>
              <w:jc w:val="right"/>
              <w:rPr>
                <w:sz w:val="20"/>
                <w:szCs w:val="20"/>
              </w:rPr>
            </w:pPr>
            <w:r w:rsidRPr="00C53844">
              <w:rPr>
                <w:sz w:val="20"/>
                <w:szCs w:val="20"/>
              </w:rPr>
              <w:t>7 932 712,5</w:t>
            </w:r>
          </w:p>
        </w:tc>
        <w:tc>
          <w:tcPr>
            <w:tcW w:w="1066" w:type="dxa"/>
            <w:tcBorders>
              <w:top w:val="nil"/>
              <w:left w:val="nil"/>
              <w:bottom w:val="single" w:sz="4" w:space="0" w:color="auto"/>
              <w:right w:val="single" w:sz="4" w:space="0" w:color="auto"/>
            </w:tcBorders>
            <w:shd w:val="clear" w:color="auto" w:fill="auto"/>
            <w:noWrap/>
            <w:vAlign w:val="center"/>
            <w:hideMark/>
          </w:tcPr>
          <w:p w:rsidR="009E26F4" w:rsidRPr="00C53844" w:rsidRDefault="009E26F4" w:rsidP="00191861">
            <w:pPr>
              <w:jc w:val="center"/>
              <w:rPr>
                <w:sz w:val="20"/>
                <w:szCs w:val="20"/>
              </w:rPr>
            </w:pPr>
            <w:r w:rsidRPr="00C53844">
              <w:rPr>
                <w:sz w:val="20"/>
                <w:szCs w:val="20"/>
              </w:rPr>
              <w:t>81,9</w:t>
            </w:r>
          </w:p>
        </w:tc>
      </w:tr>
      <w:tr w:rsidR="009E26F4" w:rsidRPr="00C53844" w:rsidTr="00C53844">
        <w:trPr>
          <w:trHeight w:val="30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sz w:val="20"/>
                <w:szCs w:val="20"/>
              </w:rPr>
            </w:pPr>
            <w:r w:rsidRPr="00C53844">
              <w:rPr>
                <w:sz w:val="20"/>
                <w:szCs w:val="20"/>
              </w:rPr>
              <w:t xml:space="preserve">предоставленные гарантии </w:t>
            </w:r>
          </w:p>
        </w:tc>
        <w:tc>
          <w:tcPr>
            <w:tcW w:w="1485" w:type="dxa"/>
            <w:tcBorders>
              <w:top w:val="nil"/>
              <w:left w:val="nil"/>
              <w:bottom w:val="single" w:sz="4" w:space="0" w:color="auto"/>
              <w:right w:val="single" w:sz="4" w:space="0" w:color="auto"/>
            </w:tcBorders>
            <w:shd w:val="clear" w:color="auto" w:fill="auto"/>
            <w:noWrap/>
            <w:vAlign w:val="center"/>
            <w:hideMark/>
          </w:tcPr>
          <w:p w:rsidR="009E26F4" w:rsidRPr="00C53844" w:rsidRDefault="009E26F4" w:rsidP="00191861">
            <w:pPr>
              <w:jc w:val="right"/>
              <w:rPr>
                <w:sz w:val="20"/>
                <w:szCs w:val="20"/>
              </w:rPr>
            </w:pPr>
            <w:r w:rsidRPr="00C53844">
              <w:rPr>
                <w:sz w:val="20"/>
                <w:szCs w:val="20"/>
              </w:rPr>
              <w:t>1 850 000,0</w:t>
            </w:r>
          </w:p>
        </w:tc>
        <w:tc>
          <w:tcPr>
            <w:tcW w:w="1129" w:type="dxa"/>
            <w:tcBorders>
              <w:top w:val="nil"/>
              <w:left w:val="nil"/>
              <w:bottom w:val="single" w:sz="4" w:space="0" w:color="auto"/>
              <w:right w:val="single" w:sz="4" w:space="0" w:color="auto"/>
            </w:tcBorders>
            <w:shd w:val="clear" w:color="auto" w:fill="auto"/>
            <w:noWrap/>
            <w:vAlign w:val="center"/>
            <w:hideMark/>
          </w:tcPr>
          <w:p w:rsidR="009E26F4" w:rsidRPr="00C53844" w:rsidRDefault="009E26F4" w:rsidP="00191861">
            <w:pPr>
              <w:jc w:val="center"/>
              <w:rPr>
                <w:sz w:val="20"/>
                <w:szCs w:val="20"/>
              </w:rPr>
            </w:pPr>
            <w:r w:rsidRPr="00C53844">
              <w:rPr>
                <w:sz w:val="20"/>
                <w:szCs w:val="20"/>
              </w:rPr>
              <w:t>18,0</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9E26F4" w:rsidRPr="00C53844" w:rsidRDefault="009E26F4" w:rsidP="00191861">
            <w:pPr>
              <w:jc w:val="right"/>
              <w:rPr>
                <w:sz w:val="20"/>
                <w:szCs w:val="20"/>
              </w:rPr>
            </w:pPr>
            <w:r w:rsidRPr="00C53844">
              <w:rPr>
                <w:sz w:val="20"/>
                <w:szCs w:val="20"/>
              </w:rPr>
              <w:t>1 750 000,0</w:t>
            </w:r>
          </w:p>
        </w:tc>
        <w:tc>
          <w:tcPr>
            <w:tcW w:w="1066" w:type="dxa"/>
            <w:tcBorders>
              <w:top w:val="nil"/>
              <w:left w:val="nil"/>
              <w:bottom w:val="single" w:sz="4" w:space="0" w:color="auto"/>
              <w:right w:val="single" w:sz="4" w:space="0" w:color="auto"/>
            </w:tcBorders>
            <w:shd w:val="clear" w:color="auto" w:fill="auto"/>
            <w:noWrap/>
            <w:vAlign w:val="center"/>
            <w:hideMark/>
          </w:tcPr>
          <w:p w:rsidR="009E26F4" w:rsidRPr="00C53844" w:rsidRDefault="009E26F4" w:rsidP="00191861">
            <w:pPr>
              <w:jc w:val="center"/>
              <w:rPr>
                <w:sz w:val="20"/>
                <w:szCs w:val="20"/>
              </w:rPr>
            </w:pPr>
            <w:r w:rsidRPr="00C53844">
              <w:rPr>
                <w:sz w:val="20"/>
                <w:szCs w:val="20"/>
              </w:rPr>
              <w:t>18,1</w:t>
            </w:r>
          </w:p>
        </w:tc>
      </w:tr>
      <w:tr w:rsidR="009E26F4" w:rsidRPr="00C53844" w:rsidTr="00C53844">
        <w:trPr>
          <w:trHeight w:val="300"/>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9E26F4" w:rsidRDefault="009E26F4" w:rsidP="00191861">
            <w:pPr>
              <w:rPr>
                <w:b/>
                <w:bCs/>
                <w:sz w:val="20"/>
                <w:szCs w:val="20"/>
              </w:rPr>
            </w:pPr>
            <w:r w:rsidRPr="00C53844">
              <w:rPr>
                <w:b/>
                <w:bCs/>
                <w:sz w:val="20"/>
                <w:szCs w:val="20"/>
              </w:rPr>
              <w:t xml:space="preserve">Утвержденный общий объем доходов окружного бюджета без учета утвержденного объема безвозмездных поступлений </w:t>
            </w:r>
          </w:p>
          <w:p w:rsidR="00C53844" w:rsidRPr="00C53844" w:rsidRDefault="00C53844" w:rsidP="00191861">
            <w:pPr>
              <w:rPr>
                <w:sz w:val="4"/>
                <w:szCs w:val="4"/>
              </w:rPr>
            </w:pPr>
          </w:p>
        </w:tc>
        <w:tc>
          <w:tcPr>
            <w:tcW w:w="1485" w:type="dxa"/>
            <w:tcBorders>
              <w:top w:val="single" w:sz="4" w:space="0" w:color="auto"/>
              <w:left w:val="nil"/>
              <w:bottom w:val="single" w:sz="4" w:space="0" w:color="auto"/>
              <w:right w:val="single" w:sz="4" w:space="0" w:color="auto"/>
            </w:tcBorders>
            <w:shd w:val="clear" w:color="auto" w:fill="auto"/>
            <w:noWrap/>
            <w:vAlign w:val="center"/>
          </w:tcPr>
          <w:p w:rsidR="009E26F4" w:rsidRPr="00C53844" w:rsidRDefault="009E26F4" w:rsidP="00191861">
            <w:pPr>
              <w:jc w:val="right"/>
              <w:rPr>
                <w:sz w:val="20"/>
                <w:szCs w:val="20"/>
              </w:rPr>
            </w:pPr>
            <w:r w:rsidRPr="00C53844">
              <w:rPr>
                <w:b/>
                <w:bCs/>
                <w:sz w:val="20"/>
                <w:szCs w:val="20"/>
              </w:rPr>
              <w:t>20 157 674,6</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9E26F4" w:rsidRPr="00C53844" w:rsidRDefault="009E26F4" w:rsidP="00191861">
            <w:pPr>
              <w:jc w:val="center"/>
              <w:rPr>
                <w:sz w:val="20"/>
                <w:szCs w:val="20"/>
              </w:rPr>
            </w:pPr>
            <w:r w:rsidRPr="00C53844">
              <w:rPr>
                <w:b/>
                <w:bCs/>
                <w:sz w:val="20"/>
                <w:szCs w:val="20"/>
              </w:rPr>
              <w:t>х</w:t>
            </w:r>
          </w:p>
        </w:tc>
        <w:tc>
          <w:tcPr>
            <w:tcW w:w="1423" w:type="dxa"/>
            <w:gridSpan w:val="2"/>
            <w:tcBorders>
              <w:top w:val="single" w:sz="4" w:space="0" w:color="auto"/>
              <w:left w:val="nil"/>
              <w:bottom w:val="single" w:sz="4" w:space="0" w:color="auto"/>
              <w:right w:val="single" w:sz="4" w:space="0" w:color="auto"/>
            </w:tcBorders>
            <w:shd w:val="clear" w:color="auto" w:fill="auto"/>
            <w:noWrap/>
            <w:vAlign w:val="center"/>
          </w:tcPr>
          <w:p w:rsidR="009E26F4" w:rsidRPr="00C53844" w:rsidRDefault="009E26F4" w:rsidP="00191861">
            <w:pPr>
              <w:jc w:val="right"/>
              <w:rPr>
                <w:sz w:val="20"/>
                <w:szCs w:val="20"/>
              </w:rPr>
            </w:pPr>
            <w:r w:rsidRPr="00C53844">
              <w:rPr>
                <w:b/>
                <w:bCs/>
                <w:sz w:val="20"/>
                <w:szCs w:val="20"/>
              </w:rPr>
              <w:t>18 826 934,5</w:t>
            </w:r>
          </w:p>
        </w:tc>
        <w:tc>
          <w:tcPr>
            <w:tcW w:w="1066" w:type="dxa"/>
            <w:tcBorders>
              <w:top w:val="single" w:sz="4" w:space="0" w:color="auto"/>
              <w:left w:val="nil"/>
              <w:bottom w:val="single" w:sz="4" w:space="0" w:color="auto"/>
              <w:right w:val="single" w:sz="4" w:space="0" w:color="auto"/>
            </w:tcBorders>
            <w:shd w:val="clear" w:color="auto" w:fill="auto"/>
            <w:noWrap/>
            <w:vAlign w:val="center"/>
          </w:tcPr>
          <w:p w:rsidR="009E26F4" w:rsidRPr="00C53844" w:rsidRDefault="009E26F4" w:rsidP="00191861">
            <w:pPr>
              <w:jc w:val="center"/>
              <w:rPr>
                <w:sz w:val="20"/>
                <w:szCs w:val="20"/>
              </w:rPr>
            </w:pPr>
            <w:r w:rsidRPr="00C53844">
              <w:rPr>
                <w:b/>
                <w:bCs/>
                <w:sz w:val="20"/>
                <w:szCs w:val="20"/>
              </w:rPr>
              <w:t>х</w:t>
            </w:r>
          </w:p>
        </w:tc>
      </w:tr>
    </w:tbl>
    <w:p w:rsidR="009E26F4" w:rsidRPr="00467F9C" w:rsidRDefault="009E26F4" w:rsidP="00191861">
      <w:pPr>
        <w:autoSpaceDE w:val="0"/>
        <w:autoSpaceDN w:val="0"/>
        <w:adjustRightInd w:val="0"/>
        <w:spacing w:before="120"/>
        <w:ind w:firstLine="709"/>
        <w:jc w:val="both"/>
        <w:rPr>
          <w:sz w:val="28"/>
          <w:szCs w:val="28"/>
        </w:rPr>
      </w:pPr>
      <w:r w:rsidRPr="00467F9C">
        <w:rPr>
          <w:sz w:val="28"/>
          <w:szCs w:val="28"/>
        </w:rPr>
        <w:t>Структура государственного долга округа по сравнению с предыдущим отчетным периодом в целом не изменилась. По итогам 2021 года основную часть государственного долга (81,9%) занимают бюджетные кредиты, привлеченные в окружной бюджет.</w:t>
      </w:r>
    </w:p>
    <w:p w:rsidR="009E26F4" w:rsidRPr="00467F9C" w:rsidRDefault="009E26F4" w:rsidP="00191861">
      <w:pPr>
        <w:autoSpaceDE w:val="0"/>
        <w:autoSpaceDN w:val="0"/>
        <w:adjustRightInd w:val="0"/>
        <w:ind w:firstLine="709"/>
        <w:jc w:val="both"/>
        <w:rPr>
          <w:sz w:val="28"/>
          <w:szCs w:val="28"/>
        </w:rPr>
      </w:pPr>
      <w:r w:rsidRPr="00467F9C">
        <w:rPr>
          <w:sz w:val="28"/>
          <w:szCs w:val="28"/>
        </w:rPr>
        <w:t xml:space="preserve">Требования пункта 4 статьи 107 Бюджетного кодекса соблюдены – объем государственного долга округа не превышает утвержденный общий годовой объем </w:t>
      </w:r>
      <w:r w:rsidRPr="00467F9C">
        <w:rPr>
          <w:sz w:val="28"/>
          <w:szCs w:val="28"/>
        </w:rPr>
        <w:lastRenderedPageBreak/>
        <w:t>доходов окружного бюджета без учета утвержденного объема безвозмездных поступлений.</w:t>
      </w:r>
    </w:p>
    <w:p w:rsidR="009E26F4" w:rsidRPr="00467F9C" w:rsidRDefault="009E26F4" w:rsidP="00191861">
      <w:pPr>
        <w:autoSpaceDE w:val="0"/>
        <w:autoSpaceDN w:val="0"/>
        <w:adjustRightInd w:val="0"/>
        <w:ind w:firstLine="709"/>
        <w:jc w:val="both"/>
        <w:rPr>
          <w:sz w:val="28"/>
          <w:szCs w:val="28"/>
        </w:rPr>
      </w:pPr>
      <w:r w:rsidRPr="00467F9C">
        <w:rPr>
          <w:sz w:val="28"/>
          <w:szCs w:val="28"/>
        </w:rPr>
        <w:t>Показатели, характеризующие долговую нагрузку окружного бюджета представлены в таблице №27.</w:t>
      </w:r>
    </w:p>
    <w:p w:rsidR="009E26F4" w:rsidRPr="00467F9C" w:rsidRDefault="009E26F4" w:rsidP="00191861">
      <w:pPr>
        <w:autoSpaceDE w:val="0"/>
        <w:autoSpaceDN w:val="0"/>
        <w:adjustRightInd w:val="0"/>
        <w:ind w:firstLine="709"/>
        <w:jc w:val="right"/>
        <w:rPr>
          <w:sz w:val="28"/>
          <w:szCs w:val="28"/>
        </w:rPr>
      </w:pPr>
      <w:r w:rsidRPr="00467F9C">
        <w:rPr>
          <w:sz w:val="28"/>
          <w:szCs w:val="28"/>
        </w:rPr>
        <w:t>Таблица №27</w:t>
      </w:r>
    </w:p>
    <w:p w:rsidR="009E26F4" w:rsidRPr="00467F9C" w:rsidRDefault="009E26F4" w:rsidP="00191861">
      <w:pPr>
        <w:autoSpaceDE w:val="0"/>
        <w:autoSpaceDN w:val="0"/>
        <w:adjustRightInd w:val="0"/>
        <w:ind w:firstLine="709"/>
        <w:jc w:val="right"/>
        <w:rPr>
          <w:sz w:val="28"/>
          <w:szCs w:val="28"/>
        </w:rPr>
      </w:pPr>
      <w:r w:rsidRPr="00467F9C">
        <w:rPr>
          <w:sz w:val="28"/>
          <w:szCs w:val="28"/>
        </w:rPr>
        <w:t>(тыс. рублей)</w:t>
      </w:r>
    </w:p>
    <w:tbl>
      <w:tblPr>
        <w:tblW w:w="9921" w:type="dxa"/>
        <w:tblLook w:val="04A0" w:firstRow="1" w:lastRow="0" w:firstColumn="1" w:lastColumn="0" w:noHBand="0" w:noVBand="1"/>
      </w:tblPr>
      <w:tblGrid>
        <w:gridCol w:w="6658"/>
        <w:gridCol w:w="1559"/>
        <w:gridCol w:w="1704"/>
      </w:tblGrid>
      <w:tr w:rsidR="009E26F4" w:rsidRPr="00C53844" w:rsidTr="00C53844">
        <w:trPr>
          <w:trHeight w:val="495"/>
          <w:tblHeader/>
        </w:trPr>
        <w:tc>
          <w:tcPr>
            <w:tcW w:w="6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Наименование показателя</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E26F4" w:rsidRPr="00C53844" w:rsidRDefault="009E26F4" w:rsidP="00191861">
            <w:pPr>
              <w:jc w:val="center"/>
              <w:rPr>
                <w:sz w:val="20"/>
                <w:szCs w:val="20"/>
              </w:rPr>
            </w:pPr>
            <w:r w:rsidRPr="00C53844">
              <w:rPr>
                <w:sz w:val="20"/>
                <w:szCs w:val="20"/>
              </w:rPr>
              <w:t>2020 год</w:t>
            </w:r>
          </w:p>
        </w:tc>
        <w:tc>
          <w:tcPr>
            <w:tcW w:w="1704" w:type="dxa"/>
            <w:tcBorders>
              <w:top w:val="single" w:sz="4" w:space="0" w:color="auto"/>
              <w:left w:val="nil"/>
              <w:bottom w:val="single" w:sz="4" w:space="0" w:color="auto"/>
              <w:right w:val="single" w:sz="4" w:space="0" w:color="auto"/>
            </w:tcBorders>
            <w:shd w:val="clear" w:color="auto" w:fill="auto"/>
            <w:noWrap/>
            <w:vAlign w:val="center"/>
            <w:hideMark/>
          </w:tcPr>
          <w:p w:rsidR="009E26F4" w:rsidRPr="00C53844" w:rsidRDefault="009E26F4" w:rsidP="00191861">
            <w:pPr>
              <w:jc w:val="center"/>
              <w:rPr>
                <w:sz w:val="20"/>
                <w:szCs w:val="20"/>
              </w:rPr>
            </w:pPr>
            <w:r w:rsidRPr="00C53844">
              <w:rPr>
                <w:sz w:val="20"/>
                <w:szCs w:val="20"/>
              </w:rPr>
              <w:t>2021 год</w:t>
            </w:r>
          </w:p>
        </w:tc>
      </w:tr>
      <w:tr w:rsidR="009E26F4" w:rsidRPr="00C53844" w:rsidTr="00C53844">
        <w:trPr>
          <w:trHeight w:val="224"/>
          <w:tblHeader/>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rsidR="009E26F4" w:rsidRPr="00C53844" w:rsidRDefault="009E26F4" w:rsidP="00191861">
            <w:pPr>
              <w:jc w:val="center"/>
              <w:rPr>
                <w:sz w:val="20"/>
                <w:szCs w:val="20"/>
              </w:rPr>
            </w:pPr>
            <w:r w:rsidRPr="00C53844">
              <w:rPr>
                <w:sz w:val="20"/>
                <w:szCs w:val="20"/>
              </w:rPr>
              <w:t>2</w:t>
            </w:r>
          </w:p>
        </w:tc>
        <w:tc>
          <w:tcPr>
            <w:tcW w:w="1704" w:type="dxa"/>
            <w:tcBorders>
              <w:top w:val="nil"/>
              <w:left w:val="nil"/>
              <w:bottom w:val="single" w:sz="4" w:space="0" w:color="auto"/>
              <w:right w:val="single" w:sz="4" w:space="0" w:color="auto"/>
            </w:tcBorders>
            <w:shd w:val="clear" w:color="auto" w:fill="auto"/>
            <w:noWrap/>
            <w:vAlign w:val="center"/>
            <w:hideMark/>
          </w:tcPr>
          <w:p w:rsidR="009E26F4" w:rsidRPr="00C53844" w:rsidRDefault="009E26F4" w:rsidP="00191861">
            <w:pPr>
              <w:jc w:val="center"/>
              <w:rPr>
                <w:sz w:val="20"/>
                <w:szCs w:val="20"/>
              </w:rPr>
            </w:pPr>
            <w:r w:rsidRPr="00C53844">
              <w:rPr>
                <w:sz w:val="20"/>
                <w:szCs w:val="20"/>
              </w:rPr>
              <w:t>3</w:t>
            </w:r>
          </w:p>
        </w:tc>
      </w:tr>
      <w:tr w:rsidR="009E26F4" w:rsidRPr="00C53844" w:rsidTr="00C53844">
        <w:trPr>
          <w:trHeight w:val="412"/>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b/>
                <w:bCs/>
                <w:sz w:val="20"/>
                <w:szCs w:val="20"/>
              </w:rPr>
            </w:pPr>
            <w:r w:rsidRPr="00C53844">
              <w:rPr>
                <w:b/>
                <w:bCs/>
                <w:sz w:val="20"/>
                <w:szCs w:val="20"/>
              </w:rPr>
              <w:t>Государственный долг Чукотского автономного округа (ГД), в том числе:</w:t>
            </w:r>
          </w:p>
        </w:tc>
        <w:tc>
          <w:tcPr>
            <w:tcW w:w="1559" w:type="dxa"/>
            <w:tcBorders>
              <w:top w:val="nil"/>
              <w:left w:val="nil"/>
              <w:bottom w:val="single" w:sz="4" w:space="0" w:color="auto"/>
              <w:right w:val="single" w:sz="4" w:space="0" w:color="auto"/>
            </w:tcBorders>
            <w:shd w:val="clear" w:color="auto" w:fill="auto"/>
            <w:noWrap/>
            <w:vAlign w:val="center"/>
            <w:hideMark/>
          </w:tcPr>
          <w:p w:rsidR="009E26F4" w:rsidRPr="00C53844" w:rsidRDefault="009E26F4" w:rsidP="00191861">
            <w:pPr>
              <w:jc w:val="right"/>
              <w:rPr>
                <w:b/>
                <w:bCs/>
                <w:sz w:val="20"/>
                <w:szCs w:val="20"/>
              </w:rPr>
            </w:pPr>
            <w:r w:rsidRPr="00C53844">
              <w:rPr>
                <w:b/>
                <w:bCs/>
                <w:sz w:val="20"/>
                <w:szCs w:val="20"/>
              </w:rPr>
              <w:t>10 249 342,7</w:t>
            </w:r>
          </w:p>
        </w:tc>
        <w:tc>
          <w:tcPr>
            <w:tcW w:w="1704" w:type="dxa"/>
            <w:tcBorders>
              <w:top w:val="nil"/>
              <w:left w:val="nil"/>
              <w:bottom w:val="single" w:sz="4" w:space="0" w:color="auto"/>
              <w:right w:val="single" w:sz="4" w:space="0" w:color="auto"/>
            </w:tcBorders>
            <w:shd w:val="clear" w:color="auto" w:fill="auto"/>
            <w:noWrap/>
            <w:vAlign w:val="center"/>
            <w:hideMark/>
          </w:tcPr>
          <w:p w:rsidR="009E26F4" w:rsidRPr="00C53844" w:rsidRDefault="009E26F4" w:rsidP="00191861">
            <w:pPr>
              <w:jc w:val="right"/>
              <w:rPr>
                <w:b/>
                <w:bCs/>
                <w:sz w:val="20"/>
                <w:szCs w:val="20"/>
              </w:rPr>
            </w:pPr>
            <w:r w:rsidRPr="00C53844">
              <w:rPr>
                <w:b/>
                <w:bCs/>
                <w:sz w:val="20"/>
                <w:szCs w:val="20"/>
              </w:rPr>
              <w:t>9 682 712,5</w:t>
            </w:r>
          </w:p>
        </w:tc>
      </w:tr>
      <w:tr w:rsidR="009E26F4" w:rsidRPr="00C53844" w:rsidTr="00C53844">
        <w:trPr>
          <w:trHeight w:val="264"/>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sz w:val="20"/>
                <w:szCs w:val="20"/>
              </w:rPr>
            </w:pPr>
            <w:r w:rsidRPr="00C53844">
              <w:rPr>
                <w:sz w:val="20"/>
                <w:szCs w:val="20"/>
              </w:rPr>
              <w:t>долг по кредитам, полученным из федерального бюджета</w:t>
            </w:r>
          </w:p>
        </w:tc>
        <w:tc>
          <w:tcPr>
            <w:tcW w:w="1559" w:type="dxa"/>
            <w:tcBorders>
              <w:top w:val="nil"/>
              <w:left w:val="nil"/>
              <w:bottom w:val="single" w:sz="4" w:space="0" w:color="auto"/>
              <w:right w:val="single" w:sz="4" w:space="0" w:color="auto"/>
            </w:tcBorders>
            <w:shd w:val="clear" w:color="auto" w:fill="auto"/>
            <w:noWrap/>
            <w:vAlign w:val="center"/>
            <w:hideMark/>
          </w:tcPr>
          <w:p w:rsidR="009E26F4" w:rsidRPr="00C53844" w:rsidRDefault="009E26F4" w:rsidP="00191861">
            <w:pPr>
              <w:jc w:val="right"/>
              <w:rPr>
                <w:sz w:val="20"/>
                <w:szCs w:val="20"/>
              </w:rPr>
            </w:pPr>
            <w:r w:rsidRPr="00C53844">
              <w:rPr>
                <w:sz w:val="20"/>
                <w:szCs w:val="20"/>
              </w:rPr>
              <w:t>8 399 342,7</w:t>
            </w:r>
          </w:p>
        </w:tc>
        <w:tc>
          <w:tcPr>
            <w:tcW w:w="1704" w:type="dxa"/>
            <w:tcBorders>
              <w:top w:val="nil"/>
              <w:left w:val="nil"/>
              <w:bottom w:val="single" w:sz="4" w:space="0" w:color="auto"/>
              <w:right w:val="single" w:sz="4" w:space="0" w:color="auto"/>
            </w:tcBorders>
            <w:shd w:val="clear" w:color="auto" w:fill="auto"/>
            <w:noWrap/>
            <w:vAlign w:val="center"/>
            <w:hideMark/>
          </w:tcPr>
          <w:p w:rsidR="009E26F4" w:rsidRPr="00C53844" w:rsidRDefault="009E26F4" w:rsidP="00191861">
            <w:pPr>
              <w:jc w:val="right"/>
              <w:rPr>
                <w:sz w:val="20"/>
                <w:szCs w:val="20"/>
              </w:rPr>
            </w:pPr>
            <w:r w:rsidRPr="00C53844">
              <w:rPr>
                <w:sz w:val="20"/>
                <w:szCs w:val="20"/>
              </w:rPr>
              <w:t>7 932 712,5</w:t>
            </w:r>
          </w:p>
        </w:tc>
      </w:tr>
      <w:tr w:rsidR="009E26F4" w:rsidRPr="00C53844" w:rsidTr="00C53844">
        <w:trPr>
          <w:trHeight w:val="300"/>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sz w:val="20"/>
                <w:szCs w:val="20"/>
              </w:rPr>
            </w:pPr>
            <w:r w:rsidRPr="00C53844">
              <w:rPr>
                <w:sz w:val="20"/>
                <w:szCs w:val="20"/>
              </w:rPr>
              <w:t>предоставленные гарантии (ГГ)</w:t>
            </w:r>
          </w:p>
        </w:tc>
        <w:tc>
          <w:tcPr>
            <w:tcW w:w="1559" w:type="dxa"/>
            <w:tcBorders>
              <w:top w:val="nil"/>
              <w:left w:val="nil"/>
              <w:bottom w:val="single" w:sz="4" w:space="0" w:color="auto"/>
              <w:right w:val="single" w:sz="4" w:space="0" w:color="auto"/>
            </w:tcBorders>
            <w:shd w:val="clear" w:color="auto" w:fill="auto"/>
            <w:noWrap/>
            <w:vAlign w:val="center"/>
            <w:hideMark/>
          </w:tcPr>
          <w:p w:rsidR="009E26F4" w:rsidRPr="00C53844" w:rsidRDefault="009E26F4" w:rsidP="00191861">
            <w:pPr>
              <w:jc w:val="right"/>
              <w:rPr>
                <w:sz w:val="20"/>
                <w:szCs w:val="20"/>
              </w:rPr>
            </w:pPr>
            <w:r w:rsidRPr="00C53844">
              <w:rPr>
                <w:sz w:val="20"/>
                <w:szCs w:val="20"/>
              </w:rPr>
              <w:t>1 850 000,0</w:t>
            </w:r>
          </w:p>
        </w:tc>
        <w:tc>
          <w:tcPr>
            <w:tcW w:w="1704" w:type="dxa"/>
            <w:tcBorders>
              <w:top w:val="nil"/>
              <w:left w:val="nil"/>
              <w:bottom w:val="single" w:sz="4" w:space="0" w:color="auto"/>
              <w:right w:val="single" w:sz="4" w:space="0" w:color="auto"/>
            </w:tcBorders>
            <w:shd w:val="clear" w:color="auto" w:fill="auto"/>
            <w:noWrap/>
            <w:vAlign w:val="center"/>
            <w:hideMark/>
          </w:tcPr>
          <w:p w:rsidR="009E26F4" w:rsidRPr="00C53844" w:rsidRDefault="009E26F4" w:rsidP="00191861">
            <w:pPr>
              <w:jc w:val="right"/>
              <w:rPr>
                <w:sz w:val="20"/>
                <w:szCs w:val="20"/>
              </w:rPr>
            </w:pPr>
            <w:r w:rsidRPr="00C53844">
              <w:rPr>
                <w:sz w:val="20"/>
                <w:szCs w:val="20"/>
              </w:rPr>
              <w:t>1 750 000,0</w:t>
            </w:r>
          </w:p>
        </w:tc>
      </w:tr>
      <w:tr w:rsidR="009E26F4" w:rsidRPr="00C53844" w:rsidTr="00C53844">
        <w:trPr>
          <w:trHeight w:val="306"/>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b/>
                <w:bCs/>
                <w:sz w:val="20"/>
                <w:szCs w:val="20"/>
              </w:rPr>
            </w:pPr>
            <w:r w:rsidRPr="00C53844">
              <w:rPr>
                <w:b/>
                <w:bCs/>
                <w:sz w:val="20"/>
                <w:szCs w:val="20"/>
              </w:rPr>
              <w:t>Доходы окружного бюджета без учета безвозмездных поступлений (Д)</w:t>
            </w:r>
          </w:p>
        </w:tc>
        <w:tc>
          <w:tcPr>
            <w:tcW w:w="1559" w:type="dxa"/>
            <w:tcBorders>
              <w:top w:val="nil"/>
              <w:left w:val="nil"/>
              <w:bottom w:val="single" w:sz="4" w:space="0" w:color="auto"/>
              <w:right w:val="single" w:sz="4" w:space="0" w:color="auto"/>
            </w:tcBorders>
            <w:shd w:val="clear" w:color="auto" w:fill="auto"/>
            <w:noWrap/>
            <w:vAlign w:val="center"/>
            <w:hideMark/>
          </w:tcPr>
          <w:p w:rsidR="009E26F4" w:rsidRPr="00C53844" w:rsidRDefault="009E26F4" w:rsidP="00191861">
            <w:pPr>
              <w:jc w:val="right"/>
              <w:rPr>
                <w:b/>
                <w:bCs/>
                <w:sz w:val="20"/>
                <w:szCs w:val="20"/>
              </w:rPr>
            </w:pPr>
            <w:r w:rsidRPr="00C53844">
              <w:rPr>
                <w:b/>
                <w:bCs/>
                <w:sz w:val="20"/>
                <w:szCs w:val="20"/>
              </w:rPr>
              <w:t>22 570 430,2</w:t>
            </w:r>
          </w:p>
        </w:tc>
        <w:tc>
          <w:tcPr>
            <w:tcW w:w="1704" w:type="dxa"/>
            <w:tcBorders>
              <w:top w:val="nil"/>
              <w:left w:val="nil"/>
              <w:bottom w:val="single" w:sz="4" w:space="0" w:color="auto"/>
              <w:right w:val="single" w:sz="4" w:space="0" w:color="auto"/>
            </w:tcBorders>
            <w:shd w:val="clear" w:color="auto" w:fill="auto"/>
            <w:noWrap/>
            <w:vAlign w:val="center"/>
            <w:hideMark/>
          </w:tcPr>
          <w:p w:rsidR="009E26F4" w:rsidRPr="00C53844" w:rsidRDefault="009E26F4" w:rsidP="00191861">
            <w:pPr>
              <w:jc w:val="right"/>
              <w:rPr>
                <w:b/>
                <w:bCs/>
                <w:sz w:val="20"/>
                <w:szCs w:val="20"/>
              </w:rPr>
            </w:pPr>
            <w:r w:rsidRPr="00C53844">
              <w:rPr>
                <w:b/>
                <w:bCs/>
                <w:sz w:val="20"/>
                <w:szCs w:val="20"/>
              </w:rPr>
              <w:t>20 231 435,5</w:t>
            </w:r>
          </w:p>
        </w:tc>
      </w:tr>
      <w:tr w:rsidR="009E26F4" w:rsidRPr="00C53844" w:rsidTr="00C53844">
        <w:trPr>
          <w:trHeight w:val="78"/>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9E26F4" w:rsidRDefault="009E26F4" w:rsidP="00191861">
            <w:pPr>
              <w:rPr>
                <w:sz w:val="20"/>
                <w:szCs w:val="20"/>
              </w:rPr>
            </w:pPr>
            <w:r w:rsidRPr="00C53844">
              <w:rPr>
                <w:sz w:val="20"/>
                <w:szCs w:val="20"/>
              </w:rPr>
              <w:t>Коэффициент долговой нагрузки окружного бюджета (без учета предоставленных гарантий) (ГД - ГГ)/Д*100%</w:t>
            </w:r>
          </w:p>
          <w:p w:rsidR="00C53844" w:rsidRPr="00C53844" w:rsidRDefault="00C53844" w:rsidP="00191861">
            <w:pPr>
              <w:rPr>
                <w:sz w:val="4"/>
                <w:szCs w:val="4"/>
              </w:rPr>
            </w:pPr>
          </w:p>
        </w:tc>
        <w:tc>
          <w:tcPr>
            <w:tcW w:w="1559" w:type="dxa"/>
            <w:tcBorders>
              <w:top w:val="nil"/>
              <w:left w:val="nil"/>
              <w:bottom w:val="single" w:sz="4" w:space="0" w:color="auto"/>
              <w:right w:val="single" w:sz="4" w:space="0" w:color="auto"/>
            </w:tcBorders>
            <w:shd w:val="clear" w:color="auto" w:fill="auto"/>
            <w:noWrap/>
            <w:vAlign w:val="center"/>
            <w:hideMark/>
          </w:tcPr>
          <w:p w:rsidR="009E26F4" w:rsidRPr="00C53844" w:rsidRDefault="009E26F4" w:rsidP="00191861">
            <w:pPr>
              <w:jc w:val="center"/>
              <w:rPr>
                <w:sz w:val="20"/>
                <w:szCs w:val="20"/>
              </w:rPr>
            </w:pPr>
            <w:r w:rsidRPr="00C53844">
              <w:rPr>
                <w:sz w:val="20"/>
                <w:szCs w:val="20"/>
              </w:rPr>
              <w:t>0,4</w:t>
            </w:r>
          </w:p>
        </w:tc>
        <w:tc>
          <w:tcPr>
            <w:tcW w:w="1704" w:type="dxa"/>
            <w:tcBorders>
              <w:top w:val="nil"/>
              <w:left w:val="nil"/>
              <w:bottom w:val="single" w:sz="4" w:space="0" w:color="auto"/>
              <w:right w:val="single" w:sz="4" w:space="0" w:color="auto"/>
            </w:tcBorders>
            <w:shd w:val="clear" w:color="auto" w:fill="auto"/>
            <w:noWrap/>
            <w:vAlign w:val="center"/>
            <w:hideMark/>
          </w:tcPr>
          <w:p w:rsidR="009E26F4" w:rsidRPr="00C53844" w:rsidRDefault="009E26F4" w:rsidP="00191861">
            <w:pPr>
              <w:jc w:val="center"/>
              <w:rPr>
                <w:sz w:val="20"/>
                <w:szCs w:val="20"/>
              </w:rPr>
            </w:pPr>
            <w:r w:rsidRPr="00C53844">
              <w:rPr>
                <w:sz w:val="20"/>
                <w:szCs w:val="20"/>
              </w:rPr>
              <w:t>0,4</w:t>
            </w:r>
          </w:p>
        </w:tc>
      </w:tr>
    </w:tbl>
    <w:p w:rsidR="009E26F4" w:rsidRPr="00467F9C" w:rsidRDefault="009E26F4" w:rsidP="00191861">
      <w:pPr>
        <w:autoSpaceDE w:val="0"/>
        <w:autoSpaceDN w:val="0"/>
        <w:adjustRightInd w:val="0"/>
        <w:spacing w:before="120"/>
        <w:ind w:firstLine="709"/>
        <w:jc w:val="both"/>
        <w:rPr>
          <w:sz w:val="28"/>
          <w:szCs w:val="28"/>
        </w:rPr>
      </w:pPr>
      <w:r w:rsidRPr="00467F9C">
        <w:rPr>
          <w:sz w:val="28"/>
          <w:szCs w:val="28"/>
        </w:rPr>
        <w:t>В 2021 году коэффициент долговой нагрузки окружного бюджета (без учета предоставленных гарантий) остался на уровне 2020 года и составил 0,4%.</w:t>
      </w:r>
    </w:p>
    <w:p w:rsidR="009E26F4" w:rsidRPr="00467F9C" w:rsidRDefault="009E26F4" w:rsidP="00191861">
      <w:pPr>
        <w:ind w:firstLine="709"/>
        <w:jc w:val="both"/>
        <w:rPr>
          <w:sz w:val="28"/>
          <w:szCs w:val="28"/>
        </w:rPr>
      </w:pPr>
      <w:r w:rsidRPr="00467F9C">
        <w:rPr>
          <w:sz w:val="28"/>
          <w:szCs w:val="28"/>
        </w:rPr>
        <w:t>На конец отчетного периода объем долговых обязательств Чукотского автономного округа по бюджетным кредитам уменьшился на 466 630,2 тыс. рублей и составил 7 932 712,5 тыс. рублей</w:t>
      </w:r>
      <w:r w:rsidRPr="00467F9C">
        <w:rPr>
          <w:bCs/>
          <w:sz w:val="28"/>
          <w:szCs w:val="28"/>
        </w:rPr>
        <w:t xml:space="preserve">. </w:t>
      </w:r>
      <w:r w:rsidRPr="00467F9C">
        <w:rPr>
          <w:sz w:val="28"/>
          <w:szCs w:val="28"/>
        </w:rPr>
        <w:t>Просроченная задолженность по кредитам, полученным из федерального бюджета, отсутствует.</w:t>
      </w:r>
    </w:p>
    <w:p w:rsidR="009E26F4" w:rsidRPr="00467F9C" w:rsidRDefault="009E26F4" w:rsidP="00191861">
      <w:pPr>
        <w:ind w:firstLine="709"/>
        <w:jc w:val="both"/>
        <w:rPr>
          <w:sz w:val="28"/>
          <w:szCs w:val="28"/>
        </w:rPr>
      </w:pPr>
      <w:r w:rsidRPr="00467F9C">
        <w:rPr>
          <w:sz w:val="28"/>
          <w:szCs w:val="28"/>
        </w:rPr>
        <w:t xml:space="preserve">Информация о государственных гарантиях, предоставленных Правительством Чукотского автономного округа в 2021 году, </w:t>
      </w:r>
      <w:r w:rsidRPr="00467F9C">
        <w:rPr>
          <w:rFonts w:eastAsia="Calibri"/>
          <w:sz w:val="28"/>
          <w:szCs w:val="28"/>
        </w:rPr>
        <w:t>для обеспечения исполнения обязательств по кредитам, отражена</w:t>
      </w:r>
      <w:r w:rsidRPr="00467F9C">
        <w:rPr>
          <w:sz w:val="28"/>
          <w:szCs w:val="28"/>
        </w:rPr>
        <w:t xml:space="preserve"> в таблице №28.</w:t>
      </w:r>
    </w:p>
    <w:p w:rsidR="009E26F4" w:rsidRPr="00467F9C" w:rsidRDefault="009E26F4" w:rsidP="00191861">
      <w:pPr>
        <w:ind w:firstLine="709"/>
        <w:jc w:val="right"/>
        <w:rPr>
          <w:sz w:val="28"/>
          <w:szCs w:val="28"/>
        </w:rPr>
      </w:pPr>
      <w:r w:rsidRPr="00467F9C">
        <w:rPr>
          <w:sz w:val="28"/>
          <w:szCs w:val="28"/>
        </w:rPr>
        <w:t>Таблица №28</w:t>
      </w:r>
    </w:p>
    <w:p w:rsidR="009E26F4" w:rsidRPr="00467F9C" w:rsidRDefault="009E26F4" w:rsidP="00191861">
      <w:pPr>
        <w:ind w:firstLine="709"/>
        <w:jc w:val="right"/>
        <w:rPr>
          <w:sz w:val="28"/>
          <w:szCs w:val="28"/>
        </w:rPr>
      </w:pPr>
      <w:r w:rsidRPr="00467F9C">
        <w:rPr>
          <w:sz w:val="28"/>
          <w:szCs w:val="28"/>
        </w:rPr>
        <w:t>(тыс. рублей)</w:t>
      </w:r>
    </w:p>
    <w:tbl>
      <w:tblPr>
        <w:tblW w:w="9878" w:type="dxa"/>
        <w:tblInd w:w="-5" w:type="dxa"/>
        <w:tblLook w:val="04A0" w:firstRow="1" w:lastRow="0" w:firstColumn="1" w:lastColumn="0" w:noHBand="0" w:noVBand="1"/>
      </w:tblPr>
      <w:tblGrid>
        <w:gridCol w:w="2822"/>
        <w:gridCol w:w="2214"/>
        <w:gridCol w:w="1506"/>
        <w:gridCol w:w="1255"/>
        <w:gridCol w:w="2081"/>
      </w:tblGrid>
      <w:tr w:rsidR="009E26F4" w:rsidRPr="00C53844" w:rsidTr="00C53844">
        <w:trPr>
          <w:trHeight w:val="601"/>
          <w:tblHeader/>
        </w:trPr>
        <w:tc>
          <w:tcPr>
            <w:tcW w:w="2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Наименование заемщика</w:t>
            </w:r>
          </w:p>
        </w:tc>
        <w:tc>
          <w:tcPr>
            <w:tcW w:w="2214" w:type="dxa"/>
            <w:tcBorders>
              <w:top w:val="single" w:sz="4" w:space="0" w:color="auto"/>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 xml:space="preserve">Остаток </w:t>
            </w:r>
            <w:r w:rsidRPr="00C53844">
              <w:rPr>
                <w:sz w:val="20"/>
                <w:szCs w:val="20"/>
              </w:rPr>
              <w:br/>
              <w:t>на 1 января 2021 года</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 xml:space="preserve">Предоставлено </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Погашено</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 xml:space="preserve">Остаток </w:t>
            </w:r>
            <w:r w:rsidRPr="00C53844">
              <w:rPr>
                <w:sz w:val="20"/>
                <w:szCs w:val="20"/>
              </w:rPr>
              <w:br/>
              <w:t>на 1 января 2022 года</w:t>
            </w:r>
          </w:p>
        </w:tc>
      </w:tr>
      <w:tr w:rsidR="009E26F4" w:rsidRPr="00C53844" w:rsidTr="00C53844">
        <w:trPr>
          <w:trHeight w:val="218"/>
          <w:tblHeader/>
        </w:trPr>
        <w:tc>
          <w:tcPr>
            <w:tcW w:w="2822"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1</w:t>
            </w:r>
          </w:p>
        </w:tc>
        <w:tc>
          <w:tcPr>
            <w:tcW w:w="221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2</w:t>
            </w:r>
          </w:p>
        </w:tc>
        <w:tc>
          <w:tcPr>
            <w:tcW w:w="1506"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3</w:t>
            </w:r>
          </w:p>
        </w:tc>
        <w:tc>
          <w:tcPr>
            <w:tcW w:w="1255"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4</w:t>
            </w:r>
          </w:p>
        </w:tc>
        <w:tc>
          <w:tcPr>
            <w:tcW w:w="208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5</w:t>
            </w:r>
          </w:p>
        </w:tc>
      </w:tr>
      <w:tr w:rsidR="009E26F4" w:rsidRPr="00C53844" w:rsidTr="00C53844">
        <w:trPr>
          <w:trHeight w:val="18"/>
          <w:tblHeader/>
        </w:trPr>
        <w:tc>
          <w:tcPr>
            <w:tcW w:w="2822"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b/>
                <w:bCs/>
                <w:sz w:val="20"/>
                <w:szCs w:val="20"/>
              </w:rPr>
            </w:pPr>
            <w:r w:rsidRPr="00C53844">
              <w:rPr>
                <w:b/>
                <w:bCs/>
                <w:sz w:val="20"/>
                <w:szCs w:val="20"/>
              </w:rPr>
              <w:t>Государственные гарантии</w:t>
            </w:r>
          </w:p>
        </w:tc>
        <w:tc>
          <w:tcPr>
            <w:tcW w:w="221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b/>
                <w:bCs/>
                <w:sz w:val="20"/>
                <w:szCs w:val="20"/>
              </w:rPr>
            </w:pPr>
            <w:r w:rsidRPr="00C53844">
              <w:rPr>
                <w:b/>
                <w:bCs/>
                <w:sz w:val="20"/>
                <w:szCs w:val="20"/>
              </w:rPr>
              <w:t>1 850 000,0</w:t>
            </w:r>
          </w:p>
        </w:tc>
        <w:tc>
          <w:tcPr>
            <w:tcW w:w="1506"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b/>
                <w:bCs/>
                <w:sz w:val="20"/>
                <w:szCs w:val="20"/>
              </w:rPr>
            </w:pPr>
            <w:r w:rsidRPr="00C53844">
              <w:rPr>
                <w:b/>
                <w:bCs/>
                <w:sz w:val="20"/>
                <w:szCs w:val="20"/>
              </w:rPr>
              <w:t>2 313 895,1</w:t>
            </w:r>
          </w:p>
        </w:tc>
        <w:tc>
          <w:tcPr>
            <w:tcW w:w="1255"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b/>
                <w:bCs/>
                <w:sz w:val="20"/>
                <w:szCs w:val="20"/>
              </w:rPr>
            </w:pPr>
            <w:r w:rsidRPr="00C53844">
              <w:rPr>
                <w:b/>
                <w:bCs/>
                <w:sz w:val="20"/>
                <w:szCs w:val="20"/>
              </w:rPr>
              <w:t>2 413 895,1</w:t>
            </w:r>
          </w:p>
        </w:tc>
        <w:tc>
          <w:tcPr>
            <w:tcW w:w="208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b/>
                <w:bCs/>
                <w:sz w:val="20"/>
                <w:szCs w:val="20"/>
              </w:rPr>
            </w:pPr>
            <w:r w:rsidRPr="00C53844">
              <w:rPr>
                <w:b/>
                <w:bCs/>
                <w:sz w:val="20"/>
                <w:szCs w:val="20"/>
              </w:rPr>
              <w:t>1 750 000,0</w:t>
            </w:r>
          </w:p>
        </w:tc>
      </w:tr>
      <w:tr w:rsidR="009E26F4" w:rsidRPr="00C53844" w:rsidTr="00C53844">
        <w:trPr>
          <w:trHeight w:val="18"/>
          <w:tblHeader/>
        </w:trPr>
        <w:tc>
          <w:tcPr>
            <w:tcW w:w="2822"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sz w:val="20"/>
                <w:szCs w:val="20"/>
              </w:rPr>
            </w:pPr>
            <w:r w:rsidRPr="00C53844">
              <w:rPr>
                <w:sz w:val="20"/>
                <w:szCs w:val="20"/>
              </w:rPr>
              <w:t xml:space="preserve">АО </w:t>
            </w:r>
            <w:proofErr w:type="spellStart"/>
            <w:r w:rsidRPr="00C53844">
              <w:rPr>
                <w:sz w:val="20"/>
                <w:szCs w:val="20"/>
              </w:rPr>
              <w:t>Чукотснаб</w:t>
            </w:r>
            <w:proofErr w:type="spellEnd"/>
          </w:p>
        </w:tc>
        <w:tc>
          <w:tcPr>
            <w:tcW w:w="221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 </w:t>
            </w:r>
          </w:p>
        </w:tc>
        <w:tc>
          <w:tcPr>
            <w:tcW w:w="1506"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2 000 000,0</w:t>
            </w:r>
          </w:p>
        </w:tc>
        <w:tc>
          <w:tcPr>
            <w:tcW w:w="1255"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2 000 000,0</w:t>
            </w:r>
          </w:p>
        </w:tc>
        <w:tc>
          <w:tcPr>
            <w:tcW w:w="208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b/>
                <w:bCs/>
                <w:sz w:val="20"/>
                <w:szCs w:val="20"/>
              </w:rPr>
            </w:pPr>
            <w:r w:rsidRPr="00C53844">
              <w:rPr>
                <w:b/>
                <w:bCs/>
                <w:sz w:val="20"/>
                <w:szCs w:val="20"/>
              </w:rPr>
              <w:t xml:space="preserve"> -    </w:t>
            </w:r>
          </w:p>
        </w:tc>
      </w:tr>
      <w:tr w:rsidR="009E26F4" w:rsidRPr="00C53844" w:rsidTr="00C53844">
        <w:trPr>
          <w:trHeight w:val="18"/>
          <w:tblHeader/>
        </w:trPr>
        <w:tc>
          <w:tcPr>
            <w:tcW w:w="2822"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sz w:val="20"/>
                <w:szCs w:val="20"/>
              </w:rPr>
            </w:pPr>
            <w:r w:rsidRPr="00C53844">
              <w:rPr>
                <w:sz w:val="20"/>
                <w:szCs w:val="20"/>
              </w:rPr>
              <w:t>НАО ЧТК</w:t>
            </w:r>
          </w:p>
        </w:tc>
        <w:tc>
          <w:tcPr>
            <w:tcW w:w="221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1 750 000,0</w:t>
            </w:r>
          </w:p>
        </w:tc>
        <w:tc>
          <w:tcPr>
            <w:tcW w:w="1506"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200 000,0</w:t>
            </w:r>
          </w:p>
        </w:tc>
        <w:tc>
          <w:tcPr>
            <w:tcW w:w="1255"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200 000,0</w:t>
            </w:r>
          </w:p>
        </w:tc>
        <w:tc>
          <w:tcPr>
            <w:tcW w:w="208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bCs/>
                <w:sz w:val="20"/>
                <w:szCs w:val="20"/>
              </w:rPr>
            </w:pPr>
            <w:r w:rsidRPr="00C53844">
              <w:rPr>
                <w:bCs/>
                <w:sz w:val="20"/>
                <w:szCs w:val="20"/>
              </w:rPr>
              <w:t>1 750 000,0</w:t>
            </w:r>
          </w:p>
        </w:tc>
      </w:tr>
      <w:tr w:rsidR="009E26F4" w:rsidRPr="00C53844" w:rsidTr="00C53844">
        <w:trPr>
          <w:trHeight w:val="18"/>
          <w:tblHeader/>
        </w:trPr>
        <w:tc>
          <w:tcPr>
            <w:tcW w:w="2822"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sz w:val="20"/>
                <w:szCs w:val="20"/>
              </w:rPr>
            </w:pPr>
            <w:r w:rsidRPr="00C53844">
              <w:rPr>
                <w:sz w:val="20"/>
                <w:szCs w:val="20"/>
              </w:rPr>
              <w:t xml:space="preserve">ООО ТЦ </w:t>
            </w:r>
            <w:proofErr w:type="spellStart"/>
            <w:r w:rsidRPr="00C53844">
              <w:rPr>
                <w:sz w:val="20"/>
                <w:szCs w:val="20"/>
              </w:rPr>
              <w:t>Новомариинский</w:t>
            </w:r>
            <w:proofErr w:type="spellEnd"/>
          </w:p>
        </w:tc>
        <w:tc>
          <w:tcPr>
            <w:tcW w:w="221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100 000,0</w:t>
            </w:r>
          </w:p>
        </w:tc>
        <w:tc>
          <w:tcPr>
            <w:tcW w:w="1506"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100 000,0</w:t>
            </w:r>
          </w:p>
        </w:tc>
        <w:tc>
          <w:tcPr>
            <w:tcW w:w="1255"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 xml:space="preserve"> 200 000,0</w:t>
            </w:r>
          </w:p>
        </w:tc>
        <w:tc>
          <w:tcPr>
            <w:tcW w:w="208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b/>
                <w:bCs/>
                <w:sz w:val="20"/>
                <w:szCs w:val="20"/>
              </w:rPr>
            </w:pPr>
            <w:r w:rsidRPr="00C53844">
              <w:rPr>
                <w:b/>
                <w:bCs/>
                <w:sz w:val="20"/>
                <w:szCs w:val="20"/>
              </w:rPr>
              <w:t xml:space="preserve"> -    </w:t>
            </w:r>
          </w:p>
        </w:tc>
      </w:tr>
      <w:tr w:rsidR="009E26F4" w:rsidRPr="00C53844" w:rsidTr="00C53844">
        <w:trPr>
          <w:trHeight w:val="18"/>
          <w:tblHeader/>
        </w:trPr>
        <w:tc>
          <w:tcPr>
            <w:tcW w:w="2822"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sz w:val="20"/>
                <w:szCs w:val="20"/>
              </w:rPr>
            </w:pPr>
            <w:r w:rsidRPr="00C53844">
              <w:rPr>
                <w:sz w:val="20"/>
                <w:szCs w:val="20"/>
              </w:rPr>
              <w:t xml:space="preserve">ООО </w:t>
            </w:r>
            <w:proofErr w:type="spellStart"/>
            <w:r w:rsidRPr="00C53844">
              <w:rPr>
                <w:sz w:val="20"/>
                <w:szCs w:val="20"/>
              </w:rPr>
              <w:t>Чукотфармация</w:t>
            </w:r>
            <w:proofErr w:type="spellEnd"/>
          </w:p>
        </w:tc>
        <w:tc>
          <w:tcPr>
            <w:tcW w:w="221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 </w:t>
            </w:r>
          </w:p>
        </w:tc>
        <w:tc>
          <w:tcPr>
            <w:tcW w:w="1506"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13 895,1</w:t>
            </w:r>
          </w:p>
        </w:tc>
        <w:tc>
          <w:tcPr>
            <w:tcW w:w="1255"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13 895,1</w:t>
            </w:r>
          </w:p>
        </w:tc>
        <w:tc>
          <w:tcPr>
            <w:tcW w:w="208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b/>
                <w:bCs/>
                <w:sz w:val="20"/>
                <w:szCs w:val="20"/>
              </w:rPr>
            </w:pPr>
            <w:r w:rsidRPr="00C53844">
              <w:rPr>
                <w:b/>
                <w:bCs/>
                <w:sz w:val="20"/>
                <w:szCs w:val="20"/>
              </w:rPr>
              <w:t xml:space="preserve"> -    </w:t>
            </w:r>
          </w:p>
        </w:tc>
      </w:tr>
    </w:tbl>
    <w:p w:rsidR="009E26F4" w:rsidRPr="00467F9C" w:rsidRDefault="009E26F4" w:rsidP="00191861">
      <w:pPr>
        <w:spacing w:before="120"/>
        <w:ind w:firstLine="709"/>
        <w:jc w:val="both"/>
        <w:rPr>
          <w:rFonts w:eastAsia="Calibri"/>
          <w:sz w:val="28"/>
          <w:szCs w:val="28"/>
        </w:rPr>
      </w:pPr>
      <w:r w:rsidRPr="00467F9C">
        <w:rPr>
          <w:rFonts w:eastAsia="Calibri"/>
          <w:sz w:val="28"/>
          <w:szCs w:val="28"/>
        </w:rPr>
        <w:t xml:space="preserve">В 2021 году предоставлено пять государственных гарантий на сумму 2 313 895,1 тыс. рублей или 77,4%, установленных Программой государственных гарантий (план – 2 990 000,0 тыс. рублей) на следующие цели: </w:t>
      </w:r>
    </w:p>
    <w:p w:rsidR="009E26F4" w:rsidRPr="00467F9C" w:rsidRDefault="009E26F4" w:rsidP="00191861">
      <w:pPr>
        <w:ind w:firstLine="709"/>
        <w:jc w:val="both"/>
        <w:rPr>
          <w:sz w:val="28"/>
          <w:szCs w:val="28"/>
        </w:rPr>
      </w:pPr>
      <w:r w:rsidRPr="00467F9C">
        <w:rPr>
          <w:sz w:val="28"/>
          <w:szCs w:val="28"/>
        </w:rPr>
        <w:t xml:space="preserve">- на приобретение и доставку топлива (нефтепродуктов) – предоставлено 2 200 000,0 тыс. рублей или 79,4% установленного плана (2 770 000,0 тыс. рублей) (АО </w:t>
      </w:r>
      <w:proofErr w:type="spellStart"/>
      <w:r w:rsidRPr="00467F9C">
        <w:rPr>
          <w:sz w:val="28"/>
          <w:szCs w:val="28"/>
        </w:rPr>
        <w:t>Чукотснаб</w:t>
      </w:r>
      <w:proofErr w:type="spellEnd"/>
      <w:r w:rsidRPr="00467F9C">
        <w:rPr>
          <w:sz w:val="28"/>
          <w:szCs w:val="28"/>
        </w:rPr>
        <w:t>, НАО ЧТК);</w:t>
      </w:r>
    </w:p>
    <w:p w:rsidR="009E26F4" w:rsidRPr="00467F9C" w:rsidRDefault="009E26F4" w:rsidP="00191861">
      <w:pPr>
        <w:ind w:firstLine="709"/>
        <w:jc w:val="both"/>
        <w:rPr>
          <w:bCs/>
          <w:sz w:val="28"/>
          <w:szCs w:val="28"/>
        </w:rPr>
      </w:pPr>
      <w:r w:rsidRPr="00467F9C">
        <w:rPr>
          <w:sz w:val="28"/>
          <w:szCs w:val="28"/>
        </w:rPr>
        <w:t>- н</w:t>
      </w:r>
      <w:r w:rsidRPr="00467F9C">
        <w:rPr>
          <w:bCs/>
          <w:sz w:val="28"/>
          <w:szCs w:val="28"/>
        </w:rPr>
        <w:t xml:space="preserve">а приобретение и доставку продовольственных товаров </w:t>
      </w:r>
      <w:r w:rsidRPr="00467F9C">
        <w:rPr>
          <w:bCs/>
          <w:sz w:val="28"/>
          <w:szCs w:val="28"/>
        </w:rPr>
        <w:br/>
        <w:t xml:space="preserve">(за исключением подакцизных товаров) – предоставлено 100 000,0 тыс. рублей или 50% установленного плана (200 000,0 тыс. рублей) (ООО ТЦ </w:t>
      </w:r>
      <w:proofErr w:type="spellStart"/>
      <w:r w:rsidRPr="00467F9C">
        <w:rPr>
          <w:bCs/>
          <w:sz w:val="28"/>
          <w:szCs w:val="28"/>
        </w:rPr>
        <w:t>Новомариинский</w:t>
      </w:r>
      <w:proofErr w:type="spellEnd"/>
      <w:r w:rsidRPr="00467F9C">
        <w:rPr>
          <w:bCs/>
          <w:sz w:val="28"/>
          <w:szCs w:val="28"/>
        </w:rPr>
        <w:t>);</w:t>
      </w:r>
    </w:p>
    <w:p w:rsidR="009E26F4" w:rsidRPr="00467F9C" w:rsidRDefault="009E26F4" w:rsidP="00191861">
      <w:pPr>
        <w:ind w:firstLine="709"/>
        <w:jc w:val="both"/>
        <w:rPr>
          <w:bCs/>
          <w:sz w:val="28"/>
          <w:szCs w:val="28"/>
        </w:rPr>
      </w:pPr>
      <w:r w:rsidRPr="00467F9C">
        <w:rPr>
          <w:bCs/>
          <w:sz w:val="28"/>
          <w:szCs w:val="28"/>
        </w:rPr>
        <w:t xml:space="preserve">- на приобретение лекарственных препаратов, изделий медицинского назначения и биологически активных добавок – предоставлено 13 895,1 тыс. рублей или 69,5% плана (20 000,0 тыс. рублей) (ООО </w:t>
      </w:r>
      <w:proofErr w:type="spellStart"/>
      <w:r w:rsidRPr="00467F9C">
        <w:rPr>
          <w:bCs/>
          <w:sz w:val="28"/>
          <w:szCs w:val="28"/>
        </w:rPr>
        <w:t>Чукотфармация</w:t>
      </w:r>
      <w:proofErr w:type="spellEnd"/>
      <w:r w:rsidRPr="00467F9C">
        <w:rPr>
          <w:bCs/>
          <w:sz w:val="28"/>
          <w:szCs w:val="28"/>
        </w:rPr>
        <w:t>).</w:t>
      </w:r>
    </w:p>
    <w:p w:rsidR="009E26F4" w:rsidRPr="00467F9C" w:rsidRDefault="009E26F4" w:rsidP="00191861">
      <w:pPr>
        <w:widowControl w:val="0"/>
        <w:ind w:right="-2" w:firstLine="709"/>
        <w:jc w:val="both"/>
        <w:rPr>
          <w:rFonts w:eastAsia="Calibri"/>
          <w:sz w:val="28"/>
          <w:szCs w:val="28"/>
        </w:rPr>
      </w:pPr>
      <w:r w:rsidRPr="00467F9C">
        <w:rPr>
          <w:sz w:val="28"/>
          <w:szCs w:val="28"/>
        </w:rPr>
        <w:t xml:space="preserve">В проверяемом периоде уменьшена задолженность фактических </w:t>
      </w:r>
      <w:r w:rsidRPr="00467F9C">
        <w:rPr>
          <w:sz w:val="28"/>
          <w:szCs w:val="28"/>
        </w:rPr>
        <w:lastRenderedPageBreak/>
        <w:t xml:space="preserve">обязательств в общей сумме 2 413 895,1 тыс. рублей по шести государственным гарантиям в связи с </w:t>
      </w:r>
      <w:r w:rsidRPr="00467F9C">
        <w:rPr>
          <w:rFonts w:eastAsia="Calibri"/>
          <w:sz w:val="28"/>
          <w:szCs w:val="28"/>
        </w:rPr>
        <w:t>исполнением принципалами обязательств перед бенефициарами и истечением срока, на который предоставлена государственная гарантия Чукотского автономного округа.</w:t>
      </w:r>
    </w:p>
    <w:p w:rsidR="009E26F4" w:rsidRPr="00467F9C" w:rsidRDefault="009E26F4" w:rsidP="00191861">
      <w:pPr>
        <w:tabs>
          <w:tab w:val="num" w:pos="0"/>
        </w:tabs>
        <w:ind w:right="-2" w:firstLine="709"/>
        <w:jc w:val="both"/>
        <w:rPr>
          <w:sz w:val="28"/>
          <w:szCs w:val="28"/>
        </w:rPr>
      </w:pPr>
      <w:r w:rsidRPr="00467F9C">
        <w:rPr>
          <w:sz w:val="28"/>
          <w:szCs w:val="28"/>
        </w:rPr>
        <w:t>Объем государственных гарантий Чукотского автономного округа за отчетный год снизился на 100 000,0 тыс. рублей и по состоянию на 1 января 2022 года составил 1 750 000,0 тыс. рублей.</w:t>
      </w:r>
    </w:p>
    <w:p w:rsidR="009E26F4" w:rsidRPr="00C53844" w:rsidRDefault="009E26F4" w:rsidP="00191861">
      <w:pPr>
        <w:autoSpaceDE w:val="0"/>
        <w:autoSpaceDN w:val="0"/>
        <w:adjustRightInd w:val="0"/>
        <w:ind w:firstLine="709"/>
        <w:jc w:val="both"/>
        <w:rPr>
          <w:sz w:val="6"/>
          <w:szCs w:val="6"/>
        </w:rPr>
      </w:pPr>
    </w:p>
    <w:p w:rsidR="009E26F4" w:rsidRPr="00467F9C" w:rsidRDefault="009E26F4" w:rsidP="00191861">
      <w:pPr>
        <w:autoSpaceDE w:val="0"/>
        <w:autoSpaceDN w:val="0"/>
        <w:adjustRightInd w:val="0"/>
        <w:ind w:firstLine="709"/>
        <w:jc w:val="both"/>
        <w:rPr>
          <w:sz w:val="28"/>
          <w:szCs w:val="28"/>
        </w:rPr>
      </w:pPr>
      <w:r w:rsidRPr="00467F9C">
        <w:rPr>
          <w:sz w:val="28"/>
          <w:szCs w:val="28"/>
        </w:rPr>
        <w:t>По состоянию на 1 января 2022 года в долговой книге отражены пени за несвоевременный возврат кредита по приобретению векселя</w:t>
      </w:r>
      <w:r w:rsidRPr="00467F9C">
        <w:rPr>
          <w:sz w:val="28"/>
          <w:szCs w:val="28"/>
          <w:vertAlign w:val="superscript"/>
        </w:rPr>
        <w:footnoteReference w:id="78"/>
      </w:r>
      <w:r w:rsidRPr="00467F9C">
        <w:rPr>
          <w:sz w:val="28"/>
          <w:szCs w:val="28"/>
        </w:rPr>
        <w:t xml:space="preserve"> в рамках мирового соглашения</w:t>
      </w:r>
      <w:r w:rsidRPr="00467F9C">
        <w:rPr>
          <w:sz w:val="28"/>
          <w:szCs w:val="28"/>
          <w:vertAlign w:val="superscript"/>
        </w:rPr>
        <w:footnoteReference w:id="79"/>
      </w:r>
      <w:r w:rsidRPr="00467F9C">
        <w:rPr>
          <w:sz w:val="28"/>
          <w:szCs w:val="28"/>
        </w:rPr>
        <w:t xml:space="preserve"> в сумме 73 689,0 тыс. рублей. Срок исполнения Правительством округа обязательств установлен 31 декабря 2025 года.</w:t>
      </w:r>
    </w:p>
    <w:p w:rsidR="009E26F4" w:rsidRPr="00467F9C" w:rsidRDefault="009E26F4" w:rsidP="00191861">
      <w:pPr>
        <w:ind w:firstLine="709"/>
        <w:jc w:val="both"/>
        <w:rPr>
          <w:sz w:val="28"/>
          <w:szCs w:val="28"/>
        </w:rPr>
      </w:pPr>
      <w:r w:rsidRPr="00467F9C">
        <w:rPr>
          <w:sz w:val="28"/>
          <w:szCs w:val="28"/>
        </w:rPr>
        <w:t>Расходы окружного бюджета на обслуживание государственного долга Чукотского автономного округа в 2021 году составили 8 359,7 тыс. рублей, и не превысили ограничения, установленные статьей 111 Бюджетного кодекса.</w:t>
      </w:r>
    </w:p>
    <w:p w:rsidR="009E26F4" w:rsidRPr="00467F9C" w:rsidRDefault="009E26F4" w:rsidP="00191861">
      <w:pPr>
        <w:ind w:firstLine="709"/>
        <w:jc w:val="both"/>
        <w:rPr>
          <w:sz w:val="28"/>
          <w:szCs w:val="28"/>
        </w:rPr>
      </w:pPr>
      <w:r w:rsidRPr="00467F9C">
        <w:rPr>
          <w:sz w:val="28"/>
          <w:szCs w:val="28"/>
        </w:rPr>
        <w:t>Объем государственного долга Чукотского автономного округа по состоянию на 1 января 2021 года обоснован и подтвержден документально.</w:t>
      </w:r>
    </w:p>
    <w:p w:rsidR="009E26F4" w:rsidRPr="00467F9C" w:rsidRDefault="009E26F4" w:rsidP="00191861">
      <w:pPr>
        <w:autoSpaceDE w:val="0"/>
        <w:autoSpaceDN w:val="0"/>
        <w:adjustRightInd w:val="0"/>
        <w:spacing w:before="240" w:after="120"/>
        <w:jc w:val="center"/>
        <w:rPr>
          <w:rFonts w:eastAsia="Calibri"/>
          <w:b/>
          <w:sz w:val="28"/>
          <w:szCs w:val="28"/>
        </w:rPr>
      </w:pPr>
      <w:r w:rsidRPr="00467F9C">
        <w:rPr>
          <w:rFonts w:eastAsia="Calibri"/>
          <w:b/>
          <w:sz w:val="28"/>
          <w:szCs w:val="28"/>
        </w:rPr>
        <w:t>8. Дебиторская и кредиторская задолженность окружного бюджета</w:t>
      </w:r>
    </w:p>
    <w:p w:rsidR="009E26F4" w:rsidRPr="00467F9C" w:rsidRDefault="009E26F4" w:rsidP="00191861">
      <w:pPr>
        <w:autoSpaceDE w:val="0"/>
        <w:autoSpaceDN w:val="0"/>
        <w:adjustRightInd w:val="0"/>
        <w:ind w:firstLine="709"/>
        <w:jc w:val="both"/>
        <w:rPr>
          <w:sz w:val="28"/>
          <w:szCs w:val="28"/>
        </w:rPr>
      </w:pPr>
      <w:r w:rsidRPr="00467F9C">
        <w:rPr>
          <w:bCs/>
          <w:sz w:val="28"/>
          <w:szCs w:val="28"/>
        </w:rPr>
        <w:t xml:space="preserve">По состоянию на 1 января 2022 года </w:t>
      </w:r>
      <w:r w:rsidRPr="00467F9C">
        <w:rPr>
          <w:b/>
          <w:bCs/>
          <w:sz w:val="28"/>
          <w:szCs w:val="28"/>
        </w:rPr>
        <w:t>дебиторская задолженность</w:t>
      </w:r>
      <w:r w:rsidRPr="00467F9C">
        <w:rPr>
          <w:bCs/>
          <w:sz w:val="28"/>
          <w:szCs w:val="28"/>
        </w:rPr>
        <w:t xml:space="preserve"> окружного бюджета снизилась</w:t>
      </w:r>
      <w:r w:rsidRPr="00467F9C">
        <w:rPr>
          <w:sz w:val="28"/>
          <w:szCs w:val="28"/>
        </w:rPr>
        <w:t xml:space="preserve"> на 41,3% или 24 739 012,7 тыс. рублей и составила 35 188 947,4 тыс. рублей. </w:t>
      </w:r>
    </w:p>
    <w:p w:rsidR="009E26F4" w:rsidRPr="00467F9C" w:rsidRDefault="009E26F4" w:rsidP="00191861">
      <w:pPr>
        <w:autoSpaceDE w:val="0"/>
        <w:autoSpaceDN w:val="0"/>
        <w:adjustRightInd w:val="0"/>
        <w:ind w:firstLine="709"/>
        <w:jc w:val="both"/>
        <w:rPr>
          <w:sz w:val="28"/>
          <w:szCs w:val="28"/>
        </w:rPr>
      </w:pPr>
      <w:r w:rsidRPr="00467F9C">
        <w:rPr>
          <w:bCs/>
          <w:sz w:val="28"/>
          <w:szCs w:val="28"/>
        </w:rPr>
        <w:t>Информация о</w:t>
      </w:r>
      <w:r w:rsidRPr="00467F9C">
        <w:rPr>
          <w:sz w:val="28"/>
          <w:szCs w:val="28"/>
        </w:rPr>
        <w:t xml:space="preserve"> дебиторской задолженности окружного бюджета представлена в таблице №29.</w:t>
      </w:r>
    </w:p>
    <w:p w:rsidR="009E26F4" w:rsidRPr="00467F9C" w:rsidRDefault="009E26F4" w:rsidP="00191861">
      <w:pPr>
        <w:widowControl w:val="0"/>
        <w:autoSpaceDE w:val="0"/>
        <w:autoSpaceDN w:val="0"/>
        <w:adjustRightInd w:val="0"/>
        <w:ind w:firstLine="709"/>
        <w:jc w:val="right"/>
        <w:rPr>
          <w:sz w:val="28"/>
          <w:szCs w:val="28"/>
        </w:rPr>
      </w:pPr>
      <w:r w:rsidRPr="00467F9C">
        <w:rPr>
          <w:sz w:val="28"/>
          <w:szCs w:val="28"/>
        </w:rPr>
        <w:t>Таблица №29</w:t>
      </w:r>
    </w:p>
    <w:p w:rsidR="009E26F4" w:rsidRPr="00467F9C" w:rsidRDefault="009E26F4" w:rsidP="00191861">
      <w:pPr>
        <w:widowControl w:val="0"/>
        <w:autoSpaceDE w:val="0"/>
        <w:autoSpaceDN w:val="0"/>
        <w:adjustRightInd w:val="0"/>
        <w:ind w:firstLine="709"/>
        <w:jc w:val="right"/>
        <w:rPr>
          <w:sz w:val="28"/>
          <w:szCs w:val="28"/>
        </w:rPr>
      </w:pPr>
      <w:r w:rsidRPr="00467F9C">
        <w:rPr>
          <w:sz w:val="28"/>
          <w:szCs w:val="28"/>
        </w:rPr>
        <w:t>(тыс. рублей)</w:t>
      </w:r>
    </w:p>
    <w:tbl>
      <w:tblPr>
        <w:tblW w:w="9925" w:type="dxa"/>
        <w:tblLook w:val="04A0" w:firstRow="1" w:lastRow="0" w:firstColumn="1" w:lastColumn="0" w:noHBand="0" w:noVBand="1"/>
      </w:tblPr>
      <w:tblGrid>
        <w:gridCol w:w="3411"/>
        <w:gridCol w:w="1737"/>
        <w:gridCol w:w="1737"/>
        <w:gridCol w:w="1757"/>
        <w:gridCol w:w="1283"/>
      </w:tblGrid>
      <w:tr w:rsidR="009E26F4" w:rsidRPr="00C53844" w:rsidTr="009E26F4">
        <w:trPr>
          <w:trHeight w:val="16"/>
          <w:tblHeader/>
        </w:trPr>
        <w:tc>
          <w:tcPr>
            <w:tcW w:w="3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E26F4" w:rsidRPr="00C53844" w:rsidRDefault="009E26F4" w:rsidP="00191861">
            <w:pPr>
              <w:jc w:val="center"/>
              <w:rPr>
                <w:sz w:val="20"/>
                <w:szCs w:val="20"/>
              </w:rPr>
            </w:pPr>
            <w:r w:rsidRPr="00C53844">
              <w:rPr>
                <w:sz w:val="20"/>
                <w:szCs w:val="20"/>
              </w:rPr>
              <w:t>Наименование показателя</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По состоянию</w:t>
            </w:r>
            <w:r w:rsidRPr="00C53844">
              <w:rPr>
                <w:sz w:val="20"/>
                <w:szCs w:val="20"/>
              </w:rPr>
              <w:br/>
              <w:t xml:space="preserve"> на 01.01.2021 г. </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По состоянию</w:t>
            </w:r>
            <w:r w:rsidRPr="00C53844">
              <w:rPr>
                <w:sz w:val="20"/>
                <w:szCs w:val="20"/>
              </w:rPr>
              <w:br/>
              <w:t xml:space="preserve"> на 01.01.2022 г.</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Изменения</w:t>
            </w:r>
          </w:p>
          <w:p w:rsidR="009E26F4" w:rsidRPr="00C53844" w:rsidRDefault="009E26F4" w:rsidP="00191861">
            <w:pPr>
              <w:jc w:val="center"/>
              <w:rPr>
                <w:sz w:val="20"/>
                <w:szCs w:val="20"/>
              </w:rPr>
            </w:pPr>
            <w:r w:rsidRPr="00C53844">
              <w:rPr>
                <w:sz w:val="20"/>
                <w:szCs w:val="20"/>
              </w:rPr>
              <w:t xml:space="preserve"> (гр. 3 - гр. 2)</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Структура, %</w:t>
            </w:r>
          </w:p>
        </w:tc>
      </w:tr>
      <w:tr w:rsidR="009E26F4" w:rsidRPr="00C53844" w:rsidTr="009E26F4">
        <w:trPr>
          <w:trHeight w:val="16"/>
          <w:tblHeader/>
        </w:trPr>
        <w:tc>
          <w:tcPr>
            <w:tcW w:w="3411" w:type="dxa"/>
            <w:tcBorders>
              <w:top w:val="nil"/>
              <w:left w:val="single" w:sz="4" w:space="0" w:color="auto"/>
              <w:bottom w:val="single" w:sz="4" w:space="0" w:color="auto"/>
              <w:right w:val="single" w:sz="4" w:space="0" w:color="auto"/>
            </w:tcBorders>
            <w:shd w:val="clear" w:color="000000" w:fill="FFFFFF"/>
            <w:vAlign w:val="center"/>
            <w:hideMark/>
          </w:tcPr>
          <w:p w:rsidR="009E26F4" w:rsidRPr="00C53844" w:rsidRDefault="009E26F4" w:rsidP="00191861">
            <w:pPr>
              <w:jc w:val="center"/>
              <w:rPr>
                <w:sz w:val="20"/>
                <w:szCs w:val="20"/>
              </w:rPr>
            </w:pPr>
            <w:r w:rsidRPr="00C53844">
              <w:rPr>
                <w:sz w:val="20"/>
                <w:szCs w:val="20"/>
              </w:rPr>
              <w:t>1</w:t>
            </w:r>
          </w:p>
        </w:tc>
        <w:tc>
          <w:tcPr>
            <w:tcW w:w="1737" w:type="dxa"/>
            <w:tcBorders>
              <w:top w:val="nil"/>
              <w:left w:val="nil"/>
              <w:bottom w:val="single" w:sz="4" w:space="0" w:color="auto"/>
              <w:right w:val="single" w:sz="4" w:space="0" w:color="auto"/>
            </w:tcBorders>
            <w:shd w:val="clear" w:color="000000" w:fill="FFFFFF"/>
            <w:vAlign w:val="center"/>
            <w:hideMark/>
          </w:tcPr>
          <w:p w:rsidR="009E26F4" w:rsidRPr="00C53844" w:rsidRDefault="009E26F4" w:rsidP="00191861">
            <w:pPr>
              <w:jc w:val="center"/>
              <w:rPr>
                <w:sz w:val="20"/>
                <w:szCs w:val="20"/>
              </w:rPr>
            </w:pPr>
            <w:r w:rsidRPr="00C53844">
              <w:rPr>
                <w:sz w:val="20"/>
                <w:szCs w:val="20"/>
              </w:rPr>
              <w:t>2</w:t>
            </w:r>
          </w:p>
        </w:tc>
        <w:tc>
          <w:tcPr>
            <w:tcW w:w="1737" w:type="dxa"/>
            <w:tcBorders>
              <w:top w:val="nil"/>
              <w:left w:val="nil"/>
              <w:bottom w:val="single" w:sz="4" w:space="0" w:color="auto"/>
              <w:right w:val="single" w:sz="4" w:space="0" w:color="auto"/>
            </w:tcBorders>
            <w:shd w:val="clear" w:color="000000" w:fill="FFFFFF"/>
            <w:vAlign w:val="center"/>
            <w:hideMark/>
          </w:tcPr>
          <w:p w:rsidR="009E26F4" w:rsidRPr="00C53844" w:rsidRDefault="009E26F4" w:rsidP="00191861">
            <w:pPr>
              <w:jc w:val="center"/>
              <w:rPr>
                <w:sz w:val="20"/>
                <w:szCs w:val="20"/>
              </w:rPr>
            </w:pPr>
            <w:r w:rsidRPr="00C53844">
              <w:rPr>
                <w:sz w:val="20"/>
                <w:szCs w:val="20"/>
              </w:rPr>
              <w:t>3</w:t>
            </w:r>
          </w:p>
        </w:tc>
        <w:tc>
          <w:tcPr>
            <w:tcW w:w="1757" w:type="dxa"/>
            <w:tcBorders>
              <w:top w:val="nil"/>
              <w:left w:val="nil"/>
              <w:bottom w:val="single" w:sz="4" w:space="0" w:color="auto"/>
              <w:right w:val="single" w:sz="4" w:space="0" w:color="auto"/>
            </w:tcBorders>
            <w:shd w:val="clear" w:color="000000" w:fill="FFFFFF"/>
            <w:vAlign w:val="center"/>
            <w:hideMark/>
          </w:tcPr>
          <w:p w:rsidR="009E26F4" w:rsidRPr="00C53844" w:rsidRDefault="009E26F4" w:rsidP="00191861">
            <w:pPr>
              <w:jc w:val="center"/>
              <w:rPr>
                <w:sz w:val="20"/>
                <w:szCs w:val="20"/>
              </w:rPr>
            </w:pPr>
            <w:r w:rsidRPr="00C53844">
              <w:rPr>
                <w:sz w:val="20"/>
                <w:szCs w:val="20"/>
              </w:rPr>
              <w:t>4</w:t>
            </w:r>
          </w:p>
        </w:tc>
        <w:tc>
          <w:tcPr>
            <w:tcW w:w="1283" w:type="dxa"/>
            <w:tcBorders>
              <w:top w:val="nil"/>
              <w:left w:val="nil"/>
              <w:bottom w:val="single" w:sz="4" w:space="0" w:color="auto"/>
              <w:right w:val="single" w:sz="4" w:space="0" w:color="auto"/>
            </w:tcBorders>
            <w:shd w:val="clear" w:color="000000" w:fill="FFFFFF"/>
            <w:vAlign w:val="center"/>
            <w:hideMark/>
          </w:tcPr>
          <w:p w:rsidR="009E26F4" w:rsidRPr="00C53844" w:rsidRDefault="009E26F4" w:rsidP="00191861">
            <w:pPr>
              <w:jc w:val="center"/>
              <w:rPr>
                <w:sz w:val="20"/>
                <w:szCs w:val="20"/>
              </w:rPr>
            </w:pPr>
            <w:r w:rsidRPr="00C53844">
              <w:rPr>
                <w:sz w:val="20"/>
                <w:szCs w:val="20"/>
              </w:rPr>
              <w:t>5</w:t>
            </w:r>
          </w:p>
        </w:tc>
      </w:tr>
      <w:tr w:rsidR="009E26F4" w:rsidRPr="00C53844" w:rsidTr="009E26F4">
        <w:trPr>
          <w:trHeight w:val="16"/>
          <w:tblHeader/>
        </w:trPr>
        <w:tc>
          <w:tcPr>
            <w:tcW w:w="3411"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b/>
                <w:bCs/>
                <w:sz w:val="20"/>
                <w:szCs w:val="20"/>
              </w:rPr>
            </w:pPr>
            <w:r w:rsidRPr="00C53844">
              <w:rPr>
                <w:b/>
                <w:bCs/>
                <w:sz w:val="20"/>
                <w:szCs w:val="20"/>
              </w:rPr>
              <w:t xml:space="preserve">Дебиторская задолженность, </w:t>
            </w:r>
            <w:r w:rsidRPr="00C53844">
              <w:rPr>
                <w:b/>
                <w:bCs/>
                <w:sz w:val="20"/>
                <w:szCs w:val="20"/>
              </w:rPr>
              <w:br/>
              <w:t>в том числе:</w:t>
            </w:r>
          </w:p>
        </w:tc>
        <w:tc>
          <w:tcPr>
            <w:tcW w:w="1737"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b/>
                <w:bCs/>
                <w:sz w:val="20"/>
                <w:szCs w:val="20"/>
              </w:rPr>
            </w:pPr>
            <w:r w:rsidRPr="00C53844">
              <w:rPr>
                <w:b/>
                <w:bCs/>
                <w:sz w:val="20"/>
                <w:szCs w:val="20"/>
              </w:rPr>
              <w:t>59 927 960,1</w:t>
            </w:r>
          </w:p>
        </w:tc>
        <w:tc>
          <w:tcPr>
            <w:tcW w:w="1737"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b/>
                <w:bCs/>
                <w:sz w:val="20"/>
                <w:szCs w:val="20"/>
              </w:rPr>
            </w:pPr>
            <w:r w:rsidRPr="00C53844">
              <w:rPr>
                <w:b/>
                <w:bCs/>
                <w:sz w:val="20"/>
                <w:szCs w:val="20"/>
              </w:rPr>
              <w:t>35 188 947,4</w:t>
            </w:r>
          </w:p>
        </w:tc>
        <w:tc>
          <w:tcPr>
            <w:tcW w:w="1757"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b/>
                <w:bCs/>
                <w:sz w:val="20"/>
                <w:szCs w:val="20"/>
              </w:rPr>
            </w:pPr>
            <w:r w:rsidRPr="00C53844">
              <w:rPr>
                <w:b/>
                <w:bCs/>
                <w:sz w:val="20"/>
                <w:szCs w:val="20"/>
              </w:rPr>
              <w:t>- 24 739 012,7</w:t>
            </w:r>
          </w:p>
        </w:tc>
        <w:tc>
          <w:tcPr>
            <w:tcW w:w="1283"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b/>
                <w:bCs/>
                <w:sz w:val="20"/>
                <w:szCs w:val="20"/>
              </w:rPr>
            </w:pPr>
            <w:r w:rsidRPr="00C53844">
              <w:rPr>
                <w:b/>
                <w:bCs/>
                <w:sz w:val="20"/>
                <w:szCs w:val="20"/>
              </w:rPr>
              <w:t>100,0</w:t>
            </w:r>
          </w:p>
        </w:tc>
      </w:tr>
      <w:tr w:rsidR="009E26F4" w:rsidRPr="00C53844" w:rsidTr="009E26F4">
        <w:trPr>
          <w:trHeight w:val="16"/>
          <w:tblHeader/>
        </w:trPr>
        <w:tc>
          <w:tcPr>
            <w:tcW w:w="3411"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sz w:val="20"/>
                <w:szCs w:val="20"/>
              </w:rPr>
            </w:pPr>
            <w:r w:rsidRPr="00C53844">
              <w:rPr>
                <w:sz w:val="20"/>
                <w:szCs w:val="20"/>
              </w:rPr>
              <w:t>Расчеты по доходам</w:t>
            </w:r>
          </w:p>
        </w:tc>
        <w:tc>
          <w:tcPr>
            <w:tcW w:w="1737"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47 612 398,2</w:t>
            </w:r>
          </w:p>
        </w:tc>
        <w:tc>
          <w:tcPr>
            <w:tcW w:w="1737"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 xml:space="preserve">22 012 402,4 </w:t>
            </w:r>
          </w:p>
        </w:tc>
        <w:tc>
          <w:tcPr>
            <w:tcW w:w="1757"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- 25 599 995,8</w:t>
            </w:r>
          </w:p>
        </w:tc>
        <w:tc>
          <w:tcPr>
            <w:tcW w:w="1283"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62,6</w:t>
            </w:r>
          </w:p>
        </w:tc>
      </w:tr>
      <w:tr w:rsidR="009E26F4" w:rsidRPr="00C53844" w:rsidTr="009E26F4">
        <w:trPr>
          <w:trHeight w:val="16"/>
          <w:tblHeader/>
        </w:trPr>
        <w:tc>
          <w:tcPr>
            <w:tcW w:w="3411"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sz w:val="20"/>
                <w:szCs w:val="20"/>
              </w:rPr>
            </w:pPr>
            <w:r w:rsidRPr="00C53844">
              <w:rPr>
                <w:sz w:val="20"/>
                <w:szCs w:val="20"/>
              </w:rPr>
              <w:t>Расчеты по выданным авансам</w:t>
            </w:r>
          </w:p>
        </w:tc>
        <w:tc>
          <w:tcPr>
            <w:tcW w:w="1737"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12 303 302,4</w:t>
            </w:r>
          </w:p>
        </w:tc>
        <w:tc>
          <w:tcPr>
            <w:tcW w:w="1737"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13 164 219,7</w:t>
            </w:r>
          </w:p>
        </w:tc>
        <w:tc>
          <w:tcPr>
            <w:tcW w:w="1757"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860 917,3</w:t>
            </w:r>
          </w:p>
        </w:tc>
        <w:tc>
          <w:tcPr>
            <w:tcW w:w="1283"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37,3</w:t>
            </w:r>
          </w:p>
        </w:tc>
      </w:tr>
      <w:tr w:rsidR="009E26F4" w:rsidRPr="00C53844" w:rsidTr="009E26F4">
        <w:trPr>
          <w:trHeight w:val="16"/>
          <w:tblHeader/>
        </w:trPr>
        <w:tc>
          <w:tcPr>
            <w:tcW w:w="3411"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sz w:val="20"/>
                <w:szCs w:val="20"/>
              </w:rPr>
            </w:pPr>
            <w:r w:rsidRPr="00C53844">
              <w:rPr>
                <w:sz w:val="20"/>
                <w:szCs w:val="20"/>
              </w:rPr>
              <w:t>Расчеты с подотчетными лицами</w:t>
            </w:r>
          </w:p>
        </w:tc>
        <w:tc>
          <w:tcPr>
            <w:tcW w:w="1737"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4 398,2</w:t>
            </w:r>
          </w:p>
        </w:tc>
        <w:tc>
          <w:tcPr>
            <w:tcW w:w="1737"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2 992,8</w:t>
            </w:r>
          </w:p>
        </w:tc>
        <w:tc>
          <w:tcPr>
            <w:tcW w:w="1757"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 xml:space="preserve">- 1 405,4 </w:t>
            </w:r>
          </w:p>
        </w:tc>
        <w:tc>
          <w:tcPr>
            <w:tcW w:w="1283"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менее 0,1</w:t>
            </w:r>
          </w:p>
        </w:tc>
      </w:tr>
      <w:tr w:rsidR="009E26F4" w:rsidRPr="00C53844" w:rsidTr="009E26F4">
        <w:trPr>
          <w:trHeight w:val="16"/>
          <w:tblHeader/>
        </w:trPr>
        <w:tc>
          <w:tcPr>
            <w:tcW w:w="3411"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sz w:val="20"/>
                <w:szCs w:val="20"/>
              </w:rPr>
            </w:pPr>
            <w:r w:rsidRPr="00C53844">
              <w:rPr>
                <w:sz w:val="20"/>
                <w:szCs w:val="20"/>
              </w:rPr>
              <w:t>Расчеты по ущербу и иным доходам</w:t>
            </w:r>
          </w:p>
        </w:tc>
        <w:tc>
          <w:tcPr>
            <w:tcW w:w="1737"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7 631,6</w:t>
            </w:r>
          </w:p>
        </w:tc>
        <w:tc>
          <w:tcPr>
            <w:tcW w:w="1737"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9 285,8</w:t>
            </w:r>
          </w:p>
        </w:tc>
        <w:tc>
          <w:tcPr>
            <w:tcW w:w="1757"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 xml:space="preserve"> 1 654,2 </w:t>
            </w:r>
          </w:p>
        </w:tc>
        <w:tc>
          <w:tcPr>
            <w:tcW w:w="1283"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менее 0,1</w:t>
            </w:r>
          </w:p>
        </w:tc>
      </w:tr>
      <w:tr w:rsidR="009E26F4" w:rsidRPr="00C53844" w:rsidTr="009E26F4">
        <w:trPr>
          <w:trHeight w:val="16"/>
          <w:tblHeader/>
        </w:trPr>
        <w:tc>
          <w:tcPr>
            <w:tcW w:w="3411"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sz w:val="20"/>
                <w:szCs w:val="20"/>
              </w:rPr>
            </w:pPr>
            <w:r w:rsidRPr="00C53844">
              <w:rPr>
                <w:sz w:val="20"/>
                <w:szCs w:val="20"/>
              </w:rPr>
              <w:t xml:space="preserve">Расчеты по платежам в бюджеты </w:t>
            </w:r>
          </w:p>
        </w:tc>
        <w:tc>
          <w:tcPr>
            <w:tcW w:w="1737"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 xml:space="preserve"> 229,7</w:t>
            </w:r>
          </w:p>
        </w:tc>
        <w:tc>
          <w:tcPr>
            <w:tcW w:w="1737"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 xml:space="preserve"> 46,7</w:t>
            </w:r>
          </w:p>
        </w:tc>
        <w:tc>
          <w:tcPr>
            <w:tcW w:w="1757"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- 183,0</w:t>
            </w:r>
          </w:p>
        </w:tc>
        <w:tc>
          <w:tcPr>
            <w:tcW w:w="1283"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менее 0,1</w:t>
            </w:r>
          </w:p>
        </w:tc>
      </w:tr>
    </w:tbl>
    <w:p w:rsidR="009E26F4" w:rsidRPr="00467F9C" w:rsidRDefault="009E26F4" w:rsidP="00191861">
      <w:pPr>
        <w:spacing w:before="120"/>
        <w:ind w:firstLine="709"/>
        <w:jc w:val="both"/>
        <w:rPr>
          <w:bCs/>
          <w:sz w:val="28"/>
          <w:szCs w:val="28"/>
        </w:rPr>
      </w:pPr>
      <w:r w:rsidRPr="00467F9C">
        <w:rPr>
          <w:bCs/>
          <w:sz w:val="28"/>
          <w:szCs w:val="28"/>
        </w:rPr>
        <w:t xml:space="preserve">В структуре дебиторской задолженности по состоянию на 1 января 2022 года наибольший удельный вес занимают расчеты по доходам – 62,6% или 22 012 402,4 тыс. рублей, из них 41% или 9 023 155,3 тыс. рублей – </w:t>
      </w:r>
      <w:r w:rsidRPr="00467F9C">
        <w:rPr>
          <w:sz w:val="28"/>
          <w:szCs w:val="28"/>
        </w:rPr>
        <w:t>поступления текущего характера от других бюджетов бюджетной системы Российской Федерации.</w:t>
      </w:r>
    </w:p>
    <w:p w:rsidR="009E26F4" w:rsidRPr="00467F9C" w:rsidRDefault="009E26F4" w:rsidP="00191861">
      <w:pPr>
        <w:widowControl w:val="0"/>
        <w:ind w:firstLine="709"/>
        <w:jc w:val="both"/>
        <w:rPr>
          <w:sz w:val="28"/>
          <w:szCs w:val="28"/>
        </w:rPr>
      </w:pPr>
      <w:r w:rsidRPr="00467F9C">
        <w:rPr>
          <w:sz w:val="28"/>
          <w:szCs w:val="28"/>
        </w:rPr>
        <w:t xml:space="preserve">Среди главных распорядителей бюджетных средств, наибольший удельный вес – 73,3% занимает дебиторская задолженность Департамента промышленной политики (25 778 961,3 тыс. рублей, из них 11 389 751,4 тыс. рублей – бюджетные инвестиции на осуществление капитальных вложений в объекты капитального </w:t>
      </w:r>
      <w:r w:rsidRPr="00467F9C">
        <w:rPr>
          <w:sz w:val="28"/>
          <w:szCs w:val="28"/>
        </w:rPr>
        <w:lastRenderedPageBreak/>
        <w:t>строительства</w:t>
      </w:r>
      <w:r w:rsidRPr="00467F9C">
        <w:rPr>
          <w:sz w:val="28"/>
          <w:szCs w:val="28"/>
          <w:vertAlign w:val="superscript"/>
        </w:rPr>
        <w:footnoteReference w:id="80"/>
      </w:r>
      <w:r w:rsidRPr="00467F9C">
        <w:rPr>
          <w:sz w:val="28"/>
          <w:szCs w:val="28"/>
        </w:rPr>
        <w:t>).</w:t>
      </w:r>
    </w:p>
    <w:p w:rsidR="009E26F4" w:rsidRPr="00467F9C" w:rsidRDefault="009E26F4" w:rsidP="00191861">
      <w:pPr>
        <w:ind w:firstLine="709"/>
        <w:jc w:val="both"/>
        <w:rPr>
          <w:sz w:val="28"/>
          <w:szCs w:val="28"/>
        </w:rPr>
      </w:pPr>
      <w:r w:rsidRPr="00467F9C">
        <w:rPr>
          <w:sz w:val="28"/>
          <w:szCs w:val="28"/>
        </w:rPr>
        <w:t>По состоянию на 1 января 2022 года размер долгосрочной дебиторской задолженности составил 660 685,1 тыс. рублей. Просроченная дебиторская задолженность составила 37 375,8 тыс. рублей, из них:</w:t>
      </w:r>
    </w:p>
    <w:p w:rsidR="009E26F4" w:rsidRPr="00467F9C" w:rsidRDefault="009E26F4" w:rsidP="00191861">
      <w:pPr>
        <w:ind w:firstLine="709"/>
        <w:jc w:val="both"/>
        <w:rPr>
          <w:sz w:val="28"/>
          <w:szCs w:val="28"/>
        </w:rPr>
      </w:pPr>
      <w:r w:rsidRPr="00467F9C">
        <w:rPr>
          <w:sz w:val="28"/>
          <w:szCs w:val="28"/>
        </w:rPr>
        <w:t>- 34 027,0 тыс. рублей по счету 205 11 «Расчеты с плательщиками налогов», администраторами которых являются территориальные органы (подразделения) Федеральных органов государственной власти в соответствии с законодательством Российской Федерации;</w:t>
      </w:r>
    </w:p>
    <w:p w:rsidR="009E26F4" w:rsidRPr="00467F9C" w:rsidRDefault="009E26F4" w:rsidP="00191861">
      <w:pPr>
        <w:ind w:firstLine="709"/>
        <w:jc w:val="both"/>
        <w:rPr>
          <w:sz w:val="28"/>
          <w:szCs w:val="28"/>
        </w:rPr>
      </w:pPr>
      <w:r w:rsidRPr="00467F9C">
        <w:rPr>
          <w:sz w:val="28"/>
          <w:szCs w:val="28"/>
        </w:rPr>
        <w:t>- 3 348,8 тыс. рублей по счету 209 36 «Расчеты по доходам бюджета от возврата дебиторской задолженности прошлых лет» задолженность Департамента здравоохранения (проводятся мероприятия по урегулированию просроченной дебиторской задолженности (ведется претензионная работа, материалы направлены в суд).</w:t>
      </w:r>
    </w:p>
    <w:p w:rsidR="009E26F4" w:rsidRPr="00467F9C" w:rsidRDefault="009E26F4" w:rsidP="00191861">
      <w:pPr>
        <w:spacing w:before="120"/>
        <w:ind w:firstLine="709"/>
        <w:jc w:val="both"/>
        <w:rPr>
          <w:sz w:val="28"/>
          <w:szCs w:val="28"/>
        </w:rPr>
      </w:pPr>
      <w:r w:rsidRPr="00467F9C">
        <w:rPr>
          <w:b/>
          <w:sz w:val="28"/>
          <w:szCs w:val="28"/>
        </w:rPr>
        <w:t>Кредиторская задолженность</w:t>
      </w:r>
      <w:r w:rsidRPr="00467F9C">
        <w:rPr>
          <w:sz w:val="28"/>
          <w:szCs w:val="28"/>
        </w:rPr>
        <w:t xml:space="preserve"> за 2021 год</w:t>
      </w:r>
      <w:r w:rsidRPr="00467F9C">
        <w:rPr>
          <w:bCs/>
          <w:sz w:val="28"/>
          <w:szCs w:val="28"/>
        </w:rPr>
        <w:t xml:space="preserve"> снизилась</w:t>
      </w:r>
      <w:r w:rsidRPr="00467F9C">
        <w:rPr>
          <w:sz w:val="28"/>
          <w:szCs w:val="28"/>
        </w:rPr>
        <w:t xml:space="preserve"> на 263 521,6 тыс. рублей и составила 1 482 936,7 тыс. рублей. </w:t>
      </w:r>
    </w:p>
    <w:p w:rsidR="009E26F4" w:rsidRPr="00467F9C" w:rsidRDefault="009E26F4" w:rsidP="00191861">
      <w:pPr>
        <w:ind w:firstLine="709"/>
        <w:jc w:val="both"/>
        <w:rPr>
          <w:sz w:val="28"/>
          <w:szCs w:val="28"/>
        </w:rPr>
      </w:pPr>
      <w:r w:rsidRPr="00467F9C">
        <w:rPr>
          <w:sz w:val="28"/>
          <w:szCs w:val="28"/>
        </w:rPr>
        <w:t>Информация о кредиторской задолженности окружного бюджета представлена в таблице №30.</w:t>
      </w:r>
    </w:p>
    <w:p w:rsidR="009E26F4" w:rsidRPr="00467F9C" w:rsidRDefault="009E26F4" w:rsidP="00191861">
      <w:pPr>
        <w:ind w:firstLine="708"/>
        <w:jc w:val="right"/>
        <w:rPr>
          <w:sz w:val="28"/>
          <w:szCs w:val="28"/>
        </w:rPr>
      </w:pPr>
      <w:r w:rsidRPr="00467F9C">
        <w:rPr>
          <w:sz w:val="28"/>
          <w:szCs w:val="28"/>
        </w:rPr>
        <w:tab/>
        <w:t>Таблица №30</w:t>
      </w:r>
    </w:p>
    <w:p w:rsidR="009E26F4" w:rsidRPr="00467F9C" w:rsidRDefault="009E26F4" w:rsidP="00191861">
      <w:pPr>
        <w:ind w:left="7299" w:firstLine="489"/>
        <w:contextualSpacing/>
        <w:jc w:val="right"/>
        <w:rPr>
          <w:sz w:val="26"/>
          <w:szCs w:val="26"/>
        </w:rPr>
      </w:pPr>
      <w:r w:rsidRPr="00467F9C">
        <w:rPr>
          <w:sz w:val="26"/>
          <w:szCs w:val="26"/>
        </w:rPr>
        <w:t xml:space="preserve"> (тыс. рублей)</w:t>
      </w:r>
    </w:p>
    <w:tbl>
      <w:tblPr>
        <w:tblW w:w="9903" w:type="dxa"/>
        <w:tblInd w:w="-5" w:type="dxa"/>
        <w:tblLook w:val="04A0" w:firstRow="1" w:lastRow="0" w:firstColumn="1" w:lastColumn="0" w:noHBand="0" w:noVBand="1"/>
      </w:tblPr>
      <w:tblGrid>
        <w:gridCol w:w="3769"/>
        <w:gridCol w:w="1808"/>
        <w:gridCol w:w="1761"/>
        <w:gridCol w:w="1321"/>
        <w:gridCol w:w="1244"/>
      </w:tblGrid>
      <w:tr w:rsidR="009E26F4" w:rsidRPr="00C53844" w:rsidTr="009E26F4">
        <w:trPr>
          <w:trHeight w:val="19"/>
          <w:tblHeader/>
        </w:trPr>
        <w:tc>
          <w:tcPr>
            <w:tcW w:w="37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E26F4" w:rsidRPr="00C53844" w:rsidRDefault="009E26F4" w:rsidP="00191861">
            <w:pPr>
              <w:jc w:val="center"/>
              <w:rPr>
                <w:sz w:val="20"/>
                <w:szCs w:val="20"/>
              </w:rPr>
            </w:pPr>
            <w:r w:rsidRPr="00C53844">
              <w:rPr>
                <w:sz w:val="20"/>
                <w:szCs w:val="20"/>
              </w:rPr>
              <w:t>Наименование показателя</w:t>
            </w:r>
          </w:p>
        </w:tc>
        <w:tc>
          <w:tcPr>
            <w:tcW w:w="1808" w:type="dxa"/>
            <w:tcBorders>
              <w:top w:val="single" w:sz="4" w:space="0" w:color="auto"/>
              <w:left w:val="nil"/>
              <w:bottom w:val="single" w:sz="4" w:space="0" w:color="auto"/>
              <w:right w:val="single" w:sz="4" w:space="0" w:color="auto"/>
            </w:tcBorders>
            <w:shd w:val="clear" w:color="auto" w:fill="auto"/>
            <w:vAlign w:val="center"/>
            <w:hideMark/>
          </w:tcPr>
          <w:p w:rsidR="00C53844" w:rsidRDefault="009E26F4" w:rsidP="00191861">
            <w:pPr>
              <w:jc w:val="center"/>
              <w:rPr>
                <w:sz w:val="20"/>
                <w:szCs w:val="20"/>
              </w:rPr>
            </w:pPr>
            <w:r w:rsidRPr="00C53844">
              <w:rPr>
                <w:sz w:val="20"/>
                <w:szCs w:val="20"/>
              </w:rPr>
              <w:t>По состоянию</w:t>
            </w:r>
            <w:r w:rsidRPr="00C53844">
              <w:rPr>
                <w:sz w:val="20"/>
                <w:szCs w:val="20"/>
              </w:rPr>
              <w:br/>
              <w:t xml:space="preserve"> на 01.01.2021 г.</w:t>
            </w:r>
          </w:p>
          <w:p w:rsidR="009E26F4" w:rsidRPr="00C53844" w:rsidRDefault="009E26F4" w:rsidP="00191861">
            <w:pPr>
              <w:jc w:val="center"/>
              <w:rPr>
                <w:sz w:val="20"/>
                <w:szCs w:val="20"/>
              </w:rPr>
            </w:pPr>
            <w:r w:rsidRPr="00C53844">
              <w:rPr>
                <w:sz w:val="20"/>
                <w:szCs w:val="20"/>
              </w:rPr>
              <w:t xml:space="preserve"> </w:t>
            </w:r>
          </w:p>
        </w:tc>
        <w:tc>
          <w:tcPr>
            <w:tcW w:w="1761" w:type="dxa"/>
            <w:tcBorders>
              <w:top w:val="single" w:sz="4" w:space="0" w:color="auto"/>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По состоянию</w:t>
            </w:r>
            <w:r w:rsidRPr="00C53844">
              <w:rPr>
                <w:sz w:val="20"/>
                <w:szCs w:val="20"/>
              </w:rPr>
              <w:br/>
              <w:t xml:space="preserve"> на 01.01.2022 г.</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Изменения</w:t>
            </w:r>
            <w:r w:rsidRPr="00C53844">
              <w:rPr>
                <w:sz w:val="20"/>
                <w:szCs w:val="20"/>
              </w:rPr>
              <w:br/>
              <w:t>(гр. 3 - гр. 2)</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Структура, %</w:t>
            </w:r>
          </w:p>
        </w:tc>
      </w:tr>
      <w:tr w:rsidR="009E26F4" w:rsidRPr="00C53844" w:rsidTr="009E26F4">
        <w:trPr>
          <w:trHeight w:val="19"/>
          <w:tblHeader/>
        </w:trPr>
        <w:tc>
          <w:tcPr>
            <w:tcW w:w="3769" w:type="dxa"/>
            <w:tcBorders>
              <w:top w:val="nil"/>
              <w:left w:val="single" w:sz="4" w:space="0" w:color="auto"/>
              <w:bottom w:val="single" w:sz="4" w:space="0" w:color="auto"/>
              <w:right w:val="single" w:sz="4" w:space="0" w:color="auto"/>
            </w:tcBorders>
            <w:shd w:val="clear" w:color="000000" w:fill="FFFFFF"/>
            <w:vAlign w:val="center"/>
            <w:hideMark/>
          </w:tcPr>
          <w:p w:rsidR="009E26F4" w:rsidRPr="00C53844" w:rsidRDefault="009E26F4" w:rsidP="00191861">
            <w:pPr>
              <w:jc w:val="center"/>
              <w:rPr>
                <w:sz w:val="20"/>
                <w:szCs w:val="20"/>
              </w:rPr>
            </w:pPr>
            <w:r w:rsidRPr="00C53844">
              <w:rPr>
                <w:sz w:val="20"/>
                <w:szCs w:val="20"/>
              </w:rPr>
              <w:t>1</w:t>
            </w:r>
          </w:p>
        </w:tc>
        <w:tc>
          <w:tcPr>
            <w:tcW w:w="1808" w:type="dxa"/>
            <w:tcBorders>
              <w:top w:val="nil"/>
              <w:left w:val="nil"/>
              <w:bottom w:val="single" w:sz="4" w:space="0" w:color="auto"/>
              <w:right w:val="single" w:sz="4" w:space="0" w:color="auto"/>
            </w:tcBorders>
            <w:shd w:val="clear" w:color="000000" w:fill="FFFFFF"/>
            <w:vAlign w:val="center"/>
            <w:hideMark/>
          </w:tcPr>
          <w:p w:rsidR="009E26F4" w:rsidRPr="00C53844" w:rsidRDefault="009E26F4" w:rsidP="00191861">
            <w:pPr>
              <w:jc w:val="center"/>
              <w:rPr>
                <w:sz w:val="20"/>
                <w:szCs w:val="20"/>
              </w:rPr>
            </w:pPr>
            <w:r w:rsidRPr="00C53844">
              <w:rPr>
                <w:sz w:val="20"/>
                <w:szCs w:val="20"/>
              </w:rPr>
              <w:t>2</w:t>
            </w:r>
          </w:p>
        </w:tc>
        <w:tc>
          <w:tcPr>
            <w:tcW w:w="1761" w:type="dxa"/>
            <w:tcBorders>
              <w:top w:val="nil"/>
              <w:left w:val="nil"/>
              <w:bottom w:val="single" w:sz="4" w:space="0" w:color="auto"/>
              <w:right w:val="single" w:sz="4" w:space="0" w:color="auto"/>
            </w:tcBorders>
            <w:shd w:val="clear" w:color="000000" w:fill="FFFFFF"/>
            <w:vAlign w:val="center"/>
            <w:hideMark/>
          </w:tcPr>
          <w:p w:rsidR="009E26F4" w:rsidRPr="00C53844" w:rsidRDefault="009E26F4" w:rsidP="00191861">
            <w:pPr>
              <w:jc w:val="center"/>
              <w:rPr>
                <w:sz w:val="20"/>
                <w:szCs w:val="20"/>
              </w:rPr>
            </w:pPr>
            <w:r w:rsidRPr="00C53844">
              <w:rPr>
                <w:sz w:val="20"/>
                <w:szCs w:val="20"/>
              </w:rPr>
              <w:t>3</w:t>
            </w:r>
          </w:p>
        </w:tc>
        <w:tc>
          <w:tcPr>
            <w:tcW w:w="1321" w:type="dxa"/>
            <w:tcBorders>
              <w:top w:val="nil"/>
              <w:left w:val="nil"/>
              <w:bottom w:val="single" w:sz="4" w:space="0" w:color="auto"/>
              <w:right w:val="single" w:sz="4" w:space="0" w:color="auto"/>
            </w:tcBorders>
            <w:shd w:val="clear" w:color="000000" w:fill="FFFFFF"/>
            <w:vAlign w:val="center"/>
            <w:hideMark/>
          </w:tcPr>
          <w:p w:rsidR="009E26F4" w:rsidRPr="00C53844" w:rsidRDefault="009E26F4" w:rsidP="00191861">
            <w:pPr>
              <w:jc w:val="center"/>
              <w:rPr>
                <w:sz w:val="20"/>
                <w:szCs w:val="20"/>
              </w:rPr>
            </w:pPr>
            <w:r w:rsidRPr="00C53844">
              <w:rPr>
                <w:sz w:val="20"/>
                <w:szCs w:val="20"/>
              </w:rPr>
              <w:t>4</w:t>
            </w:r>
          </w:p>
        </w:tc>
        <w:tc>
          <w:tcPr>
            <w:tcW w:w="1244" w:type="dxa"/>
            <w:tcBorders>
              <w:top w:val="nil"/>
              <w:left w:val="nil"/>
              <w:bottom w:val="single" w:sz="4" w:space="0" w:color="auto"/>
              <w:right w:val="single" w:sz="4" w:space="0" w:color="auto"/>
            </w:tcBorders>
            <w:shd w:val="clear" w:color="000000" w:fill="FFFFFF"/>
            <w:vAlign w:val="center"/>
            <w:hideMark/>
          </w:tcPr>
          <w:p w:rsidR="009E26F4" w:rsidRPr="00C53844" w:rsidRDefault="009E26F4" w:rsidP="00191861">
            <w:pPr>
              <w:jc w:val="center"/>
              <w:rPr>
                <w:sz w:val="20"/>
                <w:szCs w:val="20"/>
              </w:rPr>
            </w:pPr>
            <w:r w:rsidRPr="00C53844">
              <w:rPr>
                <w:sz w:val="20"/>
                <w:szCs w:val="20"/>
              </w:rPr>
              <w:t>5</w:t>
            </w:r>
          </w:p>
        </w:tc>
      </w:tr>
      <w:tr w:rsidR="009E26F4" w:rsidRPr="00C53844" w:rsidTr="009E26F4">
        <w:trPr>
          <w:trHeight w:val="19"/>
          <w:tblHeader/>
        </w:trPr>
        <w:tc>
          <w:tcPr>
            <w:tcW w:w="3769"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b/>
                <w:bCs/>
                <w:sz w:val="20"/>
                <w:szCs w:val="20"/>
              </w:rPr>
            </w:pPr>
            <w:r w:rsidRPr="00C53844">
              <w:rPr>
                <w:b/>
                <w:bCs/>
                <w:sz w:val="20"/>
                <w:szCs w:val="20"/>
              </w:rPr>
              <w:t xml:space="preserve">Кредиторская задолженность, </w:t>
            </w:r>
            <w:r w:rsidRPr="00C53844">
              <w:rPr>
                <w:b/>
                <w:bCs/>
                <w:sz w:val="20"/>
                <w:szCs w:val="20"/>
              </w:rPr>
              <w:br/>
              <w:t>в том числе:</w:t>
            </w:r>
          </w:p>
        </w:tc>
        <w:tc>
          <w:tcPr>
            <w:tcW w:w="1808"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b/>
                <w:bCs/>
                <w:sz w:val="20"/>
                <w:szCs w:val="20"/>
              </w:rPr>
            </w:pPr>
            <w:r w:rsidRPr="00C53844">
              <w:rPr>
                <w:b/>
                <w:bCs/>
                <w:sz w:val="20"/>
                <w:szCs w:val="20"/>
              </w:rPr>
              <w:t>1 746 458,3</w:t>
            </w:r>
          </w:p>
        </w:tc>
        <w:tc>
          <w:tcPr>
            <w:tcW w:w="176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b/>
                <w:bCs/>
                <w:sz w:val="20"/>
                <w:szCs w:val="20"/>
              </w:rPr>
            </w:pPr>
            <w:r w:rsidRPr="00C53844">
              <w:rPr>
                <w:b/>
                <w:bCs/>
                <w:sz w:val="20"/>
                <w:szCs w:val="20"/>
              </w:rPr>
              <w:t>1 482 936,7</w:t>
            </w:r>
          </w:p>
        </w:tc>
        <w:tc>
          <w:tcPr>
            <w:tcW w:w="132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b/>
                <w:bCs/>
                <w:sz w:val="20"/>
                <w:szCs w:val="20"/>
              </w:rPr>
            </w:pPr>
            <w:r w:rsidRPr="00C53844">
              <w:rPr>
                <w:b/>
                <w:bCs/>
                <w:sz w:val="20"/>
                <w:szCs w:val="20"/>
              </w:rPr>
              <w:t>- 263 521,6</w:t>
            </w:r>
          </w:p>
        </w:tc>
        <w:tc>
          <w:tcPr>
            <w:tcW w:w="124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b/>
                <w:bCs/>
                <w:sz w:val="20"/>
                <w:szCs w:val="20"/>
              </w:rPr>
            </w:pPr>
            <w:r w:rsidRPr="00C53844">
              <w:rPr>
                <w:b/>
                <w:bCs/>
                <w:sz w:val="20"/>
                <w:szCs w:val="20"/>
              </w:rPr>
              <w:t>100,0</w:t>
            </w:r>
          </w:p>
        </w:tc>
      </w:tr>
      <w:tr w:rsidR="009E26F4" w:rsidRPr="00C53844" w:rsidTr="009E26F4">
        <w:trPr>
          <w:trHeight w:val="19"/>
          <w:tblHeader/>
        </w:trPr>
        <w:tc>
          <w:tcPr>
            <w:tcW w:w="3769"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sz w:val="20"/>
                <w:szCs w:val="20"/>
              </w:rPr>
            </w:pPr>
            <w:r w:rsidRPr="00C53844">
              <w:rPr>
                <w:sz w:val="20"/>
                <w:szCs w:val="20"/>
              </w:rPr>
              <w:t>Расчеты по доходам</w:t>
            </w:r>
          </w:p>
        </w:tc>
        <w:tc>
          <w:tcPr>
            <w:tcW w:w="1808"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1 731 624,4</w:t>
            </w:r>
          </w:p>
        </w:tc>
        <w:tc>
          <w:tcPr>
            <w:tcW w:w="176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1 418 676,2</w:t>
            </w:r>
          </w:p>
        </w:tc>
        <w:tc>
          <w:tcPr>
            <w:tcW w:w="132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- 312 948,2</w:t>
            </w:r>
          </w:p>
        </w:tc>
        <w:tc>
          <w:tcPr>
            <w:tcW w:w="124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95,7</w:t>
            </w:r>
          </w:p>
        </w:tc>
      </w:tr>
      <w:tr w:rsidR="009E26F4" w:rsidRPr="00C53844" w:rsidTr="009E26F4">
        <w:trPr>
          <w:trHeight w:val="19"/>
          <w:tblHeader/>
        </w:trPr>
        <w:tc>
          <w:tcPr>
            <w:tcW w:w="3769"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sz w:val="20"/>
                <w:szCs w:val="20"/>
              </w:rPr>
            </w:pPr>
            <w:r w:rsidRPr="00C53844">
              <w:rPr>
                <w:sz w:val="20"/>
                <w:szCs w:val="20"/>
              </w:rPr>
              <w:t>Расчеты с подотчетными лицами</w:t>
            </w:r>
          </w:p>
        </w:tc>
        <w:tc>
          <w:tcPr>
            <w:tcW w:w="1808"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258,6</w:t>
            </w:r>
          </w:p>
        </w:tc>
        <w:tc>
          <w:tcPr>
            <w:tcW w:w="176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 xml:space="preserve"> 60,2</w:t>
            </w:r>
          </w:p>
        </w:tc>
        <w:tc>
          <w:tcPr>
            <w:tcW w:w="132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-198,4</w:t>
            </w:r>
          </w:p>
        </w:tc>
        <w:tc>
          <w:tcPr>
            <w:tcW w:w="124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менее 0,1</w:t>
            </w:r>
          </w:p>
        </w:tc>
      </w:tr>
      <w:tr w:rsidR="009E26F4" w:rsidRPr="00C53844" w:rsidTr="009E26F4">
        <w:trPr>
          <w:trHeight w:val="19"/>
          <w:tblHeader/>
        </w:trPr>
        <w:tc>
          <w:tcPr>
            <w:tcW w:w="3769"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sz w:val="20"/>
                <w:szCs w:val="20"/>
              </w:rPr>
            </w:pPr>
            <w:r w:rsidRPr="00C53844">
              <w:rPr>
                <w:sz w:val="20"/>
                <w:szCs w:val="20"/>
              </w:rPr>
              <w:t>Расчеты по ущербу и иным доходам</w:t>
            </w:r>
          </w:p>
        </w:tc>
        <w:tc>
          <w:tcPr>
            <w:tcW w:w="1808"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14,3</w:t>
            </w:r>
          </w:p>
        </w:tc>
        <w:tc>
          <w:tcPr>
            <w:tcW w:w="176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 xml:space="preserve"> 9,6</w:t>
            </w:r>
          </w:p>
        </w:tc>
        <w:tc>
          <w:tcPr>
            <w:tcW w:w="132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- 4,7</w:t>
            </w:r>
          </w:p>
        </w:tc>
        <w:tc>
          <w:tcPr>
            <w:tcW w:w="124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менее 0,1</w:t>
            </w:r>
          </w:p>
        </w:tc>
      </w:tr>
      <w:tr w:rsidR="009E26F4" w:rsidRPr="00C53844" w:rsidTr="009E26F4">
        <w:trPr>
          <w:trHeight w:val="19"/>
          <w:tblHeader/>
        </w:trPr>
        <w:tc>
          <w:tcPr>
            <w:tcW w:w="3769"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sz w:val="20"/>
                <w:szCs w:val="20"/>
              </w:rPr>
            </w:pPr>
            <w:r w:rsidRPr="00C53844">
              <w:rPr>
                <w:sz w:val="20"/>
                <w:szCs w:val="20"/>
              </w:rPr>
              <w:t>Расчеты по принятым обязательствам</w:t>
            </w:r>
          </w:p>
        </w:tc>
        <w:tc>
          <w:tcPr>
            <w:tcW w:w="1808"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14 156,6</w:t>
            </w:r>
          </w:p>
        </w:tc>
        <w:tc>
          <w:tcPr>
            <w:tcW w:w="176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11 633,2</w:t>
            </w:r>
          </w:p>
        </w:tc>
        <w:tc>
          <w:tcPr>
            <w:tcW w:w="132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- 2 523,4</w:t>
            </w:r>
          </w:p>
        </w:tc>
        <w:tc>
          <w:tcPr>
            <w:tcW w:w="124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0,8</w:t>
            </w:r>
          </w:p>
        </w:tc>
      </w:tr>
      <w:tr w:rsidR="009E26F4" w:rsidRPr="00C53844" w:rsidTr="009E26F4">
        <w:trPr>
          <w:trHeight w:val="19"/>
          <w:tblHeader/>
        </w:trPr>
        <w:tc>
          <w:tcPr>
            <w:tcW w:w="3769"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sz w:val="20"/>
                <w:szCs w:val="20"/>
              </w:rPr>
            </w:pPr>
            <w:r w:rsidRPr="00C53844">
              <w:rPr>
                <w:sz w:val="20"/>
                <w:szCs w:val="20"/>
              </w:rPr>
              <w:t xml:space="preserve">Расчеты по платежам в бюджеты </w:t>
            </w:r>
          </w:p>
        </w:tc>
        <w:tc>
          <w:tcPr>
            <w:tcW w:w="1808"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 xml:space="preserve"> 377,4</w:t>
            </w:r>
          </w:p>
        </w:tc>
        <w:tc>
          <w:tcPr>
            <w:tcW w:w="176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52 540,4</w:t>
            </w:r>
          </w:p>
        </w:tc>
        <w:tc>
          <w:tcPr>
            <w:tcW w:w="132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52 163,0</w:t>
            </w:r>
          </w:p>
        </w:tc>
        <w:tc>
          <w:tcPr>
            <w:tcW w:w="124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3,4</w:t>
            </w:r>
          </w:p>
        </w:tc>
      </w:tr>
      <w:tr w:rsidR="009E26F4" w:rsidRPr="00C53844" w:rsidTr="009E26F4">
        <w:trPr>
          <w:trHeight w:val="19"/>
          <w:tblHeader/>
        </w:trPr>
        <w:tc>
          <w:tcPr>
            <w:tcW w:w="3769" w:type="dxa"/>
            <w:tcBorders>
              <w:top w:val="nil"/>
              <w:left w:val="single" w:sz="4" w:space="0" w:color="auto"/>
              <w:bottom w:val="single" w:sz="4" w:space="0" w:color="auto"/>
              <w:right w:val="single" w:sz="4" w:space="0" w:color="auto"/>
            </w:tcBorders>
            <w:shd w:val="clear" w:color="auto" w:fill="auto"/>
            <w:vAlign w:val="center"/>
            <w:hideMark/>
          </w:tcPr>
          <w:p w:rsidR="009E26F4" w:rsidRPr="00C53844" w:rsidRDefault="009E26F4" w:rsidP="00191861">
            <w:pPr>
              <w:rPr>
                <w:sz w:val="20"/>
                <w:szCs w:val="20"/>
              </w:rPr>
            </w:pPr>
            <w:r w:rsidRPr="00C53844">
              <w:rPr>
                <w:sz w:val="20"/>
                <w:szCs w:val="20"/>
              </w:rPr>
              <w:t>Прочие расчеты с кредиторами</w:t>
            </w:r>
          </w:p>
        </w:tc>
        <w:tc>
          <w:tcPr>
            <w:tcW w:w="1808"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 xml:space="preserve"> 27,0</w:t>
            </w:r>
          </w:p>
        </w:tc>
        <w:tc>
          <w:tcPr>
            <w:tcW w:w="176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17,1</w:t>
            </w:r>
          </w:p>
        </w:tc>
        <w:tc>
          <w:tcPr>
            <w:tcW w:w="1321"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right"/>
              <w:rPr>
                <w:sz w:val="20"/>
                <w:szCs w:val="20"/>
              </w:rPr>
            </w:pPr>
            <w:r w:rsidRPr="00C53844">
              <w:rPr>
                <w:sz w:val="20"/>
                <w:szCs w:val="20"/>
              </w:rPr>
              <w:t>- 9,9</w:t>
            </w:r>
          </w:p>
        </w:tc>
        <w:tc>
          <w:tcPr>
            <w:tcW w:w="1244" w:type="dxa"/>
            <w:tcBorders>
              <w:top w:val="nil"/>
              <w:left w:val="nil"/>
              <w:bottom w:val="single" w:sz="4" w:space="0" w:color="auto"/>
              <w:right w:val="single" w:sz="4" w:space="0" w:color="auto"/>
            </w:tcBorders>
            <w:shd w:val="clear" w:color="auto" w:fill="auto"/>
            <w:vAlign w:val="center"/>
            <w:hideMark/>
          </w:tcPr>
          <w:p w:rsidR="009E26F4" w:rsidRPr="00C53844" w:rsidRDefault="009E26F4" w:rsidP="00191861">
            <w:pPr>
              <w:jc w:val="center"/>
              <w:rPr>
                <w:sz w:val="20"/>
                <w:szCs w:val="20"/>
              </w:rPr>
            </w:pPr>
            <w:r w:rsidRPr="00C53844">
              <w:rPr>
                <w:sz w:val="20"/>
                <w:szCs w:val="20"/>
              </w:rPr>
              <w:t>менее 0,1</w:t>
            </w:r>
          </w:p>
        </w:tc>
      </w:tr>
    </w:tbl>
    <w:p w:rsidR="009E26F4" w:rsidRPr="00467F9C" w:rsidRDefault="009E26F4" w:rsidP="00191861">
      <w:pPr>
        <w:autoSpaceDE w:val="0"/>
        <w:autoSpaceDN w:val="0"/>
        <w:adjustRightInd w:val="0"/>
        <w:spacing w:before="120"/>
        <w:ind w:firstLine="709"/>
        <w:jc w:val="both"/>
        <w:rPr>
          <w:sz w:val="28"/>
          <w:szCs w:val="28"/>
        </w:rPr>
      </w:pPr>
      <w:r w:rsidRPr="00467F9C">
        <w:rPr>
          <w:sz w:val="28"/>
          <w:szCs w:val="28"/>
        </w:rPr>
        <w:t xml:space="preserve">Наибольшую долю кредиторской задолженности составляет задолженность по доходам 95,7% или 1 418 676,2 тыс. рублей, из них 1 417 881,0 тыс. рублей по счету 205 11 «Расчеты с плательщиками налогов». </w:t>
      </w:r>
    </w:p>
    <w:p w:rsidR="009E26F4" w:rsidRPr="00467F9C" w:rsidRDefault="009E26F4" w:rsidP="00191861">
      <w:pPr>
        <w:autoSpaceDE w:val="0"/>
        <w:autoSpaceDN w:val="0"/>
        <w:adjustRightInd w:val="0"/>
        <w:ind w:firstLine="709"/>
        <w:jc w:val="both"/>
        <w:rPr>
          <w:sz w:val="28"/>
          <w:szCs w:val="28"/>
        </w:rPr>
      </w:pPr>
      <w:r w:rsidRPr="00467F9C">
        <w:rPr>
          <w:sz w:val="28"/>
          <w:szCs w:val="28"/>
        </w:rPr>
        <w:t>Долгосрочная кредиторская задолженность составила 17,1 тыс. рублей по счету 304 02 «Расчеты с депонентами» в сумме 17,1 тыс. рублей (стипендии) числящаяся за Департаментом образования.</w:t>
      </w:r>
    </w:p>
    <w:p w:rsidR="009E26F4" w:rsidRPr="00467F9C" w:rsidRDefault="009E26F4" w:rsidP="00191861">
      <w:pPr>
        <w:autoSpaceDE w:val="0"/>
        <w:autoSpaceDN w:val="0"/>
        <w:adjustRightInd w:val="0"/>
        <w:ind w:firstLine="709"/>
        <w:jc w:val="both"/>
        <w:rPr>
          <w:sz w:val="28"/>
          <w:szCs w:val="28"/>
        </w:rPr>
      </w:pPr>
      <w:r w:rsidRPr="00467F9C">
        <w:rPr>
          <w:sz w:val="28"/>
          <w:szCs w:val="28"/>
        </w:rPr>
        <w:t xml:space="preserve">Просроченная кредиторская задолженность по состоянию на 1 января 2022 года отсутствует. </w:t>
      </w:r>
    </w:p>
    <w:p w:rsidR="009E26F4" w:rsidRPr="00467F9C" w:rsidRDefault="009E26F4" w:rsidP="00191861">
      <w:pPr>
        <w:spacing w:before="240" w:after="120"/>
        <w:jc w:val="center"/>
        <w:rPr>
          <w:b/>
          <w:sz w:val="28"/>
          <w:szCs w:val="28"/>
        </w:rPr>
      </w:pPr>
      <w:bookmarkStart w:id="39" w:name="_Hlk103435006"/>
      <w:r w:rsidRPr="00467F9C">
        <w:rPr>
          <w:b/>
          <w:sz w:val="28"/>
          <w:szCs w:val="28"/>
        </w:rPr>
        <w:t>Выводы</w:t>
      </w:r>
    </w:p>
    <w:p w:rsidR="009E26F4" w:rsidRPr="00467F9C" w:rsidRDefault="009E26F4" w:rsidP="00191861">
      <w:pPr>
        <w:pStyle w:val="Default"/>
        <w:ind w:firstLine="709"/>
        <w:jc w:val="both"/>
        <w:rPr>
          <w:color w:val="auto"/>
          <w:sz w:val="28"/>
          <w:szCs w:val="28"/>
        </w:rPr>
      </w:pPr>
      <w:bookmarkStart w:id="40" w:name="_Hlk72343417"/>
      <w:r w:rsidRPr="00467F9C">
        <w:rPr>
          <w:color w:val="auto"/>
          <w:sz w:val="28"/>
          <w:szCs w:val="28"/>
        </w:rPr>
        <w:t>Основные характеристики окружного бюджета за 2021 год исполнены:</w:t>
      </w:r>
    </w:p>
    <w:p w:rsidR="009E26F4" w:rsidRPr="00467F9C" w:rsidRDefault="009E26F4" w:rsidP="00191861">
      <w:pPr>
        <w:pStyle w:val="Default"/>
        <w:ind w:firstLine="709"/>
        <w:jc w:val="both"/>
        <w:rPr>
          <w:color w:val="auto"/>
          <w:sz w:val="28"/>
          <w:szCs w:val="28"/>
        </w:rPr>
      </w:pPr>
      <w:r w:rsidRPr="00467F9C">
        <w:rPr>
          <w:color w:val="auto"/>
          <w:sz w:val="28"/>
          <w:szCs w:val="28"/>
        </w:rPr>
        <w:t>- по доходам в сумме 51 237 594,3 тыс. рублей или 102,5% утвержденных назначений (50 001 408,3 тыс. рублей).</w:t>
      </w:r>
    </w:p>
    <w:p w:rsidR="009E26F4" w:rsidRPr="00467F9C" w:rsidRDefault="009E26F4" w:rsidP="00191861">
      <w:pPr>
        <w:pStyle w:val="Default"/>
        <w:ind w:firstLine="709"/>
        <w:jc w:val="both"/>
        <w:rPr>
          <w:strike/>
          <w:color w:val="auto"/>
          <w:sz w:val="28"/>
          <w:szCs w:val="28"/>
        </w:rPr>
      </w:pPr>
      <w:r w:rsidRPr="00467F9C">
        <w:rPr>
          <w:color w:val="auto"/>
          <w:sz w:val="28"/>
          <w:szCs w:val="28"/>
        </w:rPr>
        <w:lastRenderedPageBreak/>
        <w:t xml:space="preserve">- по расходам – 54 604 715,7 тыс. рублей или 97,2% сводной бюджетной росписи (56 151 343,9 тыс. рублей) и 97,4% бюджетных ассигнований, утвержденных Законом об окружном бюджете (56 048 951,7 тыс. рублей). </w:t>
      </w:r>
    </w:p>
    <w:p w:rsidR="009E26F4" w:rsidRPr="00467F9C" w:rsidRDefault="009E26F4" w:rsidP="00191861">
      <w:pPr>
        <w:pStyle w:val="Default"/>
        <w:ind w:firstLine="709"/>
        <w:jc w:val="both"/>
        <w:rPr>
          <w:color w:val="auto"/>
          <w:sz w:val="28"/>
          <w:szCs w:val="28"/>
        </w:rPr>
      </w:pPr>
      <w:r w:rsidRPr="00467F9C">
        <w:rPr>
          <w:color w:val="auto"/>
          <w:sz w:val="28"/>
          <w:szCs w:val="28"/>
        </w:rPr>
        <w:t>- дефицит составил 3 367 121,4 тыс. рублей при запланированном – 6 047 543,4 тыс. рублей.</w:t>
      </w:r>
    </w:p>
    <w:p w:rsidR="009E26F4" w:rsidRPr="00467F9C" w:rsidRDefault="009E26F4" w:rsidP="00191861">
      <w:pPr>
        <w:spacing w:before="120"/>
        <w:ind w:firstLine="709"/>
        <w:jc w:val="both"/>
        <w:rPr>
          <w:sz w:val="28"/>
          <w:szCs w:val="28"/>
        </w:rPr>
      </w:pPr>
      <w:r w:rsidRPr="00467F9C">
        <w:rPr>
          <w:sz w:val="28"/>
          <w:szCs w:val="28"/>
        </w:rPr>
        <w:t xml:space="preserve">В структуре доходов окружного бюджета наибольший удельный вес составляют безвозмездные поступления – 60,5% (31 006 158,8 тыс. рублей, в том числе дотации 13 664 599,4 тыс. рублей). Налоговые доходы занимают 38,1% (19 513 913,8 тыс. рублей), неналоговые доходы – 1,4% (717 521,7 тыс. рублей). В структуре налоговых доходов наибольший удельный вес занимают налог на прибыль организаций – 48,4% (9 435 572,6 тыс. рублей) и налог на доходы физических лиц – 23,2% (4 524 524,8 тыс. рублей). </w:t>
      </w:r>
    </w:p>
    <w:p w:rsidR="009E26F4" w:rsidRPr="00467F9C" w:rsidRDefault="009E26F4" w:rsidP="00191861">
      <w:pPr>
        <w:autoSpaceDE w:val="0"/>
        <w:autoSpaceDN w:val="0"/>
        <w:adjustRightInd w:val="0"/>
        <w:spacing w:before="120"/>
        <w:ind w:firstLine="709"/>
        <w:jc w:val="both"/>
        <w:rPr>
          <w:sz w:val="28"/>
          <w:szCs w:val="28"/>
        </w:rPr>
      </w:pPr>
      <w:r w:rsidRPr="00467F9C">
        <w:rPr>
          <w:sz w:val="28"/>
          <w:szCs w:val="28"/>
        </w:rPr>
        <w:t xml:space="preserve">В 2021 году основную долю в структуре расходов окружного бюджета традиционно составляют расходы по разделам </w:t>
      </w:r>
      <w:r w:rsidRPr="00467F9C">
        <w:rPr>
          <w:b/>
          <w:bCs/>
          <w:sz w:val="28"/>
          <w:szCs w:val="28"/>
        </w:rPr>
        <w:t>«</w:t>
      </w:r>
      <w:r w:rsidRPr="00467F9C">
        <w:rPr>
          <w:sz w:val="28"/>
          <w:szCs w:val="28"/>
        </w:rPr>
        <w:t>Жилищно-коммунальное хозяйство</w:t>
      </w:r>
      <w:r w:rsidRPr="00467F9C">
        <w:rPr>
          <w:b/>
          <w:bCs/>
          <w:sz w:val="28"/>
          <w:szCs w:val="28"/>
        </w:rPr>
        <w:t xml:space="preserve">» </w:t>
      </w:r>
      <w:r w:rsidRPr="00467F9C">
        <w:rPr>
          <w:bCs/>
          <w:sz w:val="28"/>
          <w:szCs w:val="28"/>
        </w:rPr>
        <w:t xml:space="preserve">– </w:t>
      </w:r>
      <w:r w:rsidRPr="00467F9C">
        <w:rPr>
          <w:sz w:val="28"/>
          <w:szCs w:val="28"/>
        </w:rPr>
        <w:t xml:space="preserve">36,4% (19 887 659,5 тыс. рублей), «Национальная экономика» – 21,6% (11 763 103,3 тыс. рублей), «Межбюджетные трансферты общего характера» – 11,2% (6 118 889,1 тыс. рублей), «Образование» – 12,6% (6 902 097,5 тыс. рублей) и «Здравоохранение» – 6,8% (3 739 960,6 тыс. рублей). </w:t>
      </w:r>
    </w:p>
    <w:p w:rsidR="009E26F4" w:rsidRPr="00467F9C" w:rsidRDefault="009E26F4" w:rsidP="00191861">
      <w:pPr>
        <w:pStyle w:val="19"/>
        <w:spacing w:before="120"/>
        <w:ind w:firstLine="709"/>
        <w:rPr>
          <w:color w:val="auto"/>
        </w:rPr>
      </w:pPr>
      <w:r w:rsidRPr="00467F9C">
        <w:rPr>
          <w:color w:val="auto"/>
        </w:rPr>
        <w:t xml:space="preserve">В общем объеме расходов окружного бюджета на 2021 год доля ассигнований, утвержденных на реализацию 18 государственных программ, составила 96,5%. В 2021 году мероприятия государственных программ профинансированы на общую сумму 52 677 350,5 тыс. рублей или 97,2% утвержденных сводной бюджетной росписью ассигнований. </w:t>
      </w:r>
    </w:p>
    <w:p w:rsidR="009E26F4" w:rsidRPr="00467F9C" w:rsidRDefault="009E26F4" w:rsidP="00191861">
      <w:pPr>
        <w:widowControl w:val="0"/>
        <w:spacing w:before="120"/>
        <w:ind w:firstLine="709"/>
        <w:jc w:val="both"/>
        <w:rPr>
          <w:sz w:val="28"/>
          <w:szCs w:val="28"/>
        </w:rPr>
      </w:pPr>
      <w:r w:rsidRPr="00467F9C">
        <w:rPr>
          <w:sz w:val="28"/>
          <w:szCs w:val="28"/>
        </w:rPr>
        <w:t xml:space="preserve">По состоянию на 1 января 2022 года на учете состоит 50 объектов недвижимого имущества и незавершенного строительства, общий объем средств, направленный на реализацию мероприятий по строительству указанных объектов, составляет 5 697 681,5 тыс. рублей. Наибольший удельный вес (88,4%) в объеме бюджетных ассигнований составили </w:t>
      </w:r>
      <w:r w:rsidRPr="00467F9C">
        <w:rPr>
          <w:bCs/>
          <w:sz w:val="28"/>
          <w:szCs w:val="28"/>
        </w:rPr>
        <w:t xml:space="preserve">бюджетные инвестиции </w:t>
      </w:r>
      <w:r w:rsidRPr="00467F9C">
        <w:rPr>
          <w:sz w:val="28"/>
          <w:szCs w:val="28"/>
        </w:rPr>
        <w:t>в строительство 15 участков автомобильной дороги «Колыма-Омсукчан-Омолон-Анадырь на территории Чукотского автономного округа» и реконструкцию 14 участков автомобильной дороги «</w:t>
      </w:r>
      <w:proofErr w:type="spellStart"/>
      <w:r w:rsidRPr="00467F9C">
        <w:rPr>
          <w:sz w:val="28"/>
          <w:szCs w:val="28"/>
        </w:rPr>
        <w:t>Билибино</w:t>
      </w:r>
      <w:proofErr w:type="spellEnd"/>
      <w:r w:rsidRPr="00467F9C">
        <w:rPr>
          <w:sz w:val="28"/>
          <w:szCs w:val="28"/>
        </w:rPr>
        <w:t>-Комсомольский-</w:t>
      </w:r>
      <w:proofErr w:type="spellStart"/>
      <w:r w:rsidRPr="00467F9C">
        <w:rPr>
          <w:sz w:val="28"/>
          <w:szCs w:val="28"/>
        </w:rPr>
        <w:t>Певек</w:t>
      </w:r>
      <w:proofErr w:type="spellEnd"/>
      <w:r w:rsidRPr="00467F9C">
        <w:rPr>
          <w:sz w:val="28"/>
          <w:szCs w:val="28"/>
        </w:rPr>
        <w:t>».</w:t>
      </w:r>
    </w:p>
    <w:p w:rsidR="009E26F4" w:rsidRPr="00467F9C" w:rsidRDefault="009E26F4" w:rsidP="00191861">
      <w:pPr>
        <w:autoSpaceDE w:val="0"/>
        <w:autoSpaceDN w:val="0"/>
        <w:adjustRightInd w:val="0"/>
        <w:spacing w:before="120"/>
        <w:ind w:firstLine="708"/>
        <w:jc w:val="both"/>
        <w:rPr>
          <w:sz w:val="28"/>
          <w:szCs w:val="28"/>
        </w:rPr>
      </w:pPr>
      <w:r w:rsidRPr="00467F9C">
        <w:rPr>
          <w:sz w:val="28"/>
          <w:szCs w:val="28"/>
        </w:rPr>
        <w:t>Доходы Дорожного фонда в 2021 году составили 4 756 016,7 тыс. рублей, расходы – 5 779 502,5 тыс. рублей. Расходы Дорожного фонда, превышающие его доходы на 1 023 485,8 тыс. рублей, осуществлены за счет собственных средств окружного бюджета, что соответствует Закону Чукотского автономного округа от 26 сентября 2011 года №75-ОЗ «О дорожном фонде Чукотского автономного округа».</w:t>
      </w:r>
    </w:p>
    <w:p w:rsidR="009E26F4" w:rsidRPr="00467F9C" w:rsidRDefault="009E26F4" w:rsidP="00191861">
      <w:pPr>
        <w:spacing w:before="120"/>
        <w:ind w:firstLine="709"/>
        <w:jc w:val="both"/>
        <w:rPr>
          <w:sz w:val="28"/>
          <w:szCs w:val="28"/>
        </w:rPr>
      </w:pPr>
      <w:r w:rsidRPr="00467F9C">
        <w:rPr>
          <w:sz w:val="28"/>
          <w:szCs w:val="28"/>
        </w:rPr>
        <w:t xml:space="preserve">Резервный фонд Правительства Чукотского автономного округа на непредвиденные расходы в 2021 году утвержден в объеме 241 000,0 тыс. рублей, доля Резервного фонда в общих расходах окружного бюджета составила 0,4%, что не превысило ограничения, установленные статьей 81 Бюджетного кодекса (3%). Средства Резервного фонда распределены на общую сумму 236 824,7 тыс. рублей, </w:t>
      </w:r>
      <w:r w:rsidRPr="00467F9C">
        <w:rPr>
          <w:sz w:val="28"/>
          <w:szCs w:val="28"/>
        </w:rPr>
        <w:lastRenderedPageBreak/>
        <w:t xml:space="preserve">расходы составили 230 613,5 тыс. рублей или 95,7% утвержденного объема Резервного фонда. </w:t>
      </w:r>
    </w:p>
    <w:p w:rsidR="009E26F4" w:rsidRPr="00467F9C" w:rsidRDefault="009E26F4" w:rsidP="00191861">
      <w:pPr>
        <w:spacing w:before="120"/>
        <w:ind w:firstLine="709"/>
        <w:jc w:val="both"/>
        <w:rPr>
          <w:sz w:val="28"/>
          <w:szCs w:val="28"/>
        </w:rPr>
      </w:pPr>
      <w:r w:rsidRPr="00467F9C">
        <w:rPr>
          <w:sz w:val="28"/>
          <w:szCs w:val="28"/>
        </w:rPr>
        <w:t xml:space="preserve">По состоянию на 1 января 2022 года задолженность по выданным из окружного бюджета кредитам составила 938 273,0 тыс. рублей. Бюджетные кредиты предоставлены </w:t>
      </w:r>
      <w:r w:rsidRPr="00467F9C">
        <w:rPr>
          <w:rFonts w:eastAsiaTheme="minorHAnsi"/>
          <w:bCs/>
          <w:sz w:val="28"/>
          <w:szCs w:val="28"/>
          <w:lang w:eastAsia="en-US"/>
        </w:rPr>
        <w:t xml:space="preserve">местным бюджетам на частичное покрытие дефицитов и юридическим лицам для закупки и доставки топлива в Чукотский автономный округ, </w:t>
      </w:r>
      <w:r w:rsidRPr="00467F9C">
        <w:rPr>
          <w:sz w:val="28"/>
          <w:szCs w:val="28"/>
          <w:lang w:eastAsia="en-US"/>
        </w:rPr>
        <w:t xml:space="preserve">из них по муниципальным образованиям – 214 500,0 тыс. рублей. </w:t>
      </w:r>
      <w:r w:rsidRPr="00467F9C">
        <w:rPr>
          <w:sz w:val="28"/>
          <w:szCs w:val="28"/>
        </w:rPr>
        <w:t xml:space="preserve">В отчетном периоде в доход окружного бюджета поступила плата за предоставление кредитов в сумме 25 085,7 тыс. рублей. </w:t>
      </w:r>
    </w:p>
    <w:p w:rsidR="009E26F4" w:rsidRPr="00467F9C" w:rsidRDefault="009E26F4" w:rsidP="00191861">
      <w:pPr>
        <w:pStyle w:val="Default"/>
        <w:spacing w:before="120"/>
        <w:ind w:firstLine="709"/>
        <w:jc w:val="both"/>
        <w:rPr>
          <w:color w:val="auto"/>
          <w:sz w:val="28"/>
          <w:szCs w:val="28"/>
        </w:rPr>
      </w:pPr>
      <w:r w:rsidRPr="00467F9C">
        <w:rPr>
          <w:color w:val="auto"/>
          <w:sz w:val="28"/>
          <w:szCs w:val="28"/>
        </w:rPr>
        <w:t>Государственный долг Чукотского автономного округа по итогам 2021 года снизился на 566 630,2 тыс. рублей и по состоянию на 1 января 2022 года составил 9 682 712,5 тыс. рублей, из него 1 750 000,0 тыс. рублей – обеспечение государственных гарантий. Объем государственного долга не превышает норматив, установленный статьей 107 Бюджетного кодекса.</w:t>
      </w:r>
    </w:p>
    <w:p w:rsidR="009E26F4" w:rsidRPr="00467F9C" w:rsidRDefault="009E26F4" w:rsidP="00191861">
      <w:pPr>
        <w:spacing w:before="120"/>
        <w:ind w:firstLine="709"/>
        <w:jc w:val="both"/>
        <w:rPr>
          <w:sz w:val="28"/>
          <w:szCs w:val="28"/>
        </w:rPr>
      </w:pPr>
      <w:r w:rsidRPr="00467F9C">
        <w:rPr>
          <w:bCs/>
          <w:sz w:val="28"/>
          <w:szCs w:val="28"/>
        </w:rPr>
        <w:t>По состоянию на 1 января 2022 года дебиторская задолженность окружного бюджета снизилась</w:t>
      </w:r>
      <w:r w:rsidRPr="00467F9C">
        <w:rPr>
          <w:sz w:val="28"/>
          <w:szCs w:val="28"/>
        </w:rPr>
        <w:t xml:space="preserve"> на 41,3% или 24 739 012,7 тыс. рублей и составила 35 188 947,4 тыс. рублей. Кредиторская задолженность в отчетном периоде снизилась на 263 521,6 тыс. рублей и составила 1 482 936,7 тыс. рублей.</w:t>
      </w:r>
    </w:p>
    <w:p w:rsidR="009E26F4" w:rsidRPr="00467F9C" w:rsidRDefault="009E26F4" w:rsidP="00191861">
      <w:pPr>
        <w:autoSpaceDE w:val="0"/>
        <w:autoSpaceDN w:val="0"/>
        <w:adjustRightInd w:val="0"/>
        <w:spacing w:before="120"/>
        <w:ind w:firstLine="709"/>
        <w:jc w:val="both"/>
        <w:rPr>
          <w:sz w:val="28"/>
          <w:szCs w:val="28"/>
        </w:rPr>
      </w:pPr>
      <w:r w:rsidRPr="00467F9C">
        <w:rPr>
          <w:sz w:val="28"/>
          <w:szCs w:val="28"/>
        </w:rPr>
        <w:t>В ходе проверки бюджетной отчетности главных администраторов средств окружного бюджета за 2021 год установлены нарушения бюджетного законодательства и требований к бюджетному (бухгалтерскому) учету и сдаче отчетности, выявлено 199 процедурных нарушений, не имеющих финансовой оценки, и 65 нарушений, финансовая оценка которых составила 18 618,2 тыс. рублей.</w:t>
      </w:r>
    </w:p>
    <w:p w:rsidR="009E26F4" w:rsidRPr="00467F9C" w:rsidRDefault="009E26F4" w:rsidP="00191861">
      <w:pPr>
        <w:widowControl w:val="0"/>
        <w:tabs>
          <w:tab w:val="left" w:pos="567"/>
        </w:tabs>
        <w:suppressAutoHyphens/>
        <w:spacing w:before="120"/>
        <w:ind w:firstLine="709"/>
        <w:jc w:val="both"/>
        <w:rPr>
          <w:bCs/>
          <w:strike/>
          <w:sz w:val="28"/>
          <w:szCs w:val="28"/>
          <w:highlight w:val="yellow"/>
        </w:rPr>
      </w:pPr>
      <w:r w:rsidRPr="00467F9C">
        <w:rPr>
          <w:bCs/>
          <w:sz w:val="28"/>
          <w:szCs w:val="28"/>
        </w:rPr>
        <w:t xml:space="preserve">Поверкой выявлено нерезультативные использование бюджетных средств в сумме 13 571,3 тыс. рублей. </w:t>
      </w:r>
    </w:p>
    <w:p w:rsidR="009E26F4" w:rsidRPr="00467F9C" w:rsidRDefault="009E26F4" w:rsidP="00191861">
      <w:pPr>
        <w:autoSpaceDE w:val="0"/>
        <w:autoSpaceDN w:val="0"/>
        <w:adjustRightInd w:val="0"/>
        <w:spacing w:before="120"/>
        <w:ind w:firstLine="709"/>
        <w:jc w:val="both"/>
        <w:rPr>
          <w:rFonts w:eastAsiaTheme="minorHAnsi"/>
          <w:sz w:val="28"/>
          <w:szCs w:val="28"/>
          <w:lang w:eastAsia="en-US"/>
        </w:rPr>
      </w:pPr>
      <w:r w:rsidRPr="00467F9C">
        <w:rPr>
          <w:rFonts w:eastAsiaTheme="minorHAnsi"/>
          <w:sz w:val="28"/>
          <w:szCs w:val="28"/>
          <w:lang w:eastAsia="en-US"/>
        </w:rPr>
        <w:t xml:space="preserve">Представленный к внешней проверке отчет об исполнении окружного бюджета за 2021 год (далее – отчет) сформирован с учетом требований нормативных правовых актов, регламентирующих порядок составления и представления отчетности об исполнении бюджетов бюджетной системы Российской Федерации. </w:t>
      </w:r>
    </w:p>
    <w:p w:rsidR="009E26F4" w:rsidRPr="00467F9C" w:rsidRDefault="009E26F4" w:rsidP="00191861">
      <w:pPr>
        <w:autoSpaceDE w:val="0"/>
        <w:autoSpaceDN w:val="0"/>
        <w:adjustRightInd w:val="0"/>
        <w:ind w:firstLine="709"/>
        <w:jc w:val="both"/>
        <w:rPr>
          <w:rFonts w:eastAsiaTheme="minorHAnsi"/>
          <w:sz w:val="28"/>
          <w:szCs w:val="28"/>
          <w:lang w:eastAsia="en-US"/>
        </w:rPr>
      </w:pPr>
      <w:r w:rsidRPr="00467F9C">
        <w:rPr>
          <w:rFonts w:eastAsiaTheme="minorHAnsi"/>
          <w:sz w:val="28"/>
          <w:szCs w:val="28"/>
          <w:lang w:eastAsia="en-US"/>
        </w:rPr>
        <w:t xml:space="preserve">Показатели, отраженные в отчете, соответствуют показателям сводной бюджетной росписи окружного бюджета на 2021 год. Отклонения показателей отчета от законодательно утвержденных назначений имеют объективный характер, их причины соответствуют основаниям, установленным бюджетным законодательством Российской Федерации. </w:t>
      </w:r>
    </w:p>
    <w:p w:rsidR="009E26F4" w:rsidRPr="00467F9C" w:rsidRDefault="009E26F4" w:rsidP="00191861">
      <w:pPr>
        <w:pStyle w:val="Default"/>
        <w:ind w:firstLine="709"/>
        <w:jc w:val="both"/>
        <w:rPr>
          <w:rFonts w:eastAsiaTheme="minorHAnsi"/>
          <w:color w:val="auto"/>
          <w:sz w:val="28"/>
          <w:szCs w:val="28"/>
          <w:lang w:eastAsia="en-US"/>
        </w:rPr>
      </w:pPr>
      <w:r w:rsidRPr="00467F9C">
        <w:rPr>
          <w:rFonts w:eastAsiaTheme="minorHAnsi"/>
          <w:color w:val="auto"/>
          <w:sz w:val="28"/>
          <w:szCs w:val="28"/>
          <w:lang w:eastAsia="en-US"/>
        </w:rPr>
        <w:t>Показатели отчета подтверждаются данными годовой бюджетной отчетности главных администраторов бюджетных средств по основным параметрам.</w:t>
      </w:r>
    </w:p>
    <w:bookmarkEnd w:id="39"/>
    <w:bookmarkEnd w:id="40"/>
    <w:p w:rsidR="009E26F4" w:rsidRPr="00467F9C" w:rsidRDefault="009E26F4" w:rsidP="00191861">
      <w:pPr>
        <w:pStyle w:val="a7"/>
        <w:shd w:val="clear" w:color="auto" w:fill="FFFFFF"/>
        <w:spacing w:before="0" w:beforeAutospacing="0" w:after="0" w:afterAutospacing="0"/>
        <w:ind w:firstLine="709"/>
        <w:jc w:val="both"/>
        <w:rPr>
          <w:sz w:val="28"/>
          <w:szCs w:val="28"/>
        </w:rPr>
      </w:pPr>
    </w:p>
    <w:p w:rsidR="009E26F4" w:rsidRPr="00467F9C" w:rsidRDefault="009E26F4" w:rsidP="00191861">
      <w:pPr>
        <w:pStyle w:val="a7"/>
        <w:shd w:val="clear" w:color="auto" w:fill="FFFFFF"/>
        <w:spacing w:before="0" w:beforeAutospacing="0" w:after="0" w:afterAutospacing="0"/>
        <w:ind w:firstLine="709"/>
        <w:jc w:val="both"/>
        <w:rPr>
          <w:sz w:val="28"/>
          <w:szCs w:val="28"/>
        </w:rPr>
      </w:pPr>
    </w:p>
    <w:p w:rsidR="009E26F4" w:rsidRPr="00467F9C" w:rsidRDefault="009E26F4" w:rsidP="00191861">
      <w:pPr>
        <w:pStyle w:val="a7"/>
        <w:shd w:val="clear" w:color="auto" w:fill="FFFFFF"/>
        <w:spacing w:before="0" w:beforeAutospacing="0" w:after="0" w:afterAutospacing="0"/>
        <w:ind w:firstLine="709"/>
        <w:jc w:val="both"/>
        <w:rPr>
          <w:sz w:val="28"/>
          <w:szCs w:val="28"/>
        </w:rPr>
      </w:pPr>
    </w:p>
    <w:p w:rsidR="00191861" w:rsidRPr="00467F9C" w:rsidRDefault="009E26F4" w:rsidP="00191861">
      <w:pPr>
        <w:pStyle w:val="a7"/>
        <w:shd w:val="clear" w:color="auto" w:fill="FFFFFF"/>
        <w:spacing w:before="0" w:beforeAutospacing="0" w:after="0" w:afterAutospacing="0"/>
        <w:jc w:val="both"/>
        <w:rPr>
          <w:sz w:val="28"/>
          <w:szCs w:val="28"/>
        </w:rPr>
      </w:pPr>
      <w:r w:rsidRPr="00467F9C">
        <w:rPr>
          <w:sz w:val="28"/>
          <w:szCs w:val="28"/>
        </w:rPr>
        <w:t>Аудитор</w:t>
      </w:r>
      <w:r w:rsidRPr="00467F9C">
        <w:rPr>
          <w:sz w:val="28"/>
          <w:szCs w:val="28"/>
        </w:rPr>
        <w:tab/>
      </w:r>
      <w:r w:rsidRPr="00467F9C">
        <w:rPr>
          <w:sz w:val="28"/>
          <w:szCs w:val="28"/>
        </w:rPr>
        <w:tab/>
      </w:r>
      <w:r w:rsidR="005F3AC0" w:rsidRPr="00467F9C">
        <w:rPr>
          <w:sz w:val="28"/>
          <w:szCs w:val="28"/>
        </w:rPr>
        <w:t xml:space="preserve">     </w:t>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t xml:space="preserve">        </w:t>
      </w:r>
      <w:r w:rsidR="00497EF6">
        <w:rPr>
          <w:sz w:val="28"/>
          <w:szCs w:val="28"/>
        </w:rPr>
        <w:t xml:space="preserve">         </w:t>
      </w:r>
      <w:r w:rsidRPr="00467F9C">
        <w:rPr>
          <w:sz w:val="28"/>
          <w:szCs w:val="28"/>
        </w:rPr>
        <w:t xml:space="preserve">   И.В. Бондаренко</w:t>
      </w:r>
    </w:p>
    <w:p w:rsidR="00191861" w:rsidRPr="00467F9C" w:rsidRDefault="00191861" w:rsidP="00191861">
      <w:pPr>
        <w:spacing w:after="200"/>
        <w:rPr>
          <w:sz w:val="28"/>
          <w:szCs w:val="28"/>
        </w:rPr>
      </w:pPr>
      <w:r w:rsidRPr="00467F9C">
        <w:rPr>
          <w:sz w:val="28"/>
          <w:szCs w:val="28"/>
        </w:rPr>
        <w:br w:type="page"/>
      </w:r>
    </w:p>
    <w:p w:rsidR="00191861" w:rsidRPr="00497EF6" w:rsidRDefault="00497EF6" w:rsidP="00191861">
      <w:pPr>
        <w:jc w:val="center"/>
        <w:rPr>
          <w:b/>
          <w:sz w:val="28"/>
          <w:szCs w:val="28"/>
        </w:rPr>
      </w:pPr>
      <w:r w:rsidRPr="00497EF6">
        <w:rPr>
          <w:b/>
          <w:sz w:val="28"/>
          <w:szCs w:val="28"/>
        </w:rPr>
        <w:lastRenderedPageBreak/>
        <w:t>ЗАКЛЮЧЕНИЕ</w:t>
      </w:r>
    </w:p>
    <w:p w:rsidR="00A91FB9" w:rsidRDefault="00191861" w:rsidP="00191861">
      <w:pPr>
        <w:jc w:val="center"/>
        <w:rPr>
          <w:b/>
          <w:sz w:val="28"/>
          <w:szCs w:val="28"/>
        </w:rPr>
      </w:pPr>
      <w:r w:rsidRPr="00A91FB9">
        <w:rPr>
          <w:b/>
          <w:sz w:val="28"/>
          <w:szCs w:val="28"/>
        </w:rPr>
        <w:t>Счетной палаты Чукотского автономного округа на проект закона Чукотского автономного округа «Об исполнении окружного бюджета</w:t>
      </w:r>
    </w:p>
    <w:p w:rsidR="00191861" w:rsidRPr="00A91FB9" w:rsidRDefault="00191861" w:rsidP="00191861">
      <w:pPr>
        <w:jc w:val="center"/>
        <w:rPr>
          <w:b/>
          <w:sz w:val="28"/>
          <w:szCs w:val="28"/>
        </w:rPr>
      </w:pPr>
      <w:r w:rsidRPr="00A91FB9">
        <w:rPr>
          <w:b/>
          <w:sz w:val="28"/>
          <w:szCs w:val="28"/>
        </w:rPr>
        <w:t>за 2021 год»</w:t>
      </w:r>
    </w:p>
    <w:p w:rsidR="00191861" w:rsidRPr="00467F9C" w:rsidRDefault="00191861" w:rsidP="00191861">
      <w:pPr>
        <w:spacing w:before="120"/>
        <w:jc w:val="center"/>
      </w:pPr>
      <w:r w:rsidRPr="00467F9C">
        <w:t>утверждено Коллегией Счетной палаты Чукотского автономного округа</w:t>
      </w:r>
    </w:p>
    <w:p w:rsidR="00191861" w:rsidRPr="00467F9C" w:rsidRDefault="00191861" w:rsidP="00191861">
      <w:pPr>
        <w:jc w:val="center"/>
      </w:pPr>
      <w:r w:rsidRPr="00467F9C">
        <w:t>протокол от 16 мая 2022 года №9</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67F9C" w:rsidRPr="00467F9C" w:rsidTr="00410767">
        <w:tc>
          <w:tcPr>
            <w:tcW w:w="4818" w:type="dxa"/>
          </w:tcPr>
          <w:p w:rsidR="00191861" w:rsidRPr="00467F9C" w:rsidRDefault="00191861" w:rsidP="00191861">
            <w:pPr>
              <w:rPr>
                <w:sz w:val="28"/>
                <w:szCs w:val="28"/>
              </w:rPr>
            </w:pPr>
          </w:p>
        </w:tc>
        <w:tc>
          <w:tcPr>
            <w:tcW w:w="4819" w:type="dxa"/>
          </w:tcPr>
          <w:p w:rsidR="00191861" w:rsidRPr="00467F9C" w:rsidRDefault="00191861" w:rsidP="00191861">
            <w:pPr>
              <w:jc w:val="right"/>
              <w:rPr>
                <w:sz w:val="28"/>
                <w:szCs w:val="28"/>
              </w:rPr>
            </w:pPr>
          </w:p>
        </w:tc>
      </w:tr>
    </w:tbl>
    <w:p w:rsidR="00191861" w:rsidRPr="00467F9C" w:rsidRDefault="00191861" w:rsidP="00191861">
      <w:pPr>
        <w:spacing w:before="240"/>
        <w:ind w:firstLine="709"/>
        <w:jc w:val="both"/>
        <w:rPr>
          <w:sz w:val="28"/>
          <w:szCs w:val="28"/>
        </w:rPr>
      </w:pPr>
      <w:r w:rsidRPr="00467F9C">
        <w:rPr>
          <w:sz w:val="28"/>
          <w:szCs w:val="28"/>
        </w:rPr>
        <w:t xml:space="preserve">Заключение Счетной палаты Чукотского автономного округа </w:t>
      </w:r>
      <w:bookmarkStart w:id="41" w:name="_Hlk40792614"/>
      <w:r w:rsidRPr="00467F9C">
        <w:rPr>
          <w:sz w:val="28"/>
          <w:szCs w:val="28"/>
        </w:rPr>
        <w:t>(далее – Счетная палата) на проект Закона «Об исполнении окружного бюджета за 2020 год»</w:t>
      </w:r>
      <w:bookmarkEnd w:id="41"/>
      <w:r w:rsidRPr="00467F9C">
        <w:rPr>
          <w:sz w:val="28"/>
          <w:szCs w:val="28"/>
        </w:rPr>
        <w:t xml:space="preserve"> (далее – Законопроект) подготовлено в соответствии с Бюджетным кодексом Российской Федерации, пунктом 7 части 1 статьи 9 Федерального закона 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со статьей 2 Закона Чукотского автономного округа от 30 июня 1998 года №36-ОЗ «О Счетной палате Чукотского автономного округа» и с использованием Стандарта внешнего государственного финансового контроля «Общие правила проведения финансово-экономической экспертизы проектов нормативных правовых актов Чукотского автономного округа», утвержденным приказом Счетной палаты Чукотского автономного округа от 25 декабря 2013 года №94-о/д. </w:t>
      </w:r>
    </w:p>
    <w:p w:rsidR="00191861" w:rsidRPr="00467F9C" w:rsidRDefault="00191861" w:rsidP="00191861">
      <w:pPr>
        <w:ind w:firstLine="709"/>
        <w:jc w:val="both"/>
        <w:rPr>
          <w:sz w:val="28"/>
          <w:szCs w:val="28"/>
        </w:rPr>
      </w:pPr>
      <w:r w:rsidRPr="00467F9C">
        <w:rPr>
          <w:sz w:val="28"/>
          <w:szCs w:val="28"/>
        </w:rPr>
        <w:t>Законопроект принимается в рамках полномочий органа государственной власти субъекта Российской Федерации, установленных статьей 26.1 Федерального закона от 6 октября 1999 года №184</w:t>
      </w:r>
      <w:r w:rsidRPr="00467F9C">
        <w:rPr>
          <w:sz w:val="28"/>
          <w:szCs w:val="28"/>
        </w:rPr>
        <w:noBreakHyphen/>
        <w:t>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91861" w:rsidRPr="00467F9C" w:rsidRDefault="00191861" w:rsidP="00191861">
      <w:pPr>
        <w:ind w:firstLine="709"/>
        <w:jc w:val="both"/>
        <w:rPr>
          <w:sz w:val="28"/>
          <w:szCs w:val="28"/>
        </w:rPr>
      </w:pPr>
      <w:r w:rsidRPr="00467F9C">
        <w:rPr>
          <w:sz w:val="28"/>
          <w:szCs w:val="28"/>
        </w:rPr>
        <w:t>Экспертиза проведена на основе результатов проверок Счетной палаты Чукотского автономного округа, в соответствии со статьей 264.4 Бюджетного кодекса Российской Федерации:</w:t>
      </w:r>
    </w:p>
    <w:p w:rsidR="00191861" w:rsidRPr="00467F9C" w:rsidRDefault="00191861" w:rsidP="00191861">
      <w:pPr>
        <w:ind w:firstLine="709"/>
        <w:jc w:val="both"/>
        <w:rPr>
          <w:sz w:val="28"/>
          <w:szCs w:val="28"/>
        </w:rPr>
      </w:pPr>
      <w:r w:rsidRPr="00467F9C">
        <w:rPr>
          <w:sz w:val="28"/>
          <w:szCs w:val="28"/>
        </w:rPr>
        <w:t>- бюджетной отчетности главных распорядителей средств окружного бюджета по исполнению окружного бюджета за 2021 год;</w:t>
      </w:r>
    </w:p>
    <w:p w:rsidR="00191861" w:rsidRPr="00467F9C" w:rsidRDefault="00191861" w:rsidP="00191861">
      <w:pPr>
        <w:ind w:firstLine="709"/>
        <w:jc w:val="both"/>
        <w:rPr>
          <w:sz w:val="28"/>
          <w:szCs w:val="28"/>
        </w:rPr>
      </w:pPr>
      <w:r w:rsidRPr="00467F9C">
        <w:rPr>
          <w:sz w:val="28"/>
          <w:szCs w:val="28"/>
        </w:rPr>
        <w:t>- отчета Правительства Чукотского автономного округа об исполнении окружного бюджета за 2021 год.</w:t>
      </w:r>
    </w:p>
    <w:p w:rsidR="00191861" w:rsidRPr="00467F9C" w:rsidRDefault="00191861" w:rsidP="00191861">
      <w:pPr>
        <w:ind w:firstLine="709"/>
        <w:jc w:val="both"/>
        <w:rPr>
          <w:sz w:val="28"/>
          <w:szCs w:val="28"/>
        </w:rPr>
      </w:pPr>
      <w:r w:rsidRPr="00467F9C">
        <w:rPr>
          <w:sz w:val="28"/>
          <w:szCs w:val="28"/>
        </w:rPr>
        <w:t xml:space="preserve">Показатели Законопроекта и приложений к нему соответствуют показателям </w:t>
      </w:r>
      <w:bookmarkStart w:id="42" w:name="_Hlk102925398"/>
      <w:r w:rsidRPr="00467F9C">
        <w:rPr>
          <w:sz w:val="28"/>
          <w:szCs w:val="28"/>
        </w:rPr>
        <w:t>отчета об исполнении окружного бюджета за 2021 год</w:t>
      </w:r>
      <w:bookmarkEnd w:id="42"/>
      <w:r w:rsidRPr="00467F9C">
        <w:rPr>
          <w:sz w:val="28"/>
          <w:szCs w:val="28"/>
        </w:rPr>
        <w:t>, представленного Правительством Чукотского автономного округа в Счетную палату Чукотского автономного округа.</w:t>
      </w:r>
    </w:p>
    <w:p w:rsidR="00191861" w:rsidRPr="00467F9C" w:rsidRDefault="00191861" w:rsidP="00191861">
      <w:pPr>
        <w:ind w:firstLine="709"/>
        <w:jc w:val="both"/>
        <w:rPr>
          <w:sz w:val="28"/>
          <w:szCs w:val="28"/>
        </w:rPr>
      </w:pPr>
      <w:r w:rsidRPr="00467F9C">
        <w:rPr>
          <w:sz w:val="28"/>
          <w:szCs w:val="28"/>
        </w:rPr>
        <w:t>По результатам исполнения окружного бюджета доходы составили 51 237 594,3 тыс. рублей, или 102,5% прогнозных назначений, из них налоговые и неналоговые доходы поступили в окружной бюджет в объеме 20 231 435,5 тыс. рублей, что на 7,5% превышает плановые назначения. Объем безвозмездных поступлений составил 31 006 158,8 тыс. рублей.</w:t>
      </w:r>
    </w:p>
    <w:p w:rsidR="00191861" w:rsidRPr="00467F9C" w:rsidRDefault="00191861" w:rsidP="00191861">
      <w:pPr>
        <w:ind w:firstLine="709"/>
        <w:jc w:val="both"/>
        <w:rPr>
          <w:sz w:val="28"/>
          <w:szCs w:val="28"/>
        </w:rPr>
      </w:pPr>
      <w:r w:rsidRPr="00467F9C">
        <w:rPr>
          <w:sz w:val="28"/>
          <w:szCs w:val="28"/>
        </w:rPr>
        <w:lastRenderedPageBreak/>
        <w:t>Расходы окружного бюджета составили 54 604 715,7 тыс. рублей или 97,4% плановых назначений, утвержденных Законом об окружном бюджете на 2021 год</w:t>
      </w:r>
      <w:r w:rsidRPr="00467F9C">
        <w:rPr>
          <w:rStyle w:val="ab"/>
          <w:sz w:val="28"/>
          <w:szCs w:val="28"/>
        </w:rPr>
        <w:footnoteReference w:id="81"/>
      </w:r>
      <w:r w:rsidRPr="00467F9C">
        <w:rPr>
          <w:sz w:val="28"/>
          <w:szCs w:val="28"/>
        </w:rPr>
        <w:t xml:space="preserve">, и 97,2% сводной бюджетной росписи (56 151 343,9 тыс. рублей). Окружной бюджет исполнен с дефицитом в размере 3 367 121,4 тыс. рублей при утвержденном – 6 149 935,6 тыс. рублей. </w:t>
      </w:r>
    </w:p>
    <w:p w:rsidR="00191861" w:rsidRPr="00467F9C" w:rsidRDefault="00191861" w:rsidP="00191861">
      <w:pPr>
        <w:pStyle w:val="Default"/>
        <w:ind w:firstLine="709"/>
        <w:jc w:val="both"/>
        <w:rPr>
          <w:color w:val="auto"/>
          <w:sz w:val="28"/>
          <w:szCs w:val="28"/>
        </w:rPr>
      </w:pPr>
      <w:r w:rsidRPr="00467F9C">
        <w:rPr>
          <w:color w:val="auto"/>
          <w:sz w:val="28"/>
          <w:szCs w:val="28"/>
        </w:rPr>
        <w:t xml:space="preserve">Государственный долг Чукотского автономного округа по итогам 2021 года составил 9 682 712,5 тыс. рублей, из него 1 750 000,0 тыс. рублей – обеспечение государственных гарантий. </w:t>
      </w:r>
    </w:p>
    <w:p w:rsidR="00191861" w:rsidRPr="00467F9C" w:rsidRDefault="00191861" w:rsidP="00191861">
      <w:pPr>
        <w:ind w:firstLine="709"/>
        <w:jc w:val="both"/>
        <w:rPr>
          <w:sz w:val="28"/>
          <w:szCs w:val="28"/>
        </w:rPr>
      </w:pPr>
      <w:r w:rsidRPr="00467F9C">
        <w:rPr>
          <w:sz w:val="28"/>
          <w:szCs w:val="28"/>
        </w:rPr>
        <w:t xml:space="preserve">Основные характеристики исполнения окружного бюджета, указанные </w:t>
      </w:r>
      <w:r w:rsidRPr="00467F9C">
        <w:rPr>
          <w:sz w:val="28"/>
          <w:szCs w:val="28"/>
        </w:rPr>
        <w:br/>
        <w:t>в статье 1 Законопроекта, соответствуют результатам проверки отчета Правительства Чукотского автономного округа об исполнении окружного бюджета за 2021 год и изложены в полном соответствии с абзацем 1 статьи 264.6 Бюджетного кодекса Российской Федерации.</w:t>
      </w:r>
    </w:p>
    <w:p w:rsidR="00191861" w:rsidRPr="00467F9C" w:rsidRDefault="00191861" w:rsidP="00191861">
      <w:pPr>
        <w:ind w:firstLine="709"/>
        <w:jc w:val="both"/>
        <w:rPr>
          <w:sz w:val="28"/>
          <w:szCs w:val="28"/>
        </w:rPr>
      </w:pPr>
      <w:r w:rsidRPr="00467F9C">
        <w:rPr>
          <w:sz w:val="28"/>
          <w:szCs w:val="28"/>
        </w:rPr>
        <w:t xml:space="preserve">Плановые и фактические показатели доходной и расходной частей окружного бюджета Законопроекта соответствуют показателям доходов </w:t>
      </w:r>
      <w:r w:rsidRPr="00467F9C">
        <w:rPr>
          <w:sz w:val="28"/>
          <w:szCs w:val="28"/>
        </w:rPr>
        <w:br/>
        <w:t>в разрезе источников поступлений и расходов в разрезе главных распорядителей бюджетных средств. При исполнении окружного бюджета за 2021 год Правительством Чукотского автономного округа не допущено превышение расходов сверх бюджетных назначений.</w:t>
      </w:r>
    </w:p>
    <w:p w:rsidR="00191861" w:rsidRPr="00467F9C" w:rsidRDefault="00191861" w:rsidP="00191861">
      <w:pPr>
        <w:ind w:firstLine="709"/>
        <w:jc w:val="both"/>
        <w:rPr>
          <w:sz w:val="28"/>
          <w:szCs w:val="28"/>
        </w:rPr>
      </w:pPr>
      <w:r w:rsidRPr="00467F9C">
        <w:rPr>
          <w:sz w:val="28"/>
          <w:szCs w:val="28"/>
        </w:rPr>
        <w:t>Перечень приложений (№1, 2, 3, 4 и 14) к Законопроекту соответствует требованиям статьи 264.6 Бюджетного кодекса Российской Федерации.</w:t>
      </w:r>
    </w:p>
    <w:p w:rsidR="00191861" w:rsidRPr="00467F9C" w:rsidRDefault="00191861" w:rsidP="00191861">
      <w:pPr>
        <w:spacing w:before="120"/>
        <w:ind w:firstLine="709"/>
        <w:jc w:val="both"/>
        <w:rPr>
          <w:sz w:val="28"/>
          <w:szCs w:val="28"/>
        </w:rPr>
      </w:pPr>
      <w:r w:rsidRPr="00467F9C">
        <w:rPr>
          <w:sz w:val="28"/>
          <w:szCs w:val="28"/>
        </w:rPr>
        <w:t xml:space="preserve">По результатам проведенных контрольных и экспертно-аналитических мероприятий (внешних проверок годовой бюджетной отчетности главных распорядителей средств окружного бюджета), установлено, что при исполнении окружного бюджета за 2021 год нормы бюджетного законодательства соблюдены, за исключением недостатков, нашедших отражение в Заключении Счетной палаты по результатам внешней проверки годового отчета об исполнении окружного бюджета за 2021 год. </w:t>
      </w:r>
    </w:p>
    <w:p w:rsidR="00191861" w:rsidRPr="00467F9C" w:rsidRDefault="00191861" w:rsidP="00191861">
      <w:pPr>
        <w:spacing w:after="200"/>
        <w:rPr>
          <w:sz w:val="28"/>
          <w:szCs w:val="28"/>
        </w:rPr>
      </w:pPr>
      <w:r w:rsidRPr="00467F9C">
        <w:rPr>
          <w:sz w:val="28"/>
          <w:szCs w:val="28"/>
        </w:rPr>
        <w:br w:type="page"/>
      </w:r>
    </w:p>
    <w:p w:rsidR="00191861" w:rsidRPr="00467F9C" w:rsidRDefault="00191861" w:rsidP="00191861">
      <w:pPr>
        <w:tabs>
          <w:tab w:val="left" w:pos="709"/>
        </w:tabs>
        <w:jc w:val="center"/>
        <w:rPr>
          <w:b/>
          <w:sz w:val="28"/>
          <w:szCs w:val="28"/>
        </w:rPr>
      </w:pPr>
      <w:r w:rsidRPr="00467F9C">
        <w:rPr>
          <w:b/>
          <w:sz w:val="28"/>
          <w:szCs w:val="28"/>
        </w:rPr>
        <w:lastRenderedPageBreak/>
        <w:t>ОТЧЕТ</w:t>
      </w:r>
    </w:p>
    <w:p w:rsidR="00191861" w:rsidRPr="00467F9C" w:rsidRDefault="00191861" w:rsidP="00191861">
      <w:pPr>
        <w:tabs>
          <w:tab w:val="left" w:pos="709"/>
        </w:tabs>
        <w:jc w:val="center"/>
        <w:rPr>
          <w:b/>
          <w:bCs/>
          <w:sz w:val="28"/>
          <w:szCs w:val="28"/>
        </w:rPr>
      </w:pPr>
      <w:r w:rsidRPr="00467F9C">
        <w:rPr>
          <w:b/>
          <w:sz w:val="28"/>
          <w:szCs w:val="28"/>
        </w:rPr>
        <w:t>по результатам э</w:t>
      </w:r>
      <w:r w:rsidRPr="00467F9C">
        <w:rPr>
          <w:b/>
          <w:bCs/>
          <w:sz w:val="28"/>
          <w:szCs w:val="28"/>
        </w:rPr>
        <w:t>кспертно-аналитического мероприятия</w:t>
      </w:r>
    </w:p>
    <w:p w:rsidR="00191861" w:rsidRPr="00467F9C" w:rsidRDefault="00191861" w:rsidP="00191861">
      <w:pPr>
        <w:tabs>
          <w:tab w:val="left" w:pos="709"/>
        </w:tabs>
        <w:jc w:val="center"/>
        <w:rPr>
          <w:b/>
          <w:sz w:val="28"/>
          <w:szCs w:val="28"/>
        </w:rPr>
      </w:pPr>
      <w:r w:rsidRPr="00467F9C">
        <w:rPr>
          <w:b/>
          <w:bCs/>
          <w:sz w:val="28"/>
          <w:szCs w:val="28"/>
        </w:rPr>
        <w:t xml:space="preserve"> </w:t>
      </w:r>
      <w:bookmarkStart w:id="43" w:name="_Hlk39070426"/>
      <w:r w:rsidRPr="00467F9C">
        <w:rPr>
          <w:b/>
          <w:sz w:val="28"/>
          <w:szCs w:val="28"/>
        </w:rPr>
        <w:t>«</w:t>
      </w:r>
      <w:r w:rsidRPr="00467F9C">
        <w:rPr>
          <w:b/>
          <w:iCs/>
          <w:sz w:val="28"/>
          <w:szCs w:val="28"/>
        </w:rPr>
        <w:t>Анализ сводного годового доклада о ходе реализации и оценке эффективности государственных программ Чукотского автономного округа за 2021 год</w:t>
      </w:r>
      <w:r w:rsidRPr="00467F9C">
        <w:rPr>
          <w:b/>
          <w:sz w:val="28"/>
          <w:szCs w:val="28"/>
        </w:rPr>
        <w:t>»</w:t>
      </w:r>
      <w:bookmarkEnd w:id="43"/>
    </w:p>
    <w:p w:rsidR="00191861" w:rsidRDefault="00191861" w:rsidP="00191861">
      <w:pPr>
        <w:jc w:val="both"/>
        <w:rPr>
          <w:sz w:val="28"/>
          <w:szCs w:val="28"/>
        </w:rPr>
      </w:pPr>
      <w:r w:rsidRPr="00467F9C">
        <w:rPr>
          <w:sz w:val="28"/>
          <w:szCs w:val="28"/>
        </w:rPr>
        <w:t xml:space="preserve">16 мая 2022 года </w:t>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t xml:space="preserve">           г. Анадырь</w:t>
      </w:r>
    </w:p>
    <w:p w:rsidR="00417B78" w:rsidRPr="00467F9C" w:rsidRDefault="00417B78" w:rsidP="00191861">
      <w:pPr>
        <w:jc w:val="both"/>
        <w:rPr>
          <w:sz w:val="28"/>
          <w:szCs w:val="28"/>
        </w:rPr>
      </w:pPr>
    </w:p>
    <w:p w:rsidR="00191861" w:rsidRPr="00467F9C" w:rsidRDefault="00191861" w:rsidP="00191861">
      <w:pPr>
        <w:pStyle w:val="ac"/>
        <w:tabs>
          <w:tab w:val="left" w:pos="709"/>
        </w:tabs>
        <w:spacing w:before="80"/>
        <w:ind w:firstLine="709"/>
        <w:rPr>
          <w:rFonts w:ascii="Times New Roman" w:hAnsi="Times New Roman" w:cs="Times New Roman"/>
          <w:b/>
          <w:sz w:val="16"/>
          <w:szCs w:val="16"/>
        </w:rPr>
      </w:pPr>
      <w:r w:rsidRPr="00467F9C">
        <w:rPr>
          <w:rFonts w:ascii="Times New Roman" w:hAnsi="Times New Roman" w:cs="Times New Roman"/>
          <w:b/>
          <w:sz w:val="28"/>
          <w:szCs w:val="28"/>
        </w:rPr>
        <w:t xml:space="preserve">1. Основание для проведения экспертно-аналитического мероприятия: </w:t>
      </w:r>
      <w:r w:rsidRPr="00467F9C">
        <w:rPr>
          <w:rFonts w:ascii="Times New Roman" w:hAnsi="Times New Roman" w:cs="Times New Roman"/>
          <w:sz w:val="28"/>
          <w:szCs w:val="28"/>
        </w:rPr>
        <w:t>пункт 2.6. Плана работы Счетной палаты Чукотского автономного округа на 2022 год.</w:t>
      </w:r>
    </w:p>
    <w:p w:rsidR="00191861" w:rsidRPr="00467F9C" w:rsidRDefault="00191861" w:rsidP="00191861">
      <w:pPr>
        <w:pStyle w:val="ConsPlusNonformat"/>
        <w:tabs>
          <w:tab w:val="left" w:pos="709"/>
        </w:tabs>
        <w:spacing w:before="80"/>
        <w:ind w:firstLine="709"/>
        <w:jc w:val="both"/>
        <w:rPr>
          <w:rFonts w:ascii="Times New Roman" w:hAnsi="Times New Roman" w:cs="Times New Roman"/>
          <w:b/>
          <w:bCs/>
          <w:sz w:val="16"/>
          <w:szCs w:val="16"/>
        </w:rPr>
      </w:pPr>
      <w:r w:rsidRPr="00467F9C">
        <w:rPr>
          <w:rFonts w:ascii="Times New Roman" w:hAnsi="Times New Roman" w:cs="Times New Roman"/>
          <w:b/>
          <w:sz w:val="28"/>
          <w:szCs w:val="28"/>
        </w:rPr>
        <w:t>2. Предмет экспертно-аналитического мероприятия</w:t>
      </w:r>
      <w:r w:rsidRPr="00467F9C">
        <w:rPr>
          <w:rFonts w:ascii="Times New Roman" w:hAnsi="Times New Roman" w:cs="Times New Roman"/>
          <w:b/>
        </w:rPr>
        <w:t>:</w:t>
      </w:r>
      <w:r w:rsidRPr="00467F9C">
        <w:rPr>
          <w:rFonts w:ascii="Times New Roman" w:hAnsi="Times New Roman" w:cs="Times New Roman"/>
        </w:rPr>
        <w:t xml:space="preserve"> </w:t>
      </w:r>
      <w:r w:rsidRPr="00467F9C">
        <w:rPr>
          <w:rFonts w:ascii="Times New Roman" w:hAnsi="Times New Roman" w:cs="Times New Roman"/>
          <w:sz w:val="28"/>
          <w:szCs w:val="28"/>
        </w:rPr>
        <w:t>деятельность органов исполнительной власти Чукотского автономного округа по реализации государственных программ Чукотского автономного округа (далее – государственные программы, госпрограммы).</w:t>
      </w:r>
    </w:p>
    <w:p w:rsidR="00191861" w:rsidRPr="00467F9C" w:rsidRDefault="00191861" w:rsidP="00191861">
      <w:pPr>
        <w:spacing w:before="80"/>
        <w:ind w:firstLine="709"/>
        <w:jc w:val="both"/>
        <w:rPr>
          <w:bCs/>
          <w:sz w:val="28"/>
          <w:szCs w:val="28"/>
        </w:rPr>
      </w:pPr>
      <w:r w:rsidRPr="00467F9C">
        <w:rPr>
          <w:b/>
          <w:bCs/>
          <w:sz w:val="28"/>
          <w:szCs w:val="28"/>
        </w:rPr>
        <w:t xml:space="preserve">3. Цель экспертно-аналитического мероприятия: </w:t>
      </w:r>
      <w:r w:rsidRPr="00467F9C">
        <w:rPr>
          <w:sz w:val="28"/>
          <w:szCs w:val="28"/>
        </w:rPr>
        <w:t xml:space="preserve">оценить полноту и достоверность отражения данных главных распорядителей бюджетных средств по реализации государственных программ Чукотского автономного округа в </w:t>
      </w:r>
      <w:r w:rsidRPr="00467F9C">
        <w:rPr>
          <w:iCs/>
          <w:sz w:val="28"/>
          <w:szCs w:val="28"/>
        </w:rPr>
        <w:t>сводном годовом докладе о ходе реализации и оценке эффективности государственных программ Чукотского автономного округа за 2021 год (далее – Сводный годовой доклад).</w:t>
      </w:r>
      <w:r w:rsidRPr="00467F9C">
        <w:rPr>
          <w:bCs/>
          <w:sz w:val="28"/>
          <w:szCs w:val="28"/>
        </w:rPr>
        <w:t xml:space="preserve"> </w:t>
      </w:r>
    </w:p>
    <w:p w:rsidR="00191861" w:rsidRPr="00467F9C" w:rsidRDefault="00191861" w:rsidP="00191861">
      <w:pPr>
        <w:ind w:firstLine="709"/>
        <w:jc w:val="both"/>
        <w:rPr>
          <w:b/>
          <w:sz w:val="10"/>
          <w:szCs w:val="16"/>
          <w:highlight w:val="yellow"/>
        </w:rPr>
      </w:pPr>
    </w:p>
    <w:p w:rsidR="00191861" w:rsidRPr="00467F9C" w:rsidRDefault="00191861" w:rsidP="00191861">
      <w:pPr>
        <w:ind w:firstLine="709"/>
        <w:jc w:val="both"/>
        <w:rPr>
          <w:b/>
          <w:sz w:val="28"/>
          <w:szCs w:val="28"/>
        </w:rPr>
      </w:pPr>
      <w:r w:rsidRPr="00467F9C">
        <w:rPr>
          <w:b/>
          <w:sz w:val="28"/>
          <w:szCs w:val="28"/>
        </w:rPr>
        <w:t>4. Вопросы:</w:t>
      </w:r>
    </w:p>
    <w:p w:rsidR="00191861" w:rsidRPr="00467F9C" w:rsidRDefault="00191861" w:rsidP="00191861">
      <w:pPr>
        <w:pStyle w:val="19"/>
        <w:ind w:firstLine="709"/>
        <w:rPr>
          <w:color w:val="auto"/>
        </w:rPr>
      </w:pPr>
      <w:r w:rsidRPr="00467F9C">
        <w:rPr>
          <w:bCs/>
          <w:color w:val="auto"/>
        </w:rPr>
        <w:t>4.1. </w:t>
      </w:r>
      <w:r w:rsidRPr="00467F9C">
        <w:rPr>
          <w:color w:val="auto"/>
        </w:rPr>
        <w:t xml:space="preserve">Анализ нормативных правовых актов, регламентирующих </w:t>
      </w:r>
      <w:r w:rsidRPr="00467F9C">
        <w:rPr>
          <w:bCs/>
          <w:color w:val="auto"/>
        </w:rPr>
        <w:t>процесс</w:t>
      </w:r>
      <w:r w:rsidRPr="00467F9C">
        <w:rPr>
          <w:b/>
          <w:bCs/>
          <w:color w:val="auto"/>
        </w:rPr>
        <w:t xml:space="preserve"> </w:t>
      </w:r>
      <w:r w:rsidRPr="00467F9C">
        <w:rPr>
          <w:color w:val="auto"/>
        </w:rPr>
        <w:t>разработки, реализации и оценки эффективности государственных программ Чукотского автономного округа в 2021 году.</w:t>
      </w:r>
    </w:p>
    <w:p w:rsidR="00191861" w:rsidRPr="00467F9C" w:rsidRDefault="00191861" w:rsidP="00191861">
      <w:pPr>
        <w:pStyle w:val="19"/>
        <w:ind w:firstLine="709"/>
        <w:rPr>
          <w:color w:val="auto"/>
        </w:rPr>
      </w:pPr>
      <w:r w:rsidRPr="00467F9C">
        <w:rPr>
          <w:color w:val="auto"/>
        </w:rPr>
        <w:t>4.2. Анализ исполнения государственных программ Чукотского автономного округа за 2021 год.</w:t>
      </w:r>
    </w:p>
    <w:p w:rsidR="00191861" w:rsidRPr="00467F9C" w:rsidRDefault="00191861" w:rsidP="00191861">
      <w:pPr>
        <w:pStyle w:val="19"/>
        <w:ind w:firstLine="709"/>
        <w:rPr>
          <w:color w:val="auto"/>
        </w:rPr>
      </w:pPr>
      <w:r w:rsidRPr="00467F9C">
        <w:rPr>
          <w:color w:val="auto"/>
        </w:rPr>
        <w:t>4.3. Анализ реализации государственных контрактов, заключенных в рамках государственных программ для обеспечения государственных нужд</w:t>
      </w:r>
      <w:r w:rsidRPr="00467F9C">
        <w:rPr>
          <w:rStyle w:val="ab"/>
          <w:color w:val="auto"/>
        </w:rPr>
        <w:footnoteReference w:id="82"/>
      </w:r>
      <w:r w:rsidRPr="00467F9C">
        <w:rPr>
          <w:color w:val="auto"/>
        </w:rPr>
        <w:t>, за январь-декабрь 2021 года.</w:t>
      </w:r>
    </w:p>
    <w:p w:rsidR="00191861" w:rsidRPr="00467F9C" w:rsidRDefault="00191861" w:rsidP="00191861">
      <w:pPr>
        <w:pStyle w:val="19"/>
        <w:ind w:firstLine="709"/>
        <w:rPr>
          <w:color w:val="auto"/>
        </w:rPr>
      </w:pPr>
      <w:r w:rsidRPr="00467F9C">
        <w:rPr>
          <w:color w:val="auto"/>
        </w:rPr>
        <w:t xml:space="preserve">4.4. Оценка </w:t>
      </w:r>
      <w:r w:rsidRPr="00467F9C">
        <w:rPr>
          <w:iCs/>
          <w:color w:val="auto"/>
        </w:rPr>
        <w:t>эффективности государственных программ Чукотского автономного округа за 2021 год.</w:t>
      </w:r>
    </w:p>
    <w:p w:rsidR="00191861" w:rsidRPr="00467F9C" w:rsidRDefault="00191861" w:rsidP="00191861">
      <w:pPr>
        <w:autoSpaceDE w:val="0"/>
        <w:autoSpaceDN w:val="0"/>
        <w:adjustRightInd w:val="0"/>
        <w:ind w:firstLine="709"/>
        <w:jc w:val="both"/>
        <w:rPr>
          <w:b/>
          <w:bCs/>
          <w:sz w:val="14"/>
          <w:szCs w:val="14"/>
          <w:highlight w:val="yellow"/>
        </w:rPr>
      </w:pPr>
    </w:p>
    <w:p w:rsidR="00191861" w:rsidRPr="00467F9C" w:rsidRDefault="00191861" w:rsidP="00191861">
      <w:pPr>
        <w:autoSpaceDE w:val="0"/>
        <w:autoSpaceDN w:val="0"/>
        <w:adjustRightInd w:val="0"/>
        <w:ind w:firstLine="709"/>
        <w:jc w:val="both"/>
        <w:rPr>
          <w:b/>
          <w:bCs/>
          <w:sz w:val="28"/>
          <w:szCs w:val="28"/>
        </w:rPr>
      </w:pPr>
      <w:r w:rsidRPr="00467F9C">
        <w:rPr>
          <w:b/>
          <w:bCs/>
          <w:sz w:val="28"/>
          <w:szCs w:val="28"/>
        </w:rPr>
        <w:t>5. Объекты экспертно-аналитического мероприятия: </w:t>
      </w:r>
    </w:p>
    <w:p w:rsidR="00191861" w:rsidRPr="00467F9C" w:rsidRDefault="00191861" w:rsidP="00191861">
      <w:pPr>
        <w:widowControl w:val="0"/>
        <w:spacing w:before="80"/>
        <w:ind w:firstLine="709"/>
        <w:jc w:val="both"/>
        <w:rPr>
          <w:sz w:val="28"/>
          <w:szCs w:val="28"/>
        </w:rPr>
      </w:pPr>
      <w:r w:rsidRPr="00467F9C">
        <w:rPr>
          <w:sz w:val="28"/>
          <w:szCs w:val="28"/>
        </w:rPr>
        <w:t>- Департамент финансов, экономики и имущественных отношений Чукотского автономного округа (далее – Департамент финансов);</w:t>
      </w:r>
    </w:p>
    <w:p w:rsidR="00191861" w:rsidRPr="00467F9C" w:rsidRDefault="00191861" w:rsidP="00191861">
      <w:pPr>
        <w:widowControl w:val="0"/>
        <w:ind w:firstLine="709"/>
        <w:jc w:val="both"/>
        <w:rPr>
          <w:sz w:val="28"/>
          <w:szCs w:val="28"/>
        </w:rPr>
      </w:pPr>
      <w:r w:rsidRPr="00467F9C">
        <w:rPr>
          <w:sz w:val="28"/>
          <w:szCs w:val="28"/>
        </w:rPr>
        <w:t>- главные распорядители средств окружного бюджета – ответственные исполнители государственных программ Чукотского автономного округа (по запросам).</w:t>
      </w:r>
    </w:p>
    <w:p w:rsidR="00191861" w:rsidRPr="00467F9C" w:rsidRDefault="00191861" w:rsidP="00191861">
      <w:pPr>
        <w:pStyle w:val="ConsPlusNonformat"/>
        <w:tabs>
          <w:tab w:val="left" w:pos="709"/>
        </w:tabs>
        <w:ind w:firstLine="709"/>
        <w:jc w:val="both"/>
        <w:rPr>
          <w:rFonts w:ascii="Times New Roman" w:hAnsi="Times New Roman" w:cs="Times New Roman"/>
          <w:sz w:val="28"/>
          <w:szCs w:val="28"/>
        </w:rPr>
      </w:pPr>
      <w:r w:rsidRPr="00467F9C">
        <w:rPr>
          <w:rFonts w:ascii="Times New Roman" w:hAnsi="Times New Roman" w:cs="Times New Roman"/>
          <w:b/>
          <w:sz w:val="28"/>
          <w:szCs w:val="28"/>
        </w:rPr>
        <w:t>6. Исследуемый период:</w:t>
      </w:r>
      <w:r w:rsidRPr="00467F9C">
        <w:rPr>
          <w:rFonts w:ascii="Times New Roman" w:hAnsi="Times New Roman" w:cs="Times New Roman"/>
        </w:rPr>
        <w:t xml:space="preserve"> </w:t>
      </w:r>
      <w:r w:rsidRPr="00467F9C">
        <w:rPr>
          <w:rFonts w:ascii="Times New Roman" w:hAnsi="Times New Roman" w:cs="Times New Roman"/>
          <w:sz w:val="28"/>
          <w:szCs w:val="28"/>
        </w:rPr>
        <w:t>январь – декабрь 2021 года.</w:t>
      </w:r>
    </w:p>
    <w:p w:rsidR="00191861" w:rsidRPr="00467F9C" w:rsidRDefault="00191861" w:rsidP="00191861">
      <w:pPr>
        <w:pStyle w:val="ConsPlusNonformat"/>
        <w:tabs>
          <w:tab w:val="left" w:pos="709"/>
        </w:tabs>
        <w:ind w:firstLine="709"/>
        <w:jc w:val="both"/>
        <w:rPr>
          <w:rFonts w:ascii="Times New Roman" w:hAnsi="Times New Roman" w:cs="Times New Roman"/>
          <w:b/>
          <w:sz w:val="16"/>
          <w:szCs w:val="16"/>
          <w:highlight w:val="yellow"/>
        </w:rPr>
      </w:pPr>
    </w:p>
    <w:p w:rsidR="00191861" w:rsidRPr="00467F9C" w:rsidRDefault="00191861" w:rsidP="00191861">
      <w:pPr>
        <w:ind w:firstLine="709"/>
        <w:jc w:val="both"/>
        <w:rPr>
          <w:sz w:val="28"/>
          <w:szCs w:val="28"/>
        </w:rPr>
      </w:pPr>
      <w:r w:rsidRPr="00467F9C">
        <w:rPr>
          <w:b/>
          <w:sz w:val="28"/>
          <w:szCs w:val="28"/>
        </w:rPr>
        <w:t xml:space="preserve">7. Сроки проведения экспертно-аналитического мероприятия: </w:t>
      </w:r>
      <w:r w:rsidRPr="00467F9C">
        <w:rPr>
          <w:sz w:val="28"/>
          <w:szCs w:val="28"/>
        </w:rPr>
        <w:t xml:space="preserve">с 21 апреля по 11 мая 2022 года. </w:t>
      </w:r>
    </w:p>
    <w:p w:rsidR="006B0E79" w:rsidRDefault="006B0E79" w:rsidP="00191861">
      <w:pPr>
        <w:ind w:firstLine="709"/>
        <w:jc w:val="both"/>
        <w:rPr>
          <w:sz w:val="28"/>
          <w:szCs w:val="28"/>
        </w:rPr>
      </w:pPr>
    </w:p>
    <w:p w:rsidR="00191861" w:rsidRPr="00467F9C" w:rsidRDefault="00191861" w:rsidP="00191861">
      <w:pPr>
        <w:ind w:firstLine="709"/>
        <w:jc w:val="both"/>
        <w:rPr>
          <w:sz w:val="28"/>
          <w:szCs w:val="28"/>
        </w:rPr>
      </w:pPr>
      <w:r w:rsidRPr="00467F9C">
        <w:rPr>
          <w:sz w:val="28"/>
          <w:szCs w:val="28"/>
        </w:rPr>
        <w:t>В данном отчете используются следующие сокращения:</w:t>
      </w:r>
    </w:p>
    <w:p w:rsidR="00191861" w:rsidRPr="00467F9C" w:rsidRDefault="00191861" w:rsidP="00191861">
      <w:pPr>
        <w:ind w:firstLine="709"/>
        <w:jc w:val="both"/>
        <w:rPr>
          <w:sz w:val="28"/>
          <w:szCs w:val="28"/>
        </w:rPr>
      </w:pPr>
      <w:r w:rsidRPr="00467F9C">
        <w:rPr>
          <w:sz w:val="28"/>
          <w:szCs w:val="28"/>
        </w:rPr>
        <w:t>Департамент промышленной политики Чукотского автономного округа – Департамент промышленной политики;</w:t>
      </w:r>
    </w:p>
    <w:p w:rsidR="00191861" w:rsidRPr="00467F9C" w:rsidRDefault="00191861" w:rsidP="00191861">
      <w:pPr>
        <w:ind w:firstLine="709"/>
        <w:jc w:val="both"/>
        <w:rPr>
          <w:sz w:val="28"/>
          <w:szCs w:val="28"/>
        </w:rPr>
      </w:pPr>
      <w:r w:rsidRPr="00467F9C">
        <w:rPr>
          <w:sz w:val="28"/>
          <w:szCs w:val="28"/>
        </w:rPr>
        <w:t>Департамент здравоохранения Чукотского автономного округа – Департамент здравоохранения;</w:t>
      </w:r>
    </w:p>
    <w:p w:rsidR="00191861" w:rsidRPr="00467F9C" w:rsidRDefault="00191861" w:rsidP="00191861">
      <w:pPr>
        <w:ind w:firstLine="709"/>
        <w:jc w:val="both"/>
        <w:rPr>
          <w:sz w:val="28"/>
          <w:szCs w:val="28"/>
        </w:rPr>
      </w:pPr>
      <w:r w:rsidRPr="00467F9C">
        <w:rPr>
          <w:sz w:val="28"/>
          <w:szCs w:val="28"/>
        </w:rPr>
        <w:t>Департамент социальной политики Чукотского автономного округа – Департамент социальной политики;</w:t>
      </w:r>
    </w:p>
    <w:p w:rsidR="00191861" w:rsidRPr="00467F9C" w:rsidRDefault="00191861" w:rsidP="00191861">
      <w:pPr>
        <w:ind w:firstLine="709"/>
        <w:jc w:val="both"/>
        <w:rPr>
          <w:sz w:val="28"/>
          <w:szCs w:val="28"/>
        </w:rPr>
      </w:pPr>
      <w:r w:rsidRPr="00467F9C">
        <w:rPr>
          <w:sz w:val="28"/>
          <w:szCs w:val="28"/>
        </w:rPr>
        <w:t>Департамент образования и науки Чукотского автономного округа – Департамент образования и науки;</w:t>
      </w:r>
    </w:p>
    <w:p w:rsidR="00191861" w:rsidRPr="00467F9C" w:rsidRDefault="00191861" w:rsidP="00191861">
      <w:pPr>
        <w:ind w:firstLine="709"/>
        <w:jc w:val="both"/>
        <w:rPr>
          <w:sz w:val="28"/>
          <w:szCs w:val="28"/>
        </w:rPr>
      </w:pPr>
      <w:r w:rsidRPr="00467F9C">
        <w:rPr>
          <w:sz w:val="28"/>
          <w:szCs w:val="28"/>
        </w:rPr>
        <w:t>Департамент культуры, спорта и туризма Чукотского автономного округа</w:t>
      </w:r>
      <w:r w:rsidRPr="00467F9C">
        <w:rPr>
          <w:sz w:val="28"/>
          <w:szCs w:val="28"/>
          <w:lang w:val="en-US"/>
        </w:rPr>
        <w:t> </w:t>
      </w:r>
      <w:r w:rsidRPr="00467F9C">
        <w:rPr>
          <w:sz w:val="28"/>
          <w:szCs w:val="28"/>
        </w:rPr>
        <w:t>– Департамент культуры;</w:t>
      </w:r>
    </w:p>
    <w:p w:rsidR="00191861" w:rsidRPr="00467F9C" w:rsidRDefault="00191861" w:rsidP="00191861">
      <w:pPr>
        <w:ind w:firstLine="709"/>
        <w:jc w:val="both"/>
        <w:rPr>
          <w:sz w:val="28"/>
          <w:szCs w:val="28"/>
        </w:rPr>
      </w:pPr>
      <w:r w:rsidRPr="00467F9C">
        <w:rPr>
          <w:sz w:val="28"/>
          <w:szCs w:val="28"/>
        </w:rPr>
        <w:t>Департамент природных ресурсов и экологии Чукотского автономного округа – Департамент природных ресурсов;</w:t>
      </w:r>
    </w:p>
    <w:p w:rsidR="00191861" w:rsidRPr="00467F9C" w:rsidRDefault="00191861" w:rsidP="00191861">
      <w:pPr>
        <w:ind w:firstLine="709"/>
        <w:jc w:val="both"/>
        <w:rPr>
          <w:sz w:val="28"/>
          <w:szCs w:val="28"/>
        </w:rPr>
      </w:pPr>
      <w:r w:rsidRPr="00467F9C">
        <w:rPr>
          <w:sz w:val="28"/>
          <w:szCs w:val="28"/>
        </w:rPr>
        <w:t>Департамент сельского хозяйства и продовольствия Чукотского автономного округа – Департамент сельского хозяйства;</w:t>
      </w:r>
    </w:p>
    <w:p w:rsidR="00191861" w:rsidRPr="00467F9C" w:rsidRDefault="00191861" w:rsidP="00191861">
      <w:pPr>
        <w:ind w:firstLine="709"/>
        <w:jc w:val="both"/>
        <w:rPr>
          <w:sz w:val="28"/>
          <w:szCs w:val="28"/>
        </w:rPr>
      </w:pPr>
      <w:r w:rsidRPr="00467F9C">
        <w:rPr>
          <w:sz w:val="28"/>
          <w:szCs w:val="28"/>
        </w:rPr>
        <w:t>Сводная бюджетная роспись – СБР.</w:t>
      </w:r>
    </w:p>
    <w:p w:rsidR="00191861" w:rsidRPr="00467F9C" w:rsidRDefault="00191861" w:rsidP="00191861">
      <w:pPr>
        <w:tabs>
          <w:tab w:val="left" w:pos="709"/>
        </w:tabs>
        <w:ind w:firstLine="709"/>
        <w:jc w:val="both"/>
        <w:rPr>
          <w:sz w:val="28"/>
          <w:szCs w:val="28"/>
        </w:rPr>
      </w:pPr>
      <w:r w:rsidRPr="00467F9C">
        <w:rPr>
          <w:bCs/>
          <w:sz w:val="28"/>
          <w:szCs w:val="28"/>
        </w:rPr>
        <w:t xml:space="preserve">Отчет подготовлен на основании норм действующего бюджетного законодательства, </w:t>
      </w:r>
      <w:r w:rsidRPr="00467F9C">
        <w:rPr>
          <w:sz w:val="28"/>
          <w:szCs w:val="28"/>
        </w:rPr>
        <w:t xml:space="preserve">нормативных правовых актов Чукотского автономного округа, регулирующих вопросы разработки, реализации и оценки эффективности государственных программ Чукотского автономного округа, информации об исполнении государственных программ за 2021 год, </w:t>
      </w:r>
      <w:r w:rsidRPr="00467F9C">
        <w:rPr>
          <w:iCs/>
          <w:sz w:val="28"/>
          <w:szCs w:val="28"/>
        </w:rPr>
        <w:t>сводного годового доклада о ходе реализации и оценке эффективности государственных программ Чукотского автономного округа за 2021 год</w:t>
      </w:r>
      <w:r w:rsidRPr="00467F9C">
        <w:rPr>
          <w:sz w:val="28"/>
          <w:szCs w:val="28"/>
        </w:rPr>
        <w:t xml:space="preserve"> и предоставленной ответственными исполнителями государственных программ бюджетной отчетности и информации.</w:t>
      </w:r>
    </w:p>
    <w:p w:rsidR="00191861" w:rsidRPr="00467F9C" w:rsidRDefault="00191861" w:rsidP="00191861">
      <w:pPr>
        <w:tabs>
          <w:tab w:val="left" w:pos="709"/>
        </w:tabs>
        <w:ind w:firstLine="709"/>
        <w:jc w:val="both"/>
        <w:rPr>
          <w:sz w:val="28"/>
          <w:szCs w:val="28"/>
        </w:rPr>
      </w:pPr>
      <w:r w:rsidRPr="00467F9C">
        <w:rPr>
          <w:sz w:val="28"/>
          <w:szCs w:val="28"/>
        </w:rPr>
        <w:t>В ходе экспертно-аналитического мероприятия, проведенного выборочным методом, установлено следующее.</w:t>
      </w:r>
    </w:p>
    <w:p w:rsidR="00191861" w:rsidRPr="00467F9C" w:rsidRDefault="00191861" w:rsidP="00191861">
      <w:pPr>
        <w:spacing w:before="120" w:after="120"/>
        <w:ind w:firstLine="709"/>
        <w:jc w:val="both"/>
        <w:rPr>
          <w:b/>
          <w:bCs/>
          <w:sz w:val="28"/>
          <w:szCs w:val="28"/>
        </w:rPr>
      </w:pPr>
      <w:r w:rsidRPr="00467F9C">
        <w:rPr>
          <w:b/>
          <w:bCs/>
          <w:sz w:val="28"/>
          <w:szCs w:val="28"/>
        </w:rPr>
        <w:t>8. Результаты экспертно-аналитического мероприятия</w:t>
      </w:r>
    </w:p>
    <w:p w:rsidR="00191861" w:rsidRPr="00467F9C" w:rsidRDefault="00191861" w:rsidP="00191861">
      <w:pPr>
        <w:pStyle w:val="19"/>
        <w:spacing w:before="120" w:after="120"/>
        <w:ind w:firstLine="709"/>
        <w:rPr>
          <w:b/>
          <w:color w:val="auto"/>
        </w:rPr>
      </w:pPr>
      <w:r w:rsidRPr="00467F9C">
        <w:rPr>
          <w:b/>
          <w:color w:val="auto"/>
        </w:rPr>
        <w:t xml:space="preserve">Анализ нормативных правовых актов, регламентирующих </w:t>
      </w:r>
      <w:r w:rsidRPr="00467F9C">
        <w:rPr>
          <w:b/>
          <w:bCs/>
          <w:color w:val="auto"/>
        </w:rPr>
        <w:t xml:space="preserve">процесс </w:t>
      </w:r>
      <w:r w:rsidRPr="00467F9C">
        <w:rPr>
          <w:b/>
          <w:color w:val="auto"/>
        </w:rPr>
        <w:t>разработки, реализации и оценки эффективности государственных программ Чукотского автономного округа в 2021 году</w:t>
      </w:r>
    </w:p>
    <w:p w:rsidR="00191861" w:rsidRPr="00467F9C" w:rsidRDefault="00191861" w:rsidP="00191861">
      <w:pPr>
        <w:autoSpaceDE w:val="0"/>
        <w:autoSpaceDN w:val="0"/>
        <w:adjustRightInd w:val="0"/>
        <w:ind w:firstLine="709"/>
        <w:jc w:val="both"/>
        <w:rPr>
          <w:sz w:val="28"/>
          <w:szCs w:val="28"/>
        </w:rPr>
      </w:pPr>
      <w:r w:rsidRPr="00467F9C">
        <w:rPr>
          <w:sz w:val="28"/>
          <w:szCs w:val="28"/>
        </w:rPr>
        <w:t>В соответствии с Перечнем действующих в Чукотском автономном округе государственных программ</w:t>
      </w:r>
      <w:r w:rsidRPr="00467F9C">
        <w:rPr>
          <w:rStyle w:val="ab"/>
          <w:sz w:val="28"/>
          <w:szCs w:val="28"/>
        </w:rPr>
        <w:footnoteReference w:id="83"/>
      </w:r>
      <w:r w:rsidRPr="00467F9C">
        <w:rPr>
          <w:sz w:val="28"/>
          <w:szCs w:val="28"/>
        </w:rPr>
        <w:t xml:space="preserve">, на территории округа реализуется восемнадцать государственных программ. Правительство Чукотского автономного округа осуществляет общий контроль за реализацией государственных программ. </w:t>
      </w:r>
    </w:p>
    <w:p w:rsidR="00191861" w:rsidRPr="00467F9C" w:rsidRDefault="00191861" w:rsidP="00191861">
      <w:pPr>
        <w:autoSpaceDE w:val="0"/>
        <w:autoSpaceDN w:val="0"/>
        <w:adjustRightInd w:val="0"/>
        <w:ind w:firstLine="708"/>
        <w:jc w:val="both"/>
        <w:rPr>
          <w:sz w:val="28"/>
          <w:szCs w:val="28"/>
        </w:rPr>
      </w:pPr>
      <w:r w:rsidRPr="00467F9C">
        <w:rPr>
          <w:sz w:val="28"/>
          <w:szCs w:val="28"/>
        </w:rPr>
        <w:t>Процедуры принятия решений о разработке государственных программ Чукотского автономного округа, разработки, реализации и проведения оценки эффективности реализации государственных программ определяются Постановлением Правительства Чукотского автономного округа от 10 сентября 2013 года №359</w:t>
      </w:r>
      <w:r w:rsidRPr="00467F9C">
        <w:rPr>
          <w:rStyle w:val="ab"/>
          <w:sz w:val="28"/>
          <w:szCs w:val="28"/>
        </w:rPr>
        <w:footnoteReference w:id="84"/>
      </w:r>
      <w:r w:rsidRPr="00467F9C">
        <w:rPr>
          <w:sz w:val="28"/>
          <w:szCs w:val="28"/>
        </w:rPr>
        <w:t>.</w:t>
      </w:r>
    </w:p>
    <w:p w:rsidR="00191861" w:rsidRPr="00467F9C" w:rsidRDefault="00191861" w:rsidP="00191861">
      <w:pPr>
        <w:adjustRightInd w:val="0"/>
        <w:ind w:firstLine="709"/>
        <w:jc w:val="both"/>
        <w:rPr>
          <w:rFonts w:eastAsia="Calibri"/>
          <w:sz w:val="28"/>
          <w:szCs w:val="28"/>
        </w:rPr>
      </w:pPr>
      <w:r w:rsidRPr="00467F9C">
        <w:rPr>
          <w:rFonts w:eastAsia="Calibri"/>
          <w:sz w:val="28"/>
          <w:szCs w:val="28"/>
        </w:rPr>
        <w:t xml:space="preserve">В рамках трёх государственных программ осуществляется реализация одиннадцати ведомственных целевых программ. Разработка, утверждение и </w:t>
      </w:r>
      <w:r w:rsidRPr="00467F9C">
        <w:rPr>
          <w:rFonts w:eastAsia="Calibri"/>
          <w:sz w:val="28"/>
          <w:szCs w:val="28"/>
        </w:rPr>
        <w:lastRenderedPageBreak/>
        <w:t>реализация ведомственных целевых программ Чукотского автономного округа регулируется пунктами 3.9. – 3.11. Порядка №359.</w:t>
      </w:r>
    </w:p>
    <w:p w:rsidR="00191861" w:rsidRPr="00467F9C" w:rsidRDefault="00191861" w:rsidP="00191861">
      <w:pPr>
        <w:adjustRightInd w:val="0"/>
        <w:ind w:firstLine="709"/>
        <w:jc w:val="both"/>
        <w:rPr>
          <w:rFonts w:eastAsia="Calibri"/>
          <w:sz w:val="28"/>
          <w:szCs w:val="28"/>
        </w:rPr>
      </w:pPr>
      <w:r w:rsidRPr="00467F9C">
        <w:rPr>
          <w:rFonts w:eastAsia="Calibri"/>
          <w:sz w:val="28"/>
          <w:szCs w:val="28"/>
        </w:rPr>
        <w:t>Анализ положений, регулирующих порядок разработки, утверждения и реализации ведомственных целевых программ, показал недостаточность их нормативного регулирования Порядком №359, поскольку предусматривает исключительно требования к содержанию обязательных реквизитов при разработке ведомственных целевых программ, но не содержит положений, касающихся механизма реализации и управления, осуществления контроля ответственными исполнителями.</w:t>
      </w:r>
    </w:p>
    <w:p w:rsidR="00191861" w:rsidRPr="00467F9C" w:rsidRDefault="00191861" w:rsidP="00191861">
      <w:pPr>
        <w:adjustRightInd w:val="0"/>
        <w:ind w:firstLine="709"/>
        <w:jc w:val="both"/>
        <w:rPr>
          <w:rFonts w:eastAsia="Calibri"/>
          <w:sz w:val="28"/>
          <w:szCs w:val="28"/>
        </w:rPr>
      </w:pPr>
      <w:r w:rsidRPr="00467F9C">
        <w:rPr>
          <w:rFonts w:eastAsia="Calibri"/>
          <w:sz w:val="28"/>
          <w:szCs w:val="28"/>
        </w:rPr>
        <w:t>В качестве недостатков нормативного регулирования необходимо отметить отсутствие нормативно утвержденного определения ведомственной целевой программы Чукотского автономного округа, оснований для формирования и принятия решений по утверждению ведомственной целевой программы, требований, предъявляемых к основным целям и задачам ведомственной целевой программы, отсутствие порядка финансирования расходов на реализацию ведомственных целевых программ, требований к утверждению форм ведомственной отчетности при реализации мероприятий ведомственных целевых программ, срокам их предоставления, а также порядок осуществления контроля за ходом выполнения ведомственной целевой программы, согласованности ожидаемых результатов реализации ведомственной целевой программы с ожидаемыми результатами реализации взаимосвязанных подпрограмм, отраженных в государственных программах</w:t>
      </w:r>
      <w:r w:rsidRPr="00467F9C">
        <w:rPr>
          <w:rStyle w:val="ab"/>
          <w:rFonts w:eastAsia="Calibri"/>
          <w:sz w:val="28"/>
          <w:szCs w:val="28"/>
        </w:rPr>
        <w:footnoteReference w:id="85"/>
      </w:r>
      <w:r w:rsidRPr="00467F9C">
        <w:rPr>
          <w:rFonts w:eastAsia="Calibri"/>
          <w:sz w:val="28"/>
          <w:szCs w:val="28"/>
        </w:rPr>
        <w:t>.</w:t>
      </w:r>
    </w:p>
    <w:p w:rsidR="00191861" w:rsidRPr="00467F9C" w:rsidRDefault="00191861" w:rsidP="00191861">
      <w:pPr>
        <w:tabs>
          <w:tab w:val="left" w:pos="709"/>
        </w:tabs>
        <w:ind w:firstLine="709"/>
        <w:jc w:val="both"/>
        <w:rPr>
          <w:sz w:val="28"/>
          <w:szCs w:val="28"/>
        </w:rPr>
      </w:pPr>
      <w:r w:rsidRPr="00467F9C">
        <w:rPr>
          <w:sz w:val="28"/>
          <w:szCs w:val="28"/>
        </w:rPr>
        <w:t>В соответствии с Порядком №359 Департамент финансов ежегодно готовит Сводный годовой доклад за отчетный финансовый год и представляет его в Правительство Чукотского автономного округа, Думу Чукотского автономного округа и Счетную палату Чукотского автономного округа (далее – Счетная палата), а также размещает на официальном сайте Чукотского автономного округа в информационно-телекоммуникационной сети «Интернет» в разделе «Открытый бюджет».</w:t>
      </w:r>
    </w:p>
    <w:p w:rsidR="00191861" w:rsidRPr="00467F9C" w:rsidRDefault="00191861" w:rsidP="00191861">
      <w:pPr>
        <w:autoSpaceDE w:val="0"/>
        <w:autoSpaceDN w:val="0"/>
        <w:adjustRightInd w:val="0"/>
        <w:ind w:firstLine="709"/>
        <w:jc w:val="both"/>
        <w:rPr>
          <w:sz w:val="28"/>
          <w:szCs w:val="28"/>
        </w:rPr>
      </w:pPr>
      <w:r w:rsidRPr="00467F9C">
        <w:rPr>
          <w:sz w:val="28"/>
          <w:szCs w:val="28"/>
        </w:rPr>
        <w:t>Сводный годовой доклад содержит:</w:t>
      </w:r>
    </w:p>
    <w:p w:rsidR="00191861" w:rsidRPr="00467F9C" w:rsidRDefault="00191861" w:rsidP="00191861">
      <w:pPr>
        <w:autoSpaceDE w:val="0"/>
        <w:autoSpaceDN w:val="0"/>
        <w:adjustRightInd w:val="0"/>
        <w:ind w:firstLine="709"/>
        <w:jc w:val="both"/>
        <w:rPr>
          <w:sz w:val="28"/>
          <w:szCs w:val="28"/>
        </w:rPr>
      </w:pPr>
      <w:r w:rsidRPr="00467F9C">
        <w:rPr>
          <w:sz w:val="28"/>
          <w:szCs w:val="28"/>
        </w:rPr>
        <w:t>- сводный отчет о ходе реализации государственных программ за отчетный финансовый год (далее – Сводный отчет);</w:t>
      </w:r>
    </w:p>
    <w:p w:rsidR="00191861" w:rsidRPr="00467F9C" w:rsidRDefault="00191861" w:rsidP="00191861">
      <w:pPr>
        <w:autoSpaceDE w:val="0"/>
        <w:autoSpaceDN w:val="0"/>
        <w:adjustRightInd w:val="0"/>
        <w:ind w:firstLine="709"/>
        <w:jc w:val="both"/>
        <w:rPr>
          <w:sz w:val="28"/>
          <w:szCs w:val="28"/>
        </w:rPr>
      </w:pPr>
      <w:r w:rsidRPr="00467F9C">
        <w:rPr>
          <w:sz w:val="28"/>
          <w:szCs w:val="28"/>
        </w:rPr>
        <w:t>- аналитическую записку о ходе реализации государственных программ за отчетный финансовый год;</w:t>
      </w:r>
    </w:p>
    <w:p w:rsidR="00191861" w:rsidRPr="00467F9C" w:rsidRDefault="00191861" w:rsidP="00191861">
      <w:pPr>
        <w:autoSpaceDE w:val="0"/>
        <w:autoSpaceDN w:val="0"/>
        <w:adjustRightInd w:val="0"/>
        <w:ind w:firstLine="709"/>
        <w:jc w:val="both"/>
        <w:rPr>
          <w:sz w:val="28"/>
          <w:szCs w:val="28"/>
        </w:rPr>
      </w:pPr>
      <w:r w:rsidRPr="00467F9C">
        <w:rPr>
          <w:sz w:val="28"/>
          <w:szCs w:val="28"/>
        </w:rPr>
        <w:t>- оценку эффективности реализации государственных программ за отчетный финансовый год и уточненную оценку эффективности реализации государственных программ за год, предшествующий отчетному финансовому году.</w:t>
      </w:r>
    </w:p>
    <w:p w:rsidR="00191861" w:rsidRPr="00467F9C" w:rsidRDefault="00191861" w:rsidP="00191861">
      <w:pPr>
        <w:autoSpaceDE w:val="0"/>
        <w:autoSpaceDN w:val="0"/>
        <w:adjustRightInd w:val="0"/>
        <w:ind w:firstLine="709"/>
        <w:jc w:val="both"/>
        <w:rPr>
          <w:sz w:val="28"/>
          <w:szCs w:val="28"/>
        </w:rPr>
      </w:pPr>
      <w:r w:rsidRPr="00467F9C">
        <w:rPr>
          <w:sz w:val="28"/>
          <w:szCs w:val="28"/>
        </w:rPr>
        <w:t xml:space="preserve">Дополнительно к Сводному годовому докладу Департаментом финансов представлена информация о ходе реализации  государственных контрактов заключенных в рамках государственных программ (подпрограмм, основного </w:t>
      </w:r>
      <w:r w:rsidRPr="00467F9C">
        <w:rPr>
          <w:sz w:val="28"/>
          <w:szCs w:val="28"/>
        </w:rPr>
        <w:lastRenderedPageBreak/>
        <w:t xml:space="preserve">мероприятия, мероприятия) Чукотского автономного округа для обеспечения государственных нужд на срок, не превышающий  срок действия утвержденных лимитов бюджетных обязательств (до двух лет с момента заключения),  и на срок, превышающий  срок действия утвержденных лимитов бюджетных обязательств (свыше двух лет с момента заключения) за январь-декабрь 2021 года. </w:t>
      </w:r>
    </w:p>
    <w:p w:rsidR="00191861" w:rsidRPr="00467F9C" w:rsidRDefault="00191861" w:rsidP="00191861">
      <w:pPr>
        <w:pStyle w:val="a9"/>
        <w:ind w:firstLine="708"/>
        <w:jc w:val="both"/>
      </w:pPr>
      <w:r w:rsidRPr="00467F9C">
        <w:rPr>
          <w:sz w:val="28"/>
          <w:szCs w:val="28"/>
        </w:rPr>
        <w:t>При этом, представление к Сводному докладу информации о ходе реализации инвестиционных проектов в рамках государственных программ не предусмотрено, что усложняет процесс контроля над реализацией инвестиционных проектов в последующие периоды.</w:t>
      </w:r>
    </w:p>
    <w:p w:rsidR="00191861" w:rsidRPr="00467F9C" w:rsidRDefault="00191861" w:rsidP="00191861">
      <w:pPr>
        <w:tabs>
          <w:tab w:val="left" w:pos="709"/>
        </w:tabs>
        <w:spacing w:before="120"/>
        <w:jc w:val="both"/>
        <w:rPr>
          <w:b/>
          <w:sz w:val="28"/>
          <w:szCs w:val="28"/>
        </w:rPr>
      </w:pPr>
      <w:r w:rsidRPr="00467F9C">
        <w:rPr>
          <w:b/>
          <w:sz w:val="28"/>
          <w:szCs w:val="28"/>
        </w:rPr>
        <w:tab/>
        <w:t>Анализ исполнения государственных программ Чукотского автономного округа за 2021 год</w:t>
      </w:r>
    </w:p>
    <w:p w:rsidR="00191861" w:rsidRPr="00467F9C" w:rsidRDefault="00191861" w:rsidP="00191861">
      <w:pPr>
        <w:tabs>
          <w:tab w:val="left" w:pos="709"/>
        </w:tabs>
        <w:jc w:val="both"/>
        <w:rPr>
          <w:b/>
          <w:sz w:val="16"/>
          <w:szCs w:val="16"/>
        </w:rPr>
      </w:pPr>
    </w:p>
    <w:p w:rsidR="00191861" w:rsidRPr="00467F9C" w:rsidRDefault="00191861" w:rsidP="00191861">
      <w:pPr>
        <w:pStyle w:val="af8"/>
        <w:tabs>
          <w:tab w:val="left" w:pos="709"/>
        </w:tabs>
        <w:ind w:firstLine="709"/>
        <w:jc w:val="both"/>
        <w:rPr>
          <w:sz w:val="28"/>
          <w:szCs w:val="28"/>
        </w:rPr>
      </w:pPr>
      <w:r w:rsidRPr="00467F9C">
        <w:rPr>
          <w:sz w:val="28"/>
          <w:szCs w:val="28"/>
        </w:rPr>
        <w:t xml:space="preserve">Объем финансовых ресурсов, предусмотренный паспортами государственных программ на их реализацию в 2021 году, составил 56 821 493,5 тыс. рублей, в том числе: </w:t>
      </w:r>
    </w:p>
    <w:p w:rsidR="00191861" w:rsidRPr="00467F9C" w:rsidRDefault="00191861" w:rsidP="00191861">
      <w:pPr>
        <w:pStyle w:val="19"/>
        <w:tabs>
          <w:tab w:val="left" w:pos="709"/>
        </w:tabs>
        <w:ind w:firstLine="709"/>
        <w:rPr>
          <w:color w:val="auto"/>
        </w:rPr>
      </w:pPr>
      <w:r w:rsidRPr="00467F9C">
        <w:rPr>
          <w:color w:val="auto"/>
        </w:rPr>
        <w:t>- за счет средств федерального бюджета – 8 696 943,5 тыс. рублей;</w:t>
      </w:r>
    </w:p>
    <w:p w:rsidR="00191861" w:rsidRPr="00467F9C" w:rsidRDefault="00191861" w:rsidP="00191861">
      <w:pPr>
        <w:pStyle w:val="19"/>
        <w:tabs>
          <w:tab w:val="left" w:pos="709"/>
        </w:tabs>
        <w:ind w:firstLine="709"/>
        <w:rPr>
          <w:color w:val="auto"/>
        </w:rPr>
      </w:pPr>
      <w:r w:rsidRPr="00467F9C">
        <w:rPr>
          <w:color w:val="auto"/>
        </w:rPr>
        <w:t>- за счет средств окружного бюджета – 35 391 031,6 тыс. рублей;</w:t>
      </w:r>
    </w:p>
    <w:p w:rsidR="00191861" w:rsidRPr="00467F9C" w:rsidRDefault="00191861" w:rsidP="00191861">
      <w:pPr>
        <w:pStyle w:val="19"/>
        <w:tabs>
          <w:tab w:val="left" w:pos="709"/>
        </w:tabs>
        <w:ind w:firstLine="709"/>
        <w:rPr>
          <w:color w:val="auto"/>
        </w:rPr>
      </w:pPr>
      <w:r w:rsidRPr="00467F9C">
        <w:rPr>
          <w:color w:val="auto"/>
        </w:rPr>
        <w:t>- за счет средств бюджетов государственных внебюджетных фондов – 1 615 280,1 тыс. рублей (в том числе: 1 579 923,2 тыс. рублей – средства Федерального фонда ОМС, 35 356,9 тыс. рублей – средства Фонда социального страхования);</w:t>
      </w:r>
    </w:p>
    <w:p w:rsidR="00191861" w:rsidRPr="00467F9C" w:rsidRDefault="00191861" w:rsidP="00191861">
      <w:pPr>
        <w:pStyle w:val="19"/>
        <w:tabs>
          <w:tab w:val="left" w:pos="709"/>
        </w:tabs>
        <w:ind w:firstLine="709"/>
        <w:rPr>
          <w:color w:val="auto"/>
        </w:rPr>
      </w:pPr>
      <w:r w:rsidRPr="00467F9C">
        <w:rPr>
          <w:color w:val="auto"/>
        </w:rPr>
        <w:t>- за счет средств государственных корпораций и безвозмездных поступлений от юридических лиц – 11 090 196,8 тыс. рублей;</w:t>
      </w:r>
    </w:p>
    <w:p w:rsidR="00191861" w:rsidRPr="00467F9C" w:rsidRDefault="00191861" w:rsidP="00191861">
      <w:pPr>
        <w:pStyle w:val="19"/>
        <w:tabs>
          <w:tab w:val="left" w:pos="709"/>
        </w:tabs>
        <w:ind w:firstLine="709"/>
        <w:rPr>
          <w:color w:val="auto"/>
        </w:rPr>
      </w:pPr>
      <w:r w:rsidRPr="00467F9C">
        <w:rPr>
          <w:color w:val="auto"/>
        </w:rPr>
        <w:t xml:space="preserve">- за счет прочих внебюджетных источников – 28 041,5 тыс. рублей. </w:t>
      </w:r>
    </w:p>
    <w:p w:rsidR="00191861" w:rsidRPr="00467F9C" w:rsidRDefault="00191861" w:rsidP="00191861">
      <w:pPr>
        <w:widowControl w:val="0"/>
        <w:tabs>
          <w:tab w:val="left" w:pos="709"/>
        </w:tabs>
        <w:spacing w:after="120"/>
        <w:ind w:firstLine="709"/>
        <w:contextualSpacing/>
        <w:jc w:val="both"/>
        <w:rPr>
          <w:bCs/>
          <w:sz w:val="28"/>
          <w:szCs w:val="28"/>
        </w:rPr>
      </w:pPr>
      <w:r w:rsidRPr="00467F9C">
        <w:rPr>
          <w:bCs/>
          <w:sz w:val="28"/>
          <w:szCs w:val="28"/>
        </w:rPr>
        <w:t xml:space="preserve">С целью внесения изменений в параметры государственных программ 2021 года Правительством Чукотского автономного округа принято 105 постановлений (в 2021 году – 79 постановлений, в 2022 году – 26 постановлений). </w:t>
      </w:r>
    </w:p>
    <w:p w:rsidR="00191861" w:rsidRPr="00467F9C" w:rsidRDefault="00191861" w:rsidP="00191861">
      <w:pPr>
        <w:widowControl w:val="0"/>
        <w:tabs>
          <w:tab w:val="left" w:pos="709"/>
        </w:tabs>
        <w:spacing w:after="120"/>
        <w:ind w:firstLine="709"/>
        <w:contextualSpacing/>
        <w:jc w:val="both"/>
        <w:rPr>
          <w:bCs/>
          <w:sz w:val="28"/>
          <w:szCs w:val="28"/>
        </w:rPr>
      </w:pPr>
      <w:r w:rsidRPr="00467F9C">
        <w:rPr>
          <w:bCs/>
          <w:sz w:val="28"/>
          <w:szCs w:val="28"/>
        </w:rPr>
        <w:t xml:space="preserve">Счетной палатой финансово-экономическая экспертиза проведена по                    45 проектам постановлений о внесении изменений в параметры государственных программ 2021 года, по 34 проектам экспертиза проведена без замечаний, по 11 проектам в адрес разработчиков направлены замечания Счетной палаты, из которых 7 постановлений приняты с учетом замечаний Счетной палаты. </w:t>
      </w:r>
    </w:p>
    <w:p w:rsidR="00191861" w:rsidRPr="00467F9C" w:rsidRDefault="00191861" w:rsidP="00191861">
      <w:pPr>
        <w:widowControl w:val="0"/>
        <w:tabs>
          <w:tab w:val="left" w:pos="709"/>
        </w:tabs>
        <w:spacing w:after="120"/>
        <w:ind w:firstLine="709"/>
        <w:contextualSpacing/>
        <w:jc w:val="both"/>
        <w:rPr>
          <w:sz w:val="28"/>
          <w:szCs w:val="28"/>
        </w:rPr>
      </w:pPr>
      <w:r w:rsidRPr="00467F9C">
        <w:rPr>
          <w:bCs/>
          <w:sz w:val="28"/>
          <w:szCs w:val="28"/>
        </w:rPr>
        <w:t>Законом об окружном бюджете на 2021 год</w:t>
      </w:r>
      <w:r w:rsidRPr="00467F9C">
        <w:rPr>
          <w:rStyle w:val="ab"/>
          <w:bCs/>
          <w:sz w:val="28"/>
          <w:szCs w:val="28"/>
        </w:rPr>
        <w:footnoteReference w:id="86"/>
      </w:r>
      <w:r w:rsidRPr="00467F9C">
        <w:rPr>
          <w:bCs/>
          <w:sz w:val="28"/>
          <w:szCs w:val="28"/>
        </w:rPr>
        <w:t xml:space="preserve"> финансирование государственных программ на 2021 год предусмотрено с общим объемом ассигнований 54 062 281,5 тыс. рублей. </w:t>
      </w:r>
      <w:r w:rsidRPr="00467F9C">
        <w:rPr>
          <w:sz w:val="28"/>
          <w:szCs w:val="28"/>
        </w:rPr>
        <w:t>Доля ассигнований, утвержденных на реализацию программ, в общих расходах окружного бюджета на 2021 год составила 96,5%.</w:t>
      </w:r>
    </w:p>
    <w:p w:rsidR="00191861" w:rsidRPr="00467F9C" w:rsidRDefault="00191861" w:rsidP="00191861">
      <w:pPr>
        <w:tabs>
          <w:tab w:val="left" w:pos="709"/>
        </w:tabs>
        <w:ind w:firstLine="709"/>
        <w:jc w:val="both"/>
        <w:rPr>
          <w:sz w:val="28"/>
          <w:szCs w:val="28"/>
        </w:rPr>
      </w:pPr>
      <w:r w:rsidRPr="00467F9C">
        <w:rPr>
          <w:sz w:val="28"/>
          <w:szCs w:val="28"/>
        </w:rPr>
        <w:t xml:space="preserve">СБР по состоянию на 31 декабря 2021 года на реализацию госпрограмм утвержден объем ассигнований в общей сумме 54 182 345,5 тыс. рублей. Объемы ассигнований, предусмотренные сводной бюджетной росписью, не соответствуют объемам, утвержденным Законом об окружном бюджете на 2021 год (больше на 120 064,0 тыс. рублей), в связи с тем, что в отчетном периоде финансовым органом увеличение бюджетных ассигнований осуществлялось путем внесения изменений </w:t>
      </w:r>
      <w:r w:rsidRPr="00467F9C">
        <w:rPr>
          <w:sz w:val="28"/>
          <w:szCs w:val="28"/>
        </w:rPr>
        <w:lastRenderedPageBreak/>
        <w:t xml:space="preserve">в СБР окружного бюджета без внесения изменений в Закон об окружном бюджете на 2021 год в соответствии с нормами статьи 217 Бюджетного кодекса Российской Федерации.  </w:t>
      </w:r>
    </w:p>
    <w:p w:rsidR="00191861" w:rsidRPr="00467F9C" w:rsidRDefault="00191861" w:rsidP="00191861">
      <w:pPr>
        <w:widowControl w:val="0"/>
        <w:spacing w:before="120"/>
        <w:ind w:firstLine="709"/>
        <w:contextualSpacing/>
        <w:jc w:val="both"/>
        <w:rPr>
          <w:sz w:val="28"/>
          <w:szCs w:val="28"/>
        </w:rPr>
      </w:pPr>
      <w:r w:rsidRPr="00467F9C">
        <w:rPr>
          <w:sz w:val="28"/>
          <w:szCs w:val="28"/>
        </w:rPr>
        <w:t>Информация об исполнении государственных программ по состоянию на 1 января 2022 года отражена на рисунке 1.</w:t>
      </w:r>
      <w:r w:rsidRPr="00467F9C">
        <w:rPr>
          <w:sz w:val="28"/>
          <w:szCs w:val="28"/>
        </w:rPr>
        <w:tab/>
        <w:t xml:space="preserve">                                                                               </w:t>
      </w:r>
    </w:p>
    <w:p w:rsidR="00191861" w:rsidRPr="00467F9C" w:rsidRDefault="00191861" w:rsidP="00191861">
      <w:pPr>
        <w:widowControl w:val="0"/>
        <w:spacing w:before="120"/>
        <w:ind w:firstLine="709"/>
        <w:contextualSpacing/>
        <w:jc w:val="both"/>
        <w:rPr>
          <w:highlight w:val="yellow"/>
        </w:rPr>
      </w:pPr>
      <w:r w:rsidRPr="00467F9C">
        <w:rPr>
          <w:sz w:val="28"/>
          <w:szCs w:val="28"/>
        </w:rPr>
        <w:t xml:space="preserve">                                                                                                           </w:t>
      </w:r>
      <w:proofErr w:type="spellStart"/>
      <w:r w:rsidRPr="00467F9C">
        <w:rPr>
          <w:sz w:val="28"/>
          <w:szCs w:val="28"/>
        </w:rPr>
        <w:t>тыс.рублей</w:t>
      </w:r>
      <w:proofErr w:type="spellEnd"/>
      <w:r w:rsidRPr="00467F9C">
        <w:rPr>
          <w:noProof/>
        </w:rPr>
        <w:t xml:space="preserve"> </w:t>
      </w:r>
      <w:r w:rsidRPr="00467F9C">
        <w:rPr>
          <w:noProof/>
        </w:rPr>
        <w:drawing>
          <wp:inline distT="0" distB="0" distL="0" distR="0" wp14:anchorId="3BAE92E5" wp14:editId="3346370E">
            <wp:extent cx="6317673" cy="1738630"/>
            <wp:effectExtent l="0" t="0" r="6985" b="13970"/>
            <wp:docPr id="1" name="Диаграмма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1250E30-BCFA-4650-8C69-FC61724EF9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91861" w:rsidRPr="00467F9C" w:rsidRDefault="00191861" w:rsidP="00191861">
      <w:pPr>
        <w:pStyle w:val="19"/>
        <w:ind w:firstLine="709"/>
        <w:jc w:val="center"/>
        <w:rPr>
          <w:color w:val="auto"/>
          <w:sz w:val="24"/>
          <w:szCs w:val="24"/>
        </w:rPr>
      </w:pPr>
      <w:r w:rsidRPr="00467F9C">
        <w:rPr>
          <w:color w:val="auto"/>
          <w:sz w:val="24"/>
          <w:szCs w:val="24"/>
        </w:rPr>
        <w:t>Рис 1.</w:t>
      </w:r>
    </w:p>
    <w:p w:rsidR="00191861" w:rsidRPr="00417B78" w:rsidRDefault="00191861" w:rsidP="00191861">
      <w:pPr>
        <w:pStyle w:val="19"/>
        <w:ind w:firstLine="709"/>
        <w:jc w:val="center"/>
        <w:rPr>
          <w:color w:val="auto"/>
          <w:sz w:val="16"/>
          <w:szCs w:val="16"/>
          <w:highlight w:val="yellow"/>
        </w:rPr>
      </w:pPr>
    </w:p>
    <w:p w:rsidR="00191861" w:rsidRPr="00467F9C" w:rsidRDefault="00191861" w:rsidP="00191861">
      <w:pPr>
        <w:pStyle w:val="19"/>
        <w:ind w:firstLine="709"/>
        <w:rPr>
          <w:color w:val="auto"/>
        </w:rPr>
      </w:pPr>
      <w:r w:rsidRPr="00467F9C">
        <w:rPr>
          <w:color w:val="auto"/>
        </w:rPr>
        <w:t xml:space="preserve">Государственные программы Чукотского автономного округа реализуются девятью ответственными исполнителями – главными распорядителями средств окружного бюджета, из них Департаментом промышленной политики исполняются 8 госпрограмм, на которые СБР на 2021 год утверждены бюджетные ассигнования в объеме 28 636 106,8 тыс. рублей или 52,9% от объема бюджетных ассигнований, предусмотренных на реализацию государственных программ.  </w:t>
      </w:r>
    </w:p>
    <w:p w:rsidR="00191861" w:rsidRPr="00467F9C" w:rsidRDefault="00191861" w:rsidP="00191861">
      <w:pPr>
        <w:ind w:firstLine="708"/>
        <w:jc w:val="both"/>
        <w:rPr>
          <w:sz w:val="28"/>
          <w:szCs w:val="28"/>
        </w:rPr>
      </w:pPr>
      <w:r w:rsidRPr="00467F9C">
        <w:rPr>
          <w:sz w:val="28"/>
          <w:szCs w:val="28"/>
        </w:rPr>
        <w:t>В 2021 году на реализацию госпрограмм из окружного бюджета направлено 52 677 350,5 тыс. рублей или 97,2 %, из них 1 101 005,8 тыс. рублей (2,1%) в виде авансовых платежей на выполнение мероприятий пяти госпрограмм</w:t>
      </w:r>
      <w:r w:rsidRPr="00467F9C">
        <w:rPr>
          <w:rStyle w:val="ab"/>
          <w:sz w:val="28"/>
          <w:szCs w:val="28"/>
        </w:rPr>
        <w:footnoteReference w:id="87"/>
      </w:r>
      <w:r w:rsidRPr="00467F9C">
        <w:rPr>
          <w:sz w:val="28"/>
          <w:szCs w:val="28"/>
        </w:rPr>
        <w:t xml:space="preserve"> («Развитие культуры, спорта и туризма Чукотского автономного округа», «Развитие агропромышленного комплекса Чукотского автономного округа», «Развитие образования и науки Чукотского автономного округа», «Развитие жилищного строительства в Чукотском автономном округе» и «Формирование комфортной городской среды в Чукотском автономном округе»),</w:t>
      </w:r>
      <w:r w:rsidRPr="00467F9C">
        <w:rPr>
          <w:sz w:val="16"/>
          <w:szCs w:val="16"/>
        </w:rPr>
        <w:t xml:space="preserve"> </w:t>
      </w:r>
      <w:r w:rsidRPr="00467F9C">
        <w:rPr>
          <w:sz w:val="28"/>
          <w:szCs w:val="28"/>
        </w:rPr>
        <w:t xml:space="preserve"> 760 692,8 тыс. рублей – предоставлены бюджетные инвестиции.</w:t>
      </w:r>
    </w:p>
    <w:p w:rsidR="00191861" w:rsidRPr="00467F9C" w:rsidRDefault="00191861" w:rsidP="00191861">
      <w:pPr>
        <w:pStyle w:val="af8"/>
        <w:spacing w:before="80"/>
        <w:ind w:firstLine="709"/>
        <w:jc w:val="both"/>
        <w:rPr>
          <w:sz w:val="28"/>
          <w:szCs w:val="28"/>
        </w:rPr>
      </w:pPr>
      <w:r w:rsidRPr="00467F9C">
        <w:rPr>
          <w:sz w:val="28"/>
          <w:szCs w:val="28"/>
        </w:rPr>
        <w:t>Информация о направленных из окружного бюджета ассигнованиях на реализацию государственных программ Чукотского автономного округа в 2021 году приведена в таблице №1.</w:t>
      </w:r>
    </w:p>
    <w:p w:rsidR="00191861" w:rsidRPr="00467F9C" w:rsidRDefault="00191861" w:rsidP="00191861">
      <w:pPr>
        <w:pStyle w:val="af8"/>
        <w:ind w:firstLine="709"/>
        <w:jc w:val="right"/>
        <w:rPr>
          <w:sz w:val="28"/>
          <w:szCs w:val="28"/>
        </w:rPr>
      </w:pPr>
      <w:r w:rsidRPr="00467F9C">
        <w:rPr>
          <w:sz w:val="28"/>
          <w:szCs w:val="28"/>
        </w:rPr>
        <w:t>Таблица №1</w:t>
      </w:r>
    </w:p>
    <w:p w:rsidR="00191861" w:rsidRPr="00467F9C" w:rsidRDefault="00191861" w:rsidP="00191861">
      <w:pPr>
        <w:pStyle w:val="19"/>
        <w:ind w:firstLine="709"/>
        <w:jc w:val="right"/>
        <w:rPr>
          <w:color w:val="auto"/>
          <w:sz w:val="16"/>
          <w:szCs w:val="16"/>
        </w:rPr>
      </w:pPr>
      <w:r w:rsidRPr="00467F9C">
        <w:rPr>
          <w:color w:val="auto"/>
        </w:rPr>
        <w:t>(тыс. рублей)</w:t>
      </w:r>
    </w:p>
    <w:tbl>
      <w:tblPr>
        <w:tblW w:w="10111" w:type="dxa"/>
        <w:tblInd w:w="-147" w:type="dxa"/>
        <w:tblLook w:val="04A0" w:firstRow="1" w:lastRow="0" w:firstColumn="1" w:lastColumn="0" w:noHBand="0" w:noVBand="1"/>
      </w:tblPr>
      <w:tblGrid>
        <w:gridCol w:w="396"/>
        <w:gridCol w:w="5836"/>
        <w:gridCol w:w="1210"/>
        <w:gridCol w:w="1367"/>
        <w:gridCol w:w="1302"/>
      </w:tblGrid>
      <w:tr w:rsidR="00467F9C" w:rsidRPr="006B0E79" w:rsidTr="00417B78">
        <w:trPr>
          <w:trHeight w:val="592"/>
          <w:tblHeader/>
        </w:trPr>
        <w:tc>
          <w:tcPr>
            <w:tcW w:w="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ind w:right="-39" w:hanging="107"/>
              <w:jc w:val="center"/>
              <w:rPr>
                <w:b/>
                <w:bCs/>
                <w:sz w:val="20"/>
                <w:szCs w:val="20"/>
              </w:rPr>
            </w:pPr>
            <w:r w:rsidRPr="006B0E79">
              <w:rPr>
                <w:b/>
                <w:bCs/>
                <w:sz w:val="20"/>
                <w:szCs w:val="20"/>
              </w:rPr>
              <w:t>п/п</w:t>
            </w:r>
          </w:p>
        </w:tc>
        <w:tc>
          <w:tcPr>
            <w:tcW w:w="5836" w:type="dxa"/>
            <w:tcBorders>
              <w:top w:val="single" w:sz="4" w:space="0" w:color="auto"/>
              <w:left w:val="nil"/>
              <w:bottom w:val="single" w:sz="4" w:space="0" w:color="auto"/>
              <w:right w:val="single" w:sz="4" w:space="0" w:color="auto"/>
            </w:tcBorders>
            <w:shd w:val="clear" w:color="auto" w:fill="auto"/>
            <w:vAlign w:val="center"/>
            <w:hideMark/>
          </w:tcPr>
          <w:p w:rsidR="00191861" w:rsidRPr="006B0E79" w:rsidRDefault="00191861" w:rsidP="00191861">
            <w:pPr>
              <w:jc w:val="center"/>
              <w:rPr>
                <w:b/>
                <w:bCs/>
                <w:sz w:val="20"/>
                <w:szCs w:val="20"/>
              </w:rPr>
            </w:pPr>
            <w:r w:rsidRPr="006B0E79">
              <w:rPr>
                <w:b/>
                <w:bCs/>
                <w:sz w:val="20"/>
                <w:szCs w:val="20"/>
              </w:rPr>
              <w:t>ГАБС - ответственный исполнитель госпрограммы / наименование государственной программы</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rsidR="00191861" w:rsidRPr="006B0E79" w:rsidRDefault="00191861" w:rsidP="006B0E79">
            <w:pPr>
              <w:ind w:left="-124" w:right="-111" w:hanging="55"/>
              <w:jc w:val="center"/>
              <w:rPr>
                <w:b/>
                <w:bCs/>
                <w:sz w:val="20"/>
                <w:szCs w:val="20"/>
              </w:rPr>
            </w:pPr>
            <w:r w:rsidRPr="006B0E79">
              <w:rPr>
                <w:b/>
                <w:bCs/>
                <w:sz w:val="20"/>
                <w:szCs w:val="20"/>
              </w:rPr>
              <w:t>Утверждено</w:t>
            </w:r>
          </w:p>
          <w:p w:rsidR="00191861" w:rsidRPr="006B0E79" w:rsidRDefault="00191861" w:rsidP="006B0E79">
            <w:pPr>
              <w:ind w:left="-124" w:right="-111" w:hanging="55"/>
              <w:jc w:val="center"/>
              <w:rPr>
                <w:b/>
                <w:bCs/>
                <w:sz w:val="20"/>
                <w:szCs w:val="20"/>
              </w:rPr>
            </w:pPr>
            <w:r w:rsidRPr="006B0E79">
              <w:rPr>
                <w:b/>
                <w:bCs/>
                <w:sz w:val="20"/>
                <w:szCs w:val="20"/>
              </w:rPr>
              <w:t xml:space="preserve"> СБР</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191861" w:rsidRPr="006B0E79" w:rsidRDefault="00191861" w:rsidP="006B0E79">
            <w:pPr>
              <w:ind w:left="-102" w:right="-138"/>
              <w:jc w:val="center"/>
              <w:rPr>
                <w:b/>
                <w:bCs/>
                <w:sz w:val="20"/>
                <w:szCs w:val="20"/>
              </w:rPr>
            </w:pPr>
            <w:r w:rsidRPr="006B0E79">
              <w:rPr>
                <w:b/>
                <w:bCs/>
                <w:sz w:val="20"/>
                <w:szCs w:val="20"/>
              </w:rPr>
              <w:t>Направлено бюджетных ассигнований (ф.0503117)</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191861" w:rsidRPr="006B0E79" w:rsidRDefault="00191861" w:rsidP="00191861">
            <w:pPr>
              <w:ind w:left="-102" w:right="-118"/>
              <w:jc w:val="center"/>
              <w:rPr>
                <w:b/>
                <w:bCs/>
                <w:sz w:val="20"/>
                <w:szCs w:val="20"/>
              </w:rPr>
            </w:pPr>
            <w:r w:rsidRPr="006B0E79">
              <w:rPr>
                <w:b/>
                <w:bCs/>
                <w:sz w:val="20"/>
                <w:szCs w:val="20"/>
              </w:rPr>
              <w:t>% к годовым</w:t>
            </w:r>
          </w:p>
          <w:p w:rsidR="00191861" w:rsidRPr="006B0E79" w:rsidRDefault="00191861" w:rsidP="00191861">
            <w:pPr>
              <w:ind w:left="-102" w:right="-118"/>
              <w:jc w:val="center"/>
              <w:rPr>
                <w:b/>
                <w:bCs/>
                <w:sz w:val="20"/>
                <w:szCs w:val="20"/>
              </w:rPr>
            </w:pPr>
            <w:r w:rsidRPr="006B0E79">
              <w:rPr>
                <w:b/>
                <w:bCs/>
                <w:sz w:val="20"/>
                <w:szCs w:val="20"/>
              </w:rPr>
              <w:t>назначениям</w:t>
            </w:r>
          </w:p>
        </w:tc>
      </w:tr>
      <w:tr w:rsidR="00467F9C" w:rsidRPr="006B0E79" w:rsidTr="00417B78">
        <w:trPr>
          <w:trHeight w:val="190"/>
          <w:tblHeader/>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ind w:right="-39" w:hanging="107"/>
              <w:jc w:val="center"/>
              <w:rPr>
                <w:sz w:val="20"/>
                <w:szCs w:val="20"/>
              </w:rPr>
            </w:pPr>
            <w:r w:rsidRPr="006B0E79">
              <w:rPr>
                <w:sz w:val="20"/>
                <w:szCs w:val="20"/>
              </w:rPr>
              <w:t>1</w:t>
            </w:r>
          </w:p>
        </w:tc>
        <w:tc>
          <w:tcPr>
            <w:tcW w:w="5836"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191861">
            <w:pPr>
              <w:jc w:val="center"/>
              <w:rPr>
                <w:sz w:val="20"/>
                <w:szCs w:val="20"/>
              </w:rPr>
            </w:pPr>
            <w:r w:rsidRPr="006B0E79">
              <w:rPr>
                <w:sz w:val="20"/>
                <w:szCs w:val="20"/>
              </w:rPr>
              <w:t>2</w:t>
            </w:r>
          </w:p>
        </w:tc>
        <w:tc>
          <w:tcPr>
            <w:tcW w:w="1210"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24" w:right="-111" w:hanging="55"/>
              <w:jc w:val="center"/>
              <w:rPr>
                <w:sz w:val="20"/>
                <w:szCs w:val="20"/>
              </w:rPr>
            </w:pPr>
            <w:r w:rsidRPr="006B0E79">
              <w:rPr>
                <w:sz w:val="20"/>
                <w:szCs w:val="20"/>
              </w:rPr>
              <w:t>3</w:t>
            </w:r>
          </w:p>
        </w:tc>
        <w:tc>
          <w:tcPr>
            <w:tcW w:w="1367"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02" w:right="-138"/>
              <w:jc w:val="center"/>
              <w:rPr>
                <w:sz w:val="20"/>
                <w:szCs w:val="20"/>
              </w:rPr>
            </w:pPr>
            <w:r w:rsidRPr="006B0E79">
              <w:rPr>
                <w:sz w:val="20"/>
                <w:szCs w:val="20"/>
              </w:rPr>
              <w:t>4</w:t>
            </w:r>
          </w:p>
        </w:tc>
        <w:tc>
          <w:tcPr>
            <w:tcW w:w="1302"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5</w:t>
            </w:r>
          </w:p>
        </w:tc>
      </w:tr>
      <w:tr w:rsidR="00467F9C" w:rsidRPr="006B0E79" w:rsidTr="00417B78">
        <w:trPr>
          <w:trHeight w:val="190"/>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b/>
                <w:bCs/>
                <w:sz w:val="20"/>
                <w:szCs w:val="20"/>
              </w:rPr>
            </w:pPr>
            <w:r w:rsidRPr="006B0E79">
              <w:rPr>
                <w:b/>
                <w:bCs/>
                <w:sz w:val="20"/>
                <w:szCs w:val="20"/>
              </w:rPr>
              <w:t> </w:t>
            </w:r>
          </w:p>
        </w:tc>
        <w:tc>
          <w:tcPr>
            <w:tcW w:w="5836" w:type="dxa"/>
            <w:tcBorders>
              <w:top w:val="nil"/>
              <w:left w:val="nil"/>
              <w:bottom w:val="single" w:sz="4" w:space="0" w:color="auto"/>
              <w:right w:val="single" w:sz="4" w:space="0" w:color="auto"/>
            </w:tcBorders>
            <w:shd w:val="clear" w:color="auto" w:fill="auto"/>
            <w:noWrap/>
            <w:vAlign w:val="center"/>
            <w:hideMark/>
          </w:tcPr>
          <w:p w:rsidR="00191861" w:rsidRDefault="00191861" w:rsidP="00191861">
            <w:pPr>
              <w:rPr>
                <w:b/>
                <w:bCs/>
                <w:sz w:val="20"/>
                <w:szCs w:val="20"/>
              </w:rPr>
            </w:pPr>
            <w:r w:rsidRPr="006B0E79">
              <w:rPr>
                <w:b/>
                <w:bCs/>
                <w:sz w:val="20"/>
                <w:szCs w:val="20"/>
              </w:rPr>
              <w:t>Расходы по ГП, всего</w:t>
            </w:r>
          </w:p>
          <w:p w:rsidR="006B0E79" w:rsidRPr="006B0E79" w:rsidRDefault="006B0E79" w:rsidP="00191861">
            <w:pPr>
              <w:rPr>
                <w:b/>
                <w:bCs/>
                <w:sz w:val="4"/>
                <w:szCs w:val="4"/>
              </w:rPr>
            </w:pPr>
          </w:p>
        </w:tc>
        <w:tc>
          <w:tcPr>
            <w:tcW w:w="1210"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24" w:right="-111" w:hanging="55"/>
              <w:jc w:val="center"/>
              <w:rPr>
                <w:b/>
                <w:bCs/>
                <w:sz w:val="20"/>
                <w:szCs w:val="20"/>
              </w:rPr>
            </w:pPr>
            <w:r w:rsidRPr="006B0E79">
              <w:rPr>
                <w:b/>
                <w:bCs/>
                <w:sz w:val="20"/>
                <w:szCs w:val="20"/>
              </w:rPr>
              <w:t>54 182 345,5</w:t>
            </w:r>
          </w:p>
        </w:tc>
        <w:tc>
          <w:tcPr>
            <w:tcW w:w="1367"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02" w:right="-138"/>
              <w:jc w:val="center"/>
              <w:rPr>
                <w:b/>
                <w:bCs/>
                <w:sz w:val="20"/>
                <w:szCs w:val="20"/>
              </w:rPr>
            </w:pPr>
            <w:r w:rsidRPr="006B0E79">
              <w:rPr>
                <w:b/>
                <w:bCs/>
                <w:sz w:val="20"/>
                <w:szCs w:val="20"/>
              </w:rPr>
              <w:t>52 677 350,5</w:t>
            </w:r>
          </w:p>
        </w:tc>
        <w:tc>
          <w:tcPr>
            <w:tcW w:w="1302"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jc w:val="center"/>
              <w:rPr>
                <w:b/>
                <w:bCs/>
                <w:sz w:val="20"/>
                <w:szCs w:val="20"/>
              </w:rPr>
            </w:pPr>
            <w:r w:rsidRPr="006B0E79">
              <w:rPr>
                <w:b/>
                <w:bCs/>
                <w:sz w:val="20"/>
                <w:szCs w:val="20"/>
              </w:rPr>
              <w:t>97,2</w:t>
            </w:r>
          </w:p>
        </w:tc>
      </w:tr>
      <w:tr w:rsidR="00467F9C" w:rsidRPr="006B0E79" w:rsidTr="00417B78">
        <w:trPr>
          <w:trHeight w:val="190"/>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b/>
                <w:bCs/>
                <w:sz w:val="20"/>
                <w:szCs w:val="20"/>
              </w:rPr>
            </w:pPr>
            <w:r w:rsidRPr="006B0E79">
              <w:rPr>
                <w:b/>
                <w:bCs/>
                <w:sz w:val="20"/>
                <w:szCs w:val="20"/>
              </w:rPr>
              <w:t> </w:t>
            </w:r>
          </w:p>
        </w:tc>
        <w:tc>
          <w:tcPr>
            <w:tcW w:w="5836" w:type="dxa"/>
            <w:tcBorders>
              <w:top w:val="nil"/>
              <w:left w:val="nil"/>
              <w:bottom w:val="single" w:sz="4" w:space="0" w:color="auto"/>
              <w:right w:val="single" w:sz="4" w:space="0" w:color="auto"/>
            </w:tcBorders>
            <w:shd w:val="clear" w:color="auto" w:fill="auto"/>
            <w:vAlign w:val="center"/>
            <w:hideMark/>
          </w:tcPr>
          <w:p w:rsidR="00191861" w:rsidRDefault="00191861" w:rsidP="00191861">
            <w:pPr>
              <w:rPr>
                <w:b/>
                <w:bCs/>
                <w:sz w:val="20"/>
                <w:szCs w:val="20"/>
              </w:rPr>
            </w:pPr>
            <w:r w:rsidRPr="006B0E79">
              <w:rPr>
                <w:b/>
                <w:bCs/>
                <w:sz w:val="20"/>
                <w:szCs w:val="20"/>
              </w:rPr>
              <w:t xml:space="preserve">Департамент промышленной политики </w:t>
            </w:r>
          </w:p>
          <w:p w:rsidR="006B0E79" w:rsidRPr="006B0E79" w:rsidRDefault="006B0E79" w:rsidP="00191861">
            <w:pPr>
              <w:rPr>
                <w:b/>
                <w:bCs/>
                <w:sz w:val="4"/>
                <w:szCs w:val="4"/>
              </w:rPr>
            </w:pPr>
          </w:p>
        </w:tc>
        <w:tc>
          <w:tcPr>
            <w:tcW w:w="1210"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24" w:right="-111" w:hanging="55"/>
              <w:jc w:val="center"/>
              <w:rPr>
                <w:b/>
                <w:bCs/>
                <w:sz w:val="20"/>
                <w:szCs w:val="20"/>
              </w:rPr>
            </w:pPr>
            <w:r w:rsidRPr="006B0E79">
              <w:rPr>
                <w:b/>
                <w:bCs/>
                <w:sz w:val="20"/>
                <w:szCs w:val="20"/>
              </w:rPr>
              <w:t>28 636 106,8</w:t>
            </w:r>
          </w:p>
        </w:tc>
        <w:tc>
          <w:tcPr>
            <w:tcW w:w="1367"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02" w:right="-138"/>
              <w:jc w:val="center"/>
              <w:rPr>
                <w:b/>
                <w:bCs/>
                <w:sz w:val="20"/>
                <w:szCs w:val="20"/>
              </w:rPr>
            </w:pPr>
            <w:r w:rsidRPr="006B0E79">
              <w:rPr>
                <w:b/>
                <w:bCs/>
                <w:sz w:val="20"/>
                <w:szCs w:val="20"/>
              </w:rPr>
              <w:t>27 906 605,3</w:t>
            </w:r>
          </w:p>
        </w:tc>
        <w:tc>
          <w:tcPr>
            <w:tcW w:w="1302"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jc w:val="center"/>
              <w:rPr>
                <w:b/>
                <w:bCs/>
                <w:sz w:val="20"/>
                <w:szCs w:val="20"/>
              </w:rPr>
            </w:pPr>
            <w:r w:rsidRPr="006B0E79">
              <w:rPr>
                <w:b/>
                <w:bCs/>
                <w:sz w:val="20"/>
                <w:szCs w:val="20"/>
              </w:rPr>
              <w:t>97,5</w:t>
            </w:r>
          </w:p>
        </w:tc>
      </w:tr>
      <w:tr w:rsidR="00467F9C" w:rsidRPr="006B0E79" w:rsidTr="00417B78">
        <w:trPr>
          <w:trHeight w:val="190"/>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1</w:t>
            </w:r>
          </w:p>
        </w:tc>
        <w:tc>
          <w:tcPr>
            <w:tcW w:w="5836" w:type="dxa"/>
            <w:tcBorders>
              <w:top w:val="nil"/>
              <w:left w:val="nil"/>
              <w:bottom w:val="single" w:sz="4" w:space="0" w:color="auto"/>
              <w:right w:val="single" w:sz="4" w:space="0" w:color="auto"/>
            </w:tcBorders>
            <w:shd w:val="clear" w:color="auto" w:fill="auto"/>
            <w:vAlign w:val="center"/>
            <w:hideMark/>
          </w:tcPr>
          <w:p w:rsidR="00191861" w:rsidRDefault="00191861" w:rsidP="00191861">
            <w:pPr>
              <w:rPr>
                <w:sz w:val="20"/>
                <w:szCs w:val="20"/>
              </w:rPr>
            </w:pPr>
            <w:r w:rsidRPr="006B0E79">
              <w:rPr>
                <w:sz w:val="20"/>
                <w:szCs w:val="20"/>
              </w:rPr>
              <w:t xml:space="preserve">Информационное общество Чукотского автономного округа </w:t>
            </w:r>
          </w:p>
          <w:p w:rsidR="006B0E79" w:rsidRPr="006B0E79" w:rsidRDefault="006B0E79" w:rsidP="00191861">
            <w:pPr>
              <w:rPr>
                <w:sz w:val="4"/>
                <w:szCs w:val="4"/>
              </w:rPr>
            </w:pPr>
          </w:p>
        </w:tc>
        <w:tc>
          <w:tcPr>
            <w:tcW w:w="1210"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24" w:right="-111" w:hanging="55"/>
              <w:jc w:val="center"/>
              <w:rPr>
                <w:sz w:val="20"/>
                <w:szCs w:val="20"/>
              </w:rPr>
            </w:pPr>
            <w:r w:rsidRPr="006B0E79">
              <w:rPr>
                <w:sz w:val="20"/>
                <w:szCs w:val="20"/>
              </w:rPr>
              <w:t>620 579,6</w:t>
            </w:r>
          </w:p>
        </w:tc>
        <w:tc>
          <w:tcPr>
            <w:tcW w:w="1367"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02" w:right="-138"/>
              <w:jc w:val="center"/>
              <w:rPr>
                <w:sz w:val="20"/>
                <w:szCs w:val="20"/>
              </w:rPr>
            </w:pPr>
            <w:r w:rsidRPr="006B0E79">
              <w:rPr>
                <w:sz w:val="20"/>
                <w:szCs w:val="20"/>
              </w:rPr>
              <w:t>617 275,8</w:t>
            </w:r>
          </w:p>
        </w:tc>
        <w:tc>
          <w:tcPr>
            <w:tcW w:w="1302"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99,5</w:t>
            </w:r>
          </w:p>
        </w:tc>
      </w:tr>
      <w:tr w:rsidR="00467F9C" w:rsidRPr="006B0E79" w:rsidTr="00417B78">
        <w:trPr>
          <w:trHeight w:val="305"/>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2</w:t>
            </w:r>
          </w:p>
        </w:tc>
        <w:tc>
          <w:tcPr>
            <w:tcW w:w="5836" w:type="dxa"/>
            <w:tcBorders>
              <w:top w:val="nil"/>
              <w:left w:val="nil"/>
              <w:bottom w:val="single" w:sz="4" w:space="0" w:color="auto"/>
              <w:right w:val="single" w:sz="4" w:space="0" w:color="auto"/>
            </w:tcBorders>
            <w:shd w:val="clear" w:color="auto" w:fill="auto"/>
            <w:vAlign w:val="center"/>
            <w:hideMark/>
          </w:tcPr>
          <w:p w:rsidR="00191861" w:rsidRDefault="00191861" w:rsidP="00191861">
            <w:pPr>
              <w:rPr>
                <w:sz w:val="20"/>
                <w:szCs w:val="20"/>
              </w:rPr>
            </w:pPr>
            <w:r w:rsidRPr="006B0E79">
              <w:rPr>
                <w:sz w:val="20"/>
                <w:szCs w:val="20"/>
              </w:rPr>
              <w:t xml:space="preserve">Развитие жилищно-коммунального хозяйства и водохозяйственного комплекса Чукотского автономного округа </w:t>
            </w:r>
          </w:p>
          <w:p w:rsidR="00417B78" w:rsidRPr="00417B78" w:rsidRDefault="00417B78" w:rsidP="00191861">
            <w:pPr>
              <w:rPr>
                <w:sz w:val="4"/>
                <w:szCs w:val="4"/>
              </w:rPr>
            </w:pPr>
          </w:p>
        </w:tc>
        <w:tc>
          <w:tcPr>
            <w:tcW w:w="1210"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24" w:right="-111" w:hanging="55"/>
              <w:jc w:val="center"/>
              <w:rPr>
                <w:sz w:val="20"/>
                <w:szCs w:val="20"/>
              </w:rPr>
            </w:pPr>
            <w:r w:rsidRPr="006B0E79">
              <w:rPr>
                <w:sz w:val="20"/>
                <w:szCs w:val="20"/>
              </w:rPr>
              <w:t>9 194 785,1</w:t>
            </w:r>
          </w:p>
        </w:tc>
        <w:tc>
          <w:tcPr>
            <w:tcW w:w="1367"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02" w:right="-138"/>
              <w:jc w:val="center"/>
              <w:rPr>
                <w:sz w:val="20"/>
                <w:szCs w:val="20"/>
              </w:rPr>
            </w:pPr>
            <w:r w:rsidRPr="006B0E79">
              <w:rPr>
                <w:sz w:val="20"/>
                <w:szCs w:val="20"/>
              </w:rPr>
              <w:t>9 183 447,8</w:t>
            </w:r>
          </w:p>
        </w:tc>
        <w:tc>
          <w:tcPr>
            <w:tcW w:w="1302"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99,9</w:t>
            </w:r>
          </w:p>
        </w:tc>
      </w:tr>
      <w:tr w:rsidR="00467F9C" w:rsidRPr="006B0E79" w:rsidTr="00417B78">
        <w:trPr>
          <w:trHeight w:val="168"/>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lastRenderedPageBreak/>
              <w:t>3</w:t>
            </w:r>
          </w:p>
        </w:tc>
        <w:tc>
          <w:tcPr>
            <w:tcW w:w="5836"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rPr>
                <w:sz w:val="20"/>
                <w:szCs w:val="20"/>
              </w:rPr>
            </w:pPr>
            <w:r w:rsidRPr="006B0E79">
              <w:rPr>
                <w:sz w:val="20"/>
                <w:szCs w:val="20"/>
              </w:rPr>
              <w:t xml:space="preserve">Развитие транспортной инфраструктуры Чукотского автономного округа </w:t>
            </w:r>
          </w:p>
        </w:tc>
        <w:tc>
          <w:tcPr>
            <w:tcW w:w="1210"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24" w:right="-111" w:hanging="55"/>
              <w:jc w:val="center"/>
              <w:rPr>
                <w:sz w:val="20"/>
                <w:szCs w:val="20"/>
              </w:rPr>
            </w:pPr>
            <w:r w:rsidRPr="006B0E79">
              <w:rPr>
                <w:sz w:val="20"/>
                <w:szCs w:val="20"/>
              </w:rPr>
              <w:t>6 838 211,0</w:t>
            </w:r>
          </w:p>
        </w:tc>
        <w:tc>
          <w:tcPr>
            <w:tcW w:w="1367"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02" w:right="-138"/>
              <w:jc w:val="center"/>
              <w:rPr>
                <w:sz w:val="20"/>
                <w:szCs w:val="20"/>
              </w:rPr>
            </w:pPr>
            <w:r w:rsidRPr="006B0E79">
              <w:rPr>
                <w:sz w:val="20"/>
                <w:szCs w:val="20"/>
              </w:rPr>
              <w:t>6 736 819,3</w:t>
            </w:r>
          </w:p>
        </w:tc>
        <w:tc>
          <w:tcPr>
            <w:tcW w:w="1302"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98,5</w:t>
            </w:r>
          </w:p>
        </w:tc>
      </w:tr>
      <w:tr w:rsidR="00467F9C" w:rsidRPr="006B0E79" w:rsidTr="00417B78">
        <w:trPr>
          <w:trHeight w:val="128"/>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4</w:t>
            </w:r>
          </w:p>
        </w:tc>
        <w:tc>
          <w:tcPr>
            <w:tcW w:w="5836"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rPr>
                <w:sz w:val="20"/>
                <w:szCs w:val="20"/>
              </w:rPr>
            </w:pPr>
            <w:r w:rsidRPr="006B0E79">
              <w:rPr>
                <w:sz w:val="20"/>
                <w:szCs w:val="20"/>
              </w:rPr>
              <w:t xml:space="preserve">Развитие жилищного строительства в Чукотском автономном округе </w:t>
            </w:r>
          </w:p>
        </w:tc>
        <w:tc>
          <w:tcPr>
            <w:tcW w:w="1210"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24" w:right="-111" w:hanging="55"/>
              <w:jc w:val="center"/>
              <w:rPr>
                <w:sz w:val="20"/>
                <w:szCs w:val="20"/>
              </w:rPr>
            </w:pPr>
            <w:r w:rsidRPr="006B0E79">
              <w:rPr>
                <w:sz w:val="20"/>
                <w:szCs w:val="20"/>
              </w:rPr>
              <w:t>501 359,0</w:t>
            </w:r>
          </w:p>
        </w:tc>
        <w:tc>
          <w:tcPr>
            <w:tcW w:w="1367"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02" w:right="-138"/>
              <w:jc w:val="center"/>
              <w:rPr>
                <w:sz w:val="20"/>
                <w:szCs w:val="20"/>
              </w:rPr>
            </w:pPr>
            <w:r w:rsidRPr="006B0E79">
              <w:rPr>
                <w:sz w:val="20"/>
                <w:szCs w:val="20"/>
              </w:rPr>
              <w:t>362 345,4</w:t>
            </w:r>
          </w:p>
        </w:tc>
        <w:tc>
          <w:tcPr>
            <w:tcW w:w="1302"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72,3</w:t>
            </w:r>
          </w:p>
        </w:tc>
      </w:tr>
      <w:tr w:rsidR="00467F9C" w:rsidRPr="006B0E79" w:rsidTr="00417B78">
        <w:trPr>
          <w:trHeight w:val="457"/>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5</w:t>
            </w:r>
          </w:p>
        </w:tc>
        <w:tc>
          <w:tcPr>
            <w:tcW w:w="5836"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rPr>
                <w:sz w:val="20"/>
                <w:szCs w:val="20"/>
              </w:rPr>
            </w:pPr>
            <w:r w:rsidRPr="006B0E79">
              <w:rPr>
                <w:sz w:val="20"/>
                <w:szCs w:val="20"/>
              </w:rPr>
              <w:t>Предупреждение чрезвычайных ситуаций природного и техногенного характера и обеспечение пожарной безопасности в Чукотском автономном округе</w:t>
            </w:r>
          </w:p>
        </w:tc>
        <w:tc>
          <w:tcPr>
            <w:tcW w:w="1210"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24" w:right="-111" w:hanging="55"/>
              <w:jc w:val="center"/>
              <w:rPr>
                <w:sz w:val="20"/>
                <w:szCs w:val="20"/>
              </w:rPr>
            </w:pPr>
            <w:r w:rsidRPr="006B0E79">
              <w:rPr>
                <w:sz w:val="20"/>
                <w:szCs w:val="20"/>
              </w:rPr>
              <w:t>471 397,5</w:t>
            </w:r>
          </w:p>
        </w:tc>
        <w:tc>
          <w:tcPr>
            <w:tcW w:w="1367"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02" w:right="-138"/>
              <w:jc w:val="center"/>
              <w:rPr>
                <w:sz w:val="20"/>
                <w:szCs w:val="20"/>
              </w:rPr>
            </w:pPr>
            <w:r w:rsidRPr="006B0E79">
              <w:rPr>
                <w:sz w:val="20"/>
                <w:szCs w:val="20"/>
              </w:rPr>
              <w:t>462 701,6</w:t>
            </w:r>
          </w:p>
        </w:tc>
        <w:tc>
          <w:tcPr>
            <w:tcW w:w="1302"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98,2</w:t>
            </w:r>
          </w:p>
        </w:tc>
      </w:tr>
      <w:tr w:rsidR="00467F9C" w:rsidRPr="006B0E79" w:rsidTr="00417B78">
        <w:trPr>
          <w:trHeight w:val="190"/>
        </w:trPr>
        <w:tc>
          <w:tcPr>
            <w:tcW w:w="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6</w:t>
            </w:r>
          </w:p>
        </w:tc>
        <w:tc>
          <w:tcPr>
            <w:tcW w:w="5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rPr>
                <w:sz w:val="20"/>
                <w:szCs w:val="20"/>
              </w:rPr>
            </w:pPr>
            <w:r w:rsidRPr="006B0E79">
              <w:rPr>
                <w:sz w:val="20"/>
                <w:szCs w:val="20"/>
              </w:rPr>
              <w:t xml:space="preserve">Развитие энергетики Чукотского автономного округа </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1861" w:rsidRPr="006B0E79" w:rsidRDefault="00191861" w:rsidP="006B0E79">
            <w:pPr>
              <w:ind w:left="-124" w:right="-111" w:hanging="55"/>
              <w:jc w:val="center"/>
              <w:rPr>
                <w:sz w:val="20"/>
                <w:szCs w:val="20"/>
              </w:rPr>
            </w:pPr>
            <w:r w:rsidRPr="006B0E79">
              <w:rPr>
                <w:sz w:val="20"/>
                <w:szCs w:val="20"/>
              </w:rPr>
              <w:t>10 315 862,3</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1861" w:rsidRPr="006B0E79" w:rsidRDefault="00191861" w:rsidP="006B0E79">
            <w:pPr>
              <w:ind w:left="-102" w:right="-138"/>
              <w:jc w:val="center"/>
              <w:rPr>
                <w:sz w:val="20"/>
                <w:szCs w:val="20"/>
              </w:rPr>
            </w:pPr>
            <w:r w:rsidRPr="006B0E79">
              <w:rPr>
                <w:sz w:val="20"/>
                <w:szCs w:val="20"/>
              </w:rPr>
              <w:t>9 861 302,4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95,6</w:t>
            </w:r>
          </w:p>
        </w:tc>
      </w:tr>
      <w:tr w:rsidR="00467F9C" w:rsidRPr="006B0E79" w:rsidTr="00417B78">
        <w:trPr>
          <w:trHeight w:val="305"/>
        </w:trPr>
        <w:tc>
          <w:tcPr>
            <w:tcW w:w="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7</w:t>
            </w:r>
          </w:p>
        </w:tc>
        <w:tc>
          <w:tcPr>
            <w:tcW w:w="5836" w:type="dxa"/>
            <w:tcBorders>
              <w:top w:val="single" w:sz="4" w:space="0" w:color="auto"/>
              <w:left w:val="nil"/>
              <w:bottom w:val="single" w:sz="4" w:space="0" w:color="auto"/>
              <w:right w:val="single" w:sz="4" w:space="0" w:color="auto"/>
            </w:tcBorders>
            <w:shd w:val="clear" w:color="auto" w:fill="auto"/>
            <w:vAlign w:val="center"/>
            <w:hideMark/>
          </w:tcPr>
          <w:p w:rsidR="00191861" w:rsidRPr="006B0E79" w:rsidRDefault="00191861" w:rsidP="00191861">
            <w:pPr>
              <w:rPr>
                <w:sz w:val="20"/>
                <w:szCs w:val="20"/>
              </w:rPr>
            </w:pPr>
            <w:r w:rsidRPr="006B0E79">
              <w:rPr>
                <w:sz w:val="20"/>
                <w:szCs w:val="20"/>
              </w:rPr>
              <w:t xml:space="preserve">Формирование комфортной городской среды в Чукотском автономном округе </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rsidR="00191861" w:rsidRPr="006B0E79" w:rsidRDefault="00191861" w:rsidP="006B0E79">
            <w:pPr>
              <w:ind w:left="-124" w:right="-111" w:hanging="55"/>
              <w:jc w:val="center"/>
              <w:rPr>
                <w:sz w:val="20"/>
                <w:szCs w:val="20"/>
              </w:rPr>
            </w:pPr>
            <w:r w:rsidRPr="006B0E79">
              <w:rPr>
                <w:sz w:val="20"/>
                <w:szCs w:val="20"/>
              </w:rPr>
              <w:t>33 571,6</w:t>
            </w:r>
          </w:p>
        </w:tc>
        <w:tc>
          <w:tcPr>
            <w:tcW w:w="1367" w:type="dxa"/>
            <w:tcBorders>
              <w:top w:val="single" w:sz="4" w:space="0" w:color="auto"/>
              <w:left w:val="nil"/>
              <w:bottom w:val="single" w:sz="4" w:space="0" w:color="auto"/>
              <w:right w:val="single" w:sz="4" w:space="0" w:color="auto"/>
            </w:tcBorders>
            <w:shd w:val="clear" w:color="auto" w:fill="auto"/>
            <w:noWrap/>
            <w:vAlign w:val="center"/>
            <w:hideMark/>
          </w:tcPr>
          <w:p w:rsidR="00191861" w:rsidRPr="006B0E79" w:rsidRDefault="00191861" w:rsidP="006B0E79">
            <w:pPr>
              <w:ind w:left="-102" w:right="-138"/>
              <w:jc w:val="center"/>
              <w:rPr>
                <w:sz w:val="20"/>
                <w:szCs w:val="20"/>
              </w:rPr>
            </w:pPr>
            <w:r w:rsidRPr="006B0E79">
              <w:rPr>
                <w:sz w:val="20"/>
                <w:szCs w:val="20"/>
              </w:rPr>
              <w:t>33 571,5</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100,0</w:t>
            </w:r>
          </w:p>
        </w:tc>
      </w:tr>
      <w:tr w:rsidR="00467F9C" w:rsidRPr="006B0E79" w:rsidTr="00417B78">
        <w:trPr>
          <w:trHeight w:val="438"/>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8</w:t>
            </w:r>
          </w:p>
        </w:tc>
        <w:tc>
          <w:tcPr>
            <w:tcW w:w="5836"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rPr>
                <w:sz w:val="20"/>
                <w:szCs w:val="20"/>
              </w:rPr>
            </w:pPr>
            <w:r w:rsidRPr="006B0E79">
              <w:rPr>
                <w:sz w:val="20"/>
                <w:szCs w:val="20"/>
              </w:rPr>
              <w:t xml:space="preserve">Обеспечение устойчивого сокращения непригодного для проживания жилищного фонда в Чукотском автономном округе </w:t>
            </w:r>
          </w:p>
        </w:tc>
        <w:tc>
          <w:tcPr>
            <w:tcW w:w="1210"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24" w:right="-111" w:hanging="55"/>
              <w:jc w:val="center"/>
              <w:rPr>
                <w:sz w:val="20"/>
                <w:szCs w:val="20"/>
              </w:rPr>
            </w:pPr>
            <w:r w:rsidRPr="006B0E79">
              <w:rPr>
                <w:sz w:val="20"/>
                <w:szCs w:val="20"/>
              </w:rPr>
              <w:t>660 340,7</w:t>
            </w:r>
          </w:p>
        </w:tc>
        <w:tc>
          <w:tcPr>
            <w:tcW w:w="1367"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02" w:right="-138"/>
              <w:jc w:val="center"/>
              <w:rPr>
                <w:sz w:val="20"/>
                <w:szCs w:val="20"/>
              </w:rPr>
            </w:pPr>
            <w:r w:rsidRPr="006B0E79">
              <w:rPr>
                <w:sz w:val="20"/>
                <w:szCs w:val="20"/>
              </w:rPr>
              <w:t>649 141,6</w:t>
            </w:r>
          </w:p>
        </w:tc>
        <w:tc>
          <w:tcPr>
            <w:tcW w:w="1302"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98,3</w:t>
            </w:r>
          </w:p>
        </w:tc>
      </w:tr>
      <w:tr w:rsidR="00467F9C" w:rsidRPr="006B0E79" w:rsidTr="00417B78">
        <w:trPr>
          <w:trHeight w:val="190"/>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b/>
                <w:bCs/>
                <w:sz w:val="20"/>
                <w:szCs w:val="20"/>
              </w:rPr>
            </w:pPr>
            <w:r w:rsidRPr="006B0E79">
              <w:rPr>
                <w:b/>
                <w:bCs/>
                <w:sz w:val="20"/>
                <w:szCs w:val="20"/>
              </w:rPr>
              <w:t> </w:t>
            </w:r>
          </w:p>
        </w:tc>
        <w:tc>
          <w:tcPr>
            <w:tcW w:w="5836"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rPr>
                <w:b/>
                <w:bCs/>
                <w:sz w:val="20"/>
                <w:szCs w:val="20"/>
              </w:rPr>
            </w:pPr>
            <w:r w:rsidRPr="006B0E79">
              <w:rPr>
                <w:b/>
                <w:bCs/>
                <w:sz w:val="20"/>
                <w:szCs w:val="20"/>
              </w:rPr>
              <w:t xml:space="preserve">Департамент социальной политики </w:t>
            </w:r>
          </w:p>
        </w:tc>
        <w:tc>
          <w:tcPr>
            <w:tcW w:w="1210"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24" w:right="-111" w:hanging="55"/>
              <w:jc w:val="center"/>
              <w:rPr>
                <w:b/>
                <w:bCs/>
                <w:sz w:val="20"/>
                <w:szCs w:val="20"/>
              </w:rPr>
            </w:pPr>
            <w:r w:rsidRPr="006B0E79">
              <w:rPr>
                <w:b/>
                <w:bCs/>
                <w:sz w:val="20"/>
                <w:szCs w:val="20"/>
              </w:rPr>
              <w:t>2 949 135,3</w:t>
            </w:r>
          </w:p>
        </w:tc>
        <w:tc>
          <w:tcPr>
            <w:tcW w:w="1367"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02" w:right="-138"/>
              <w:jc w:val="center"/>
              <w:rPr>
                <w:b/>
                <w:bCs/>
                <w:sz w:val="20"/>
                <w:szCs w:val="20"/>
              </w:rPr>
            </w:pPr>
            <w:r w:rsidRPr="006B0E79">
              <w:rPr>
                <w:b/>
                <w:bCs/>
                <w:sz w:val="20"/>
                <w:szCs w:val="20"/>
              </w:rPr>
              <w:t>2 876 620,4</w:t>
            </w:r>
          </w:p>
        </w:tc>
        <w:tc>
          <w:tcPr>
            <w:tcW w:w="1302"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jc w:val="center"/>
              <w:rPr>
                <w:b/>
                <w:bCs/>
                <w:sz w:val="20"/>
                <w:szCs w:val="20"/>
              </w:rPr>
            </w:pPr>
            <w:r w:rsidRPr="006B0E79">
              <w:rPr>
                <w:b/>
                <w:bCs/>
                <w:sz w:val="20"/>
                <w:szCs w:val="20"/>
              </w:rPr>
              <w:t>97,5</w:t>
            </w:r>
          </w:p>
        </w:tc>
      </w:tr>
      <w:tr w:rsidR="00467F9C" w:rsidRPr="006B0E79" w:rsidTr="00417B78">
        <w:trPr>
          <w:trHeight w:val="268"/>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1</w:t>
            </w:r>
          </w:p>
        </w:tc>
        <w:tc>
          <w:tcPr>
            <w:tcW w:w="5836"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rPr>
                <w:sz w:val="20"/>
                <w:szCs w:val="20"/>
              </w:rPr>
            </w:pPr>
            <w:r w:rsidRPr="006B0E79">
              <w:rPr>
                <w:sz w:val="20"/>
                <w:szCs w:val="20"/>
              </w:rPr>
              <w:t>Социальная поддержка населения Чукотского автономного округа</w:t>
            </w:r>
          </w:p>
        </w:tc>
        <w:tc>
          <w:tcPr>
            <w:tcW w:w="1210"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24" w:right="-111" w:hanging="55"/>
              <w:jc w:val="center"/>
              <w:rPr>
                <w:sz w:val="20"/>
                <w:szCs w:val="20"/>
              </w:rPr>
            </w:pPr>
            <w:r w:rsidRPr="006B0E79">
              <w:rPr>
                <w:sz w:val="20"/>
                <w:szCs w:val="20"/>
              </w:rPr>
              <w:t>2 454 449,7</w:t>
            </w:r>
          </w:p>
        </w:tc>
        <w:tc>
          <w:tcPr>
            <w:tcW w:w="1367"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02" w:right="-138"/>
              <w:jc w:val="center"/>
              <w:rPr>
                <w:sz w:val="20"/>
                <w:szCs w:val="20"/>
              </w:rPr>
            </w:pPr>
            <w:r w:rsidRPr="006B0E79">
              <w:rPr>
                <w:sz w:val="20"/>
                <w:szCs w:val="20"/>
              </w:rPr>
              <w:t>2 386 336,7</w:t>
            </w:r>
          </w:p>
        </w:tc>
        <w:tc>
          <w:tcPr>
            <w:tcW w:w="1302"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97,2</w:t>
            </w:r>
          </w:p>
        </w:tc>
      </w:tr>
      <w:tr w:rsidR="00467F9C" w:rsidRPr="006B0E79" w:rsidTr="00417B78">
        <w:trPr>
          <w:trHeight w:val="252"/>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2</w:t>
            </w:r>
          </w:p>
        </w:tc>
        <w:tc>
          <w:tcPr>
            <w:tcW w:w="5836"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rPr>
                <w:sz w:val="20"/>
                <w:szCs w:val="20"/>
              </w:rPr>
            </w:pPr>
            <w:r w:rsidRPr="006B0E79">
              <w:rPr>
                <w:sz w:val="20"/>
                <w:szCs w:val="20"/>
              </w:rPr>
              <w:t>Стимулирование экономической активности населения Чукотского автономного округа</w:t>
            </w:r>
          </w:p>
        </w:tc>
        <w:tc>
          <w:tcPr>
            <w:tcW w:w="1210"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24" w:right="-111" w:hanging="55"/>
              <w:jc w:val="center"/>
              <w:rPr>
                <w:sz w:val="20"/>
                <w:szCs w:val="20"/>
              </w:rPr>
            </w:pPr>
            <w:r w:rsidRPr="006B0E79">
              <w:rPr>
                <w:sz w:val="20"/>
                <w:szCs w:val="20"/>
              </w:rPr>
              <w:t>494 685,6</w:t>
            </w:r>
          </w:p>
        </w:tc>
        <w:tc>
          <w:tcPr>
            <w:tcW w:w="1367"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02" w:right="-138"/>
              <w:jc w:val="center"/>
              <w:rPr>
                <w:sz w:val="20"/>
                <w:szCs w:val="20"/>
              </w:rPr>
            </w:pPr>
            <w:r w:rsidRPr="006B0E79">
              <w:rPr>
                <w:sz w:val="20"/>
                <w:szCs w:val="20"/>
              </w:rPr>
              <w:t>490 283,7</w:t>
            </w:r>
          </w:p>
        </w:tc>
        <w:tc>
          <w:tcPr>
            <w:tcW w:w="1302"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99,1</w:t>
            </w:r>
          </w:p>
        </w:tc>
      </w:tr>
      <w:tr w:rsidR="00467F9C" w:rsidRPr="006B0E79" w:rsidTr="00417B78">
        <w:trPr>
          <w:trHeight w:val="314"/>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b/>
                <w:bCs/>
                <w:sz w:val="20"/>
                <w:szCs w:val="20"/>
              </w:rPr>
            </w:pPr>
            <w:r w:rsidRPr="006B0E79">
              <w:rPr>
                <w:b/>
                <w:bCs/>
                <w:sz w:val="20"/>
                <w:szCs w:val="20"/>
              </w:rPr>
              <w:t> </w:t>
            </w:r>
          </w:p>
        </w:tc>
        <w:tc>
          <w:tcPr>
            <w:tcW w:w="5836"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rPr>
                <w:b/>
                <w:bCs/>
                <w:sz w:val="20"/>
                <w:szCs w:val="20"/>
              </w:rPr>
            </w:pPr>
            <w:r w:rsidRPr="006B0E79">
              <w:rPr>
                <w:b/>
                <w:bCs/>
                <w:sz w:val="20"/>
                <w:szCs w:val="20"/>
              </w:rPr>
              <w:t xml:space="preserve">Департамент финансов, экономики и имущественных отношений </w:t>
            </w:r>
          </w:p>
        </w:tc>
        <w:tc>
          <w:tcPr>
            <w:tcW w:w="1210"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24" w:right="-111" w:hanging="55"/>
              <w:jc w:val="center"/>
              <w:rPr>
                <w:b/>
                <w:bCs/>
                <w:sz w:val="20"/>
                <w:szCs w:val="20"/>
              </w:rPr>
            </w:pPr>
            <w:r w:rsidRPr="006B0E79">
              <w:rPr>
                <w:b/>
                <w:bCs/>
                <w:sz w:val="20"/>
                <w:szCs w:val="20"/>
              </w:rPr>
              <w:t>6 513 285,5</w:t>
            </w:r>
          </w:p>
        </w:tc>
        <w:tc>
          <w:tcPr>
            <w:tcW w:w="1367"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02" w:right="-138"/>
              <w:jc w:val="center"/>
              <w:rPr>
                <w:b/>
                <w:bCs/>
                <w:sz w:val="20"/>
                <w:szCs w:val="20"/>
              </w:rPr>
            </w:pPr>
            <w:r w:rsidRPr="006B0E79">
              <w:rPr>
                <w:b/>
                <w:bCs/>
                <w:sz w:val="20"/>
                <w:szCs w:val="20"/>
              </w:rPr>
              <w:t>6 479 350,2</w:t>
            </w:r>
          </w:p>
        </w:tc>
        <w:tc>
          <w:tcPr>
            <w:tcW w:w="1302"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jc w:val="center"/>
              <w:rPr>
                <w:b/>
                <w:bCs/>
                <w:sz w:val="20"/>
                <w:szCs w:val="20"/>
              </w:rPr>
            </w:pPr>
            <w:r w:rsidRPr="006B0E79">
              <w:rPr>
                <w:b/>
                <w:bCs/>
                <w:sz w:val="20"/>
                <w:szCs w:val="20"/>
              </w:rPr>
              <w:t>99,5</w:t>
            </w:r>
          </w:p>
        </w:tc>
      </w:tr>
      <w:tr w:rsidR="00467F9C" w:rsidRPr="006B0E79" w:rsidTr="00417B78">
        <w:trPr>
          <w:trHeight w:val="314"/>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1</w:t>
            </w:r>
          </w:p>
        </w:tc>
        <w:tc>
          <w:tcPr>
            <w:tcW w:w="5836"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rPr>
                <w:sz w:val="20"/>
                <w:szCs w:val="20"/>
              </w:rPr>
            </w:pPr>
            <w:r w:rsidRPr="006B0E79">
              <w:rPr>
                <w:sz w:val="20"/>
                <w:szCs w:val="20"/>
              </w:rPr>
              <w:t>Управление региональными финансами и имуществом Чукотского автономного округа</w:t>
            </w:r>
          </w:p>
        </w:tc>
        <w:tc>
          <w:tcPr>
            <w:tcW w:w="1210"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24" w:right="-111" w:hanging="55"/>
              <w:jc w:val="center"/>
              <w:rPr>
                <w:sz w:val="20"/>
                <w:szCs w:val="20"/>
              </w:rPr>
            </w:pPr>
            <w:r w:rsidRPr="006B0E79">
              <w:rPr>
                <w:sz w:val="20"/>
                <w:szCs w:val="20"/>
              </w:rPr>
              <w:t>6 513 285,5</w:t>
            </w:r>
          </w:p>
        </w:tc>
        <w:tc>
          <w:tcPr>
            <w:tcW w:w="1367"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02" w:right="-138"/>
              <w:jc w:val="center"/>
              <w:rPr>
                <w:sz w:val="20"/>
                <w:szCs w:val="20"/>
              </w:rPr>
            </w:pPr>
            <w:r w:rsidRPr="006B0E79">
              <w:rPr>
                <w:sz w:val="20"/>
                <w:szCs w:val="20"/>
              </w:rPr>
              <w:t>6 479 350,2</w:t>
            </w:r>
          </w:p>
        </w:tc>
        <w:tc>
          <w:tcPr>
            <w:tcW w:w="1302"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99,5</w:t>
            </w:r>
          </w:p>
        </w:tc>
      </w:tr>
      <w:tr w:rsidR="00467F9C" w:rsidRPr="006B0E79" w:rsidTr="00417B78">
        <w:trPr>
          <w:trHeight w:val="190"/>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b/>
                <w:bCs/>
                <w:sz w:val="20"/>
                <w:szCs w:val="20"/>
              </w:rPr>
            </w:pPr>
            <w:r w:rsidRPr="006B0E79">
              <w:rPr>
                <w:b/>
                <w:bCs/>
                <w:sz w:val="20"/>
                <w:szCs w:val="20"/>
              </w:rPr>
              <w:t> </w:t>
            </w:r>
          </w:p>
        </w:tc>
        <w:tc>
          <w:tcPr>
            <w:tcW w:w="5836"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rPr>
                <w:b/>
                <w:bCs/>
                <w:sz w:val="20"/>
                <w:szCs w:val="20"/>
              </w:rPr>
            </w:pPr>
            <w:r w:rsidRPr="006B0E79">
              <w:rPr>
                <w:b/>
                <w:bCs/>
                <w:sz w:val="20"/>
                <w:szCs w:val="20"/>
              </w:rPr>
              <w:t xml:space="preserve">Департамент сельского хозяйства и продовольствия </w:t>
            </w:r>
          </w:p>
        </w:tc>
        <w:tc>
          <w:tcPr>
            <w:tcW w:w="1210"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24" w:right="-111" w:hanging="55"/>
              <w:jc w:val="center"/>
              <w:rPr>
                <w:b/>
                <w:bCs/>
                <w:sz w:val="20"/>
                <w:szCs w:val="20"/>
              </w:rPr>
            </w:pPr>
            <w:r w:rsidRPr="006B0E79">
              <w:rPr>
                <w:b/>
                <w:bCs/>
                <w:sz w:val="20"/>
                <w:szCs w:val="20"/>
              </w:rPr>
              <w:t>3 060 742,7</w:t>
            </w:r>
          </w:p>
        </w:tc>
        <w:tc>
          <w:tcPr>
            <w:tcW w:w="1367"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02" w:right="-138"/>
              <w:jc w:val="center"/>
              <w:rPr>
                <w:b/>
                <w:bCs/>
                <w:sz w:val="20"/>
                <w:szCs w:val="20"/>
              </w:rPr>
            </w:pPr>
            <w:r w:rsidRPr="006B0E79">
              <w:rPr>
                <w:b/>
                <w:bCs/>
                <w:sz w:val="20"/>
                <w:szCs w:val="20"/>
              </w:rPr>
              <w:t>3 043 967,8</w:t>
            </w:r>
          </w:p>
        </w:tc>
        <w:tc>
          <w:tcPr>
            <w:tcW w:w="1302"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jc w:val="center"/>
              <w:rPr>
                <w:b/>
                <w:bCs/>
                <w:sz w:val="20"/>
                <w:szCs w:val="20"/>
              </w:rPr>
            </w:pPr>
            <w:r w:rsidRPr="006B0E79">
              <w:rPr>
                <w:b/>
                <w:bCs/>
                <w:sz w:val="20"/>
                <w:szCs w:val="20"/>
              </w:rPr>
              <w:t>99,5</w:t>
            </w:r>
          </w:p>
        </w:tc>
      </w:tr>
      <w:tr w:rsidR="00467F9C" w:rsidRPr="006B0E79" w:rsidTr="00417B78">
        <w:trPr>
          <w:trHeight w:val="155"/>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1</w:t>
            </w:r>
          </w:p>
        </w:tc>
        <w:tc>
          <w:tcPr>
            <w:tcW w:w="5836"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rPr>
                <w:sz w:val="20"/>
                <w:szCs w:val="20"/>
              </w:rPr>
            </w:pPr>
            <w:r w:rsidRPr="006B0E79">
              <w:rPr>
                <w:sz w:val="20"/>
                <w:szCs w:val="20"/>
              </w:rPr>
              <w:t>Развитие агропромышленного комплекса Чукотского автономного округа</w:t>
            </w:r>
          </w:p>
        </w:tc>
        <w:tc>
          <w:tcPr>
            <w:tcW w:w="1210"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24" w:right="-111" w:hanging="55"/>
              <w:jc w:val="center"/>
              <w:rPr>
                <w:sz w:val="20"/>
                <w:szCs w:val="20"/>
              </w:rPr>
            </w:pPr>
            <w:r w:rsidRPr="006B0E79">
              <w:rPr>
                <w:sz w:val="20"/>
                <w:szCs w:val="20"/>
              </w:rPr>
              <w:t>3 060 742,7</w:t>
            </w:r>
          </w:p>
        </w:tc>
        <w:tc>
          <w:tcPr>
            <w:tcW w:w="1367"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02" w:right="-138"/>
              <w:jc w:val="center"/>
              <w:rPr>
                <w:sz w:val="20"/>
                <w:szCs w:val="20"/>
              </w:rPr>
            </w:pPr>
            <w:r w:rsidRPr="006B0E79">
              <w:rPr>
                <w:sz w:val="20"/>
                <w:szCs w:val="20"/>
              </w:rPr>
              <w:t>3 043 967,8</w:t>
            </w:r>
          </w:p>
        </w:tc>
        <w:tc>
          <w:tcPr>
            <w:tcW w:w="1302"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99,5</w:t>
            </w:r>
          </w:p>
        </w:tc>
      </w:tr>
      <w:tr w:rsidR="00467F9C" w:rsidRPr="006B0E79" w:rsidTr="00417B78">
        <w:trPr>
          <w:trHeight w:val="190"/>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b/>
                <w:bCs/>
                <w:sz w:val="20"/>
                <w:szCs w:val="20"/>
              </w:rPr>
            </w:pPr>
            <w:r w:rsidRPr="006B0E79">
              <w:rPr>
                <w:b/>
                <w:bCs/>
                <w:sz w:val="20"/>
                <w:szCs w:val="20"/>
              </w:rPr>
              <w:t> </w:t>
            </w:r>
          </w:p>
        </w:tc>
        <w:tc>
          <w:tcPr>
            <w:tcW w:w="5836"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rPr>
                <w:b/>
                <w:bCs/>
                <w:sz w:val="20"/>
                <w:szCs w:val="20"/>
              </w:rPr>
            </w:pPr>
            <w:r w:rsidRPr="006B0E79">
              <w:rPr>
                <w:b/>
                <w:bCs/>
                <w:sz w:val="20"/>
                <w:szCs w:val="20"/>
              </w:rPr>
              <w:t xml:space="preserve">Департамент здравоохранения </w:t>
            </w:r>
          </w:p>
        </w:tc>
        <w:tc>
          <w:tcPr>
            <w:tcW w:w="1210"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24" w:right="-111" w:hanging="55"/>
              <w:jc w:val="center"/>
              <w:rPr>
                <w:b/>
                <w:bCs/>
                <w:sz w:val="20"/>
                <w:szCs w:val="20"/>
              </w:rPr>
            </w:pPr>
            <w:r w:rsidRPr="006B0E79">
              <w:rPr>
                <w:b/>
                <w:bCs/>
                <w:sz w:val="20"/>
                <w:szCs w:val="20"/>
              </w:rPr>
              <w:t>4 066 887,2</w:t>
            </w:r>
          </w:p>
        </w:tc>
        <w:tc>
          <w:tcPr>
            <w:tcW w:w="1367"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02" w:right="-138"/>
              <w:jc w:val="center"/>
              <w:rPr>
                <w:b/>
                <w:bCs/>
                <w:sz w:val="20"/>
                <w:szCs w:val="20"/>
              </w:rPr>
            </w:pPr>
            <w:r w:rsidRPr="006B0E79">
              <w:rPr>
                <w:b/>
                <w:bCs/>
                <w:sz w:val="20"/>
                <w:szCs w:val="20"/>
              </w:rPr>
              <w:t>3 993 629,3</w:t>
            </w:r>
          </w:p>
        </w:tc>
        <w:tc>
          <w:tcPr>
            <w:tcW w:w="1302"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jc w:val="center"/>
              <w:rPr>
                <w:b/>
                <w:sz w:val="20"/>
                <w:szCs w:val="20"/>
              </w:rPr>
            </w:pPr>
            <w:r w:rsidRPr="006B0E79">
              <w:rPr>
                <w:b/>
                <w:sz w:val="20"/>
                <w:szCs w:val="20"/>
              </w:rPr>
              <w:t>98,2</w:t>
            </w:r>
          </w:p>
        </w:tc>
      </w:tr>
      <w:tr w:rsidR="00467F9C" w:rsidRPr="006B0E79" w:rsidTr="00417B78">
        <w:trPr>
          <w:trHeight w:val="181"/>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1</w:t>
            </w:r>
          </w:p>
        </w:tc>
        <w:tc>
          <w:tcPr>
            <w:tcW w:w="5836"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rPr>
                <w:sz w:val="20"/>
                <w:szCs w:val="20"/>
              </w:rPr>
            </w:pPr>
            <w:r w:rsidRPr="006B0E79">
              <w:rPr>
                <w:sz w:val="20"/>
                <w:szCs w:val="20"/>
              </w:rPr>
              <w:t>Развитие здравоохранения Чукотского автономного округа</w:t>
            </w:r>
          </w:p>
        </w:tc>
        <w:tc>
          <w:tcPr>
            <w:tcW w:w="1210"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24" w:right="-111" w:hanging="55"/>
              <w:jc w:val="center"/>
              <w:rPr>
                <w:sz w:val="20"/>
                <w:szCs w:val="20"/>
              </w:rPr>
            </w:pPr>
            <w:r w:rsidRPr="006B0E79">
              <w:rPr>
                <w:sz w:val="20"/>
                <w:szCs w:val="20"/>
              </w:rPr>
              <w:t>4 066 887,2</w:t>
            </w:r>
          </w:p>
        </w:tc>
        <w:tc>
          <w:tcPr>
            <w:tcW w:w="1367"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02" w:right="-138"/>
              <w:jc w:val="center"/>
              <w:rPr>
                <w:sz w:val="20"/>
                <w:szCs w:val="20"/>
              </w:rPr>
            </w:pPr>
            <w:r w:rsidRPr="006B0E79">
              <w:rPr>
                <w:sz w:val="20"/>
                <w:szCs w:val="20"/>
              </w:rPr>
              <w:t>3 993 629,3</w:t>
            </w:r>
          </w:p>
        </w:tc>
        <w:tc>
          <w:tcPr>
            <w:tcW w:w="1302"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98,2</w:t>
            </w:r>
          </w:p>
        </w:tc>
      </w:tr>
      <w:tr w:rsidR="00467F9C" w:rsidRPr="006B0E79" w:rsidTr="00417B78">
        <w:trPr>
          <w:trHeight w:val="295"/>
        </w:trPr>
        <w:tc>
          <w:tcPr>
            <w:tcW w:w="396" w:type="dxa"/>
            <w:tcBorders>
              <w:top w:val="nil"/>
              <w:left w:val="single" w:sz="4" w:space="0" w:color="auto"/>
              <w:bottom w:val="single" w:sz="4" w:space="0" w:color="auto"/>
              <w:right w:val="single" w:sz="4" w:space="0" w:color="auto"/>
            </w:tcBorders>
            <w:shd w:val="clear" w:color="auto" w:fill="auto"/>
            <w:hideMark/>
          </w:tcPr>
          <w:p w:rsidR="00191861" w:rsidRPr="006B0E79" w:rsidRDefault="00191861" w:rsidP="00191861">
            <w:pPr>
              <w:rPr>
                <w:sz w:val="20"/>
                <w:szCs w:val="20"/>
              </w:rPr>
            </w:pPr>
            <w:r w:rsidRPr="006B0E79">
              <w:rPr>
                <w:sz w:val="20"/>
                <w:szCs w:val="20"/>
              </w:rPr>
              <w:t> </w:t>
            </w:r>
          </w:p>
        </w:tc>
        <w:tc>
          <w:tcPr>
            <w:tcW w:w="5836"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rPr>
                <w:b/>
                <w:bCs/>
                <w:sz w:val="20"/>
                <w:szCs w:val="20"/>
              </w:rPr>
            </w:pPr>
            <w:r w:rsidRPr="006B0E79">
              <w:rPr>
                <w:b/>
                <w:bCs/>
                <w:sz w:val="20"/>
                <w:szCs w:val="20"/>
              </w:rPr>
              <w:t>Аппарат Губернатора и Правительства Чукотского автономного округа</w:t>
            </w:r>
          </w:p>
        </w:tc>
        <w:tc>
          <w:tcPr>
            <w:tcW w:w="1210"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24" w:right="-111" w:hanging="55"/>
              <w:jc w:val="center"/>
              <w:rPr>
                <w:b/>
                <w:bCs/>
                <w:sz w:val="20"/>
                <w:szCs w:val="20"/>
              </w:rPr>
            </w:pPr>
            <w:r w:rsidRPr="006B0E79">
              <w:rPr>
                <w:b/>
                <w:bCs/>
                <w:sz w:val="20"/>
                <w:szCs w:val="20"/>
              </w:rPr>
              <w:t>1 040,4</w:t>
            </w:r>
          </w:p>
        </w:tc>
        <w:tc>
          <w:tcPr>
            <w:tcW w:w="1367"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02" w:right="-138"/>
              <w:jc w:val="center"/>
              <w:rPr>
                <w:b/>
                <w:bCs/>
                <w:sz w:val="20"/>
                <w:szCs w:val="20"/>
              </w:rPr>
            </w:pPr>
            <w:r w:rsidRPr="006B0E79">
              <w:rPr>
                <w:b/>
                <w:bCs/>
                <w:sz w:val="20"/>
                <w:szCs w:val="20"/>
              </w:rPr>
              <w:t>510,4</w:t>
            </w:r>
          </w:p>
        </w:tc>
        <w:tc>
          <w:tcPr>
            <w:tcW w:w="1302"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jc w:val="center"/>
              <w:rPr>
                <w:b/>
                <w:bCs/>
                <w:sz w:val="20"/>
                <w:szCs w:val="20"/>
              </w:rPr>
            </w:pPr>
            <w:r w:rsidRPr="006B0E79">
              <w:rPr>
                <w:b/>
                <w:bCs/>
                <w:sz w:val="20"/>
                <w:szCs w:val="20"/>
              </w:rPr>
              <w:t>49,1</w:t>
            </w:r>
          </w:p>
        </w:tc>
      </w:tr>
      <w:tr w:rsidR="00467F9C" w:rsidRPr="006B0E79" w:rsidTr="00417B78">
        <w:trPr>
          <w:trHeight w:val="305"/>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1</w:t>
            </w:r>
          </w:p>
        </w:tc>
        <w:tc>
          <w:tcPr>
            <w:tcW w:w="5836"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rPr>
                <w:sz w:val="20"/>
                <w:szCs w:val="20"/>
              </w:rPr>
            </w:pPr>
            <w:r w:rsidRPr="006B0E79">
              <w:rPr>
                <w:sz w:val="20"/>
                <w:szCs w:val="20"/>
              </w:rPr>
              <w:t>Обеспечение охраны общественного порядка и повышения безопасности дорожного движения в Чукотском автономном округе</w:t>
            </w:r>
          </w:p>
        </w:tc>
        <w:tc>
          <w:tcPr>
            <w:tcW w:w="1210"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24" w:right="-111" w:hanging="55"/>
              <w:jc w:val="center"/>
              <w:rPr>
                <w:sz w:val="20"/>
                <w:szCs w:val="20"/>
              </w:rPr>
            </w:pPr>
            <w:r w:rsidRPr="006B0E79">
              <w:rPr>
                <w:sz w:val="20"/>
                <w:szCs w:val="20"/>
              </w:rPr>
              <w:t>1 040,4</w:t>
            </w:r>
          </w:p>
        </w:tc>
        <w:tc>
          <w:tcPr>
            <w:tcW w:w="1367"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02" w:right="-138"/>
              <w:jc w:val="center"/>
              <w:rPr>
                <w:sz w:val="20"/>
                <w:szCs w:val="20"/>
              </w:rPr>
            </w:pPr>
            <w:r w:rsidRPr="006B0E79">
              <w:rPr>
                <w:sz w:val="20"/>
                <w:szCs w:val="20"/>
              </w:rPr>
              <w:t>510,4</w:t>
            </w:r>
          </w:p>
        </w:tc>
        <w:tc>
          <w:tcPr>
            <w:tcW w:w="1302"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49,1</w:t>
            </w:r>
          </w:p>
        </w:tc>
      </w:tr>
      <w:tr w:rsidR="00467F9C" w:rsidRPr="006B0E79" w:rsidTr="00417B78">
        <w:trPr>
          <w:trHeight w:val="190"/>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b/>
                <w:bCs/>
                <w:sz w:val="20"/>
                <w:szCs w:val="20"/>
              </w:rPr>
            </w:pPr>
            <w:r w:rsidRPr="006B0E79">
              <w:rPr>
                <w:b/>
                <w:bCs/>
                <w:sz w:val="20"/>
                <w:szCs w:val="20"/>
              </w:rPr>
              <w:t> </w:t>
            </w:r>
          </w:p>
        </w:tc>
        <w:tc>
          <w:tcPr>
            <w:tcW w:w="5836"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rPr>
                <w:b/>
                <w:bCs/>
                <w:sz w:val="20"/>
                <w:szCs w:val="20"/>
              </w:rPr>
            </w:pPr>
            <w:r w:rsidRPr="006B0E79">
              <w:rPr>
                <w:b/>
                <w:bCs/>
                <w:sz w:val="20"/>
                <w:szCs w:val="20"/>
              </w:rPr>
              <w:t xml:space="preserve">Департамент природных ресурсов и экологии </w:t>
            </w:r>
          </w:p>
        </w:tc>
        <w:tc>
          <w:tcPr>
            <w:tcW w:w="1210"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24" w:right="-111" w:hanging="55"/>
              <w:jc w:val="center"/>
              <w:rPr>
                <w:b/>
                <w:bCs/>
                <w:sz w:val="20"/>
                <w:szCs w:val="20"/>
              </w:rPr>
            </w:pPr>
            <w:r w:rsidRPr="006B0E79">
              <w:rPr>
                <w:b/>
                <w:bCs/>
                <w:sz w:val="20"/>
                <w:szCs w:val="20"/>
              </w:rPr>
              <w:t>486 877,7</w:t>
            </w:r>
          </w:p>
        </w:tc>
        <w:tc>
          <w:tcPr>
            <w:tcW w:w="1367"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02" w:right="-138"/>
              <w:jc w:val="center"/>
              <w:rPr>
                <w:b/>
                <w:bCs/>
                <w:sz w:val="20"/>
                <w:szCs w:val="20"/>
              </w:rPr>
            </w:pPr>
            <w:r w:rsidRPr="006B0E79">
              <w:rPr>
                <w:b/>
                <w:bCs/>
                <w:sz w:val="20"/>
                <w:szCs w:val="20"/>
              </w:rPr>
              <w:t>471 788,7</w:t>
            </w:r>
          </w:p>
        </w:tc>
        <w:tc>
          <w:tcPr>
            <w:tcW w:w="1302"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jc w:val="center"/>
              <w:rPr>
                <w:b/>
                <w:bCs/>
                <w:sz w:val="20"/>
                <w:szCs w:val="20"/>
              </w:rPr>
            </w:pPr>
            <w:r w:rsidRPr="006B0E79">
              <w:rPr>
                <w:b/>
                <w:bCs/>
                <w:sz w:val="20"/>
                <w:szCs w:val="20"/>
              </w:rPr>
              <w:t>96,9</w:t>
            </w:r>
          </w:p>
        </w:tc>
      </w:tr>
      <w:tr w:rsidR="00467F9C" w:rsidRPr="006B0E79" w:rsidTr="00417B78">
        <w:trPr>
          <w:trHeight w:val="181"/>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1</w:t>
            </w:r>
          </w:p>
        </w:tc>
        <w:tc>
          <w:tcPr>
            <w:tcW w:w="5836"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rPr>
                <w:sz w:val="20"/>
                <w:szCs w:val="20"/>
              </w:rPr>
            </w:pPr>
            <w:r w:rsidRPr="006B0E79">
              <w:rPr>
                <w:sz w:val="20"/>
                <w:szCs w:val="20"/>
              </w:rPr>
              <w:t>Развитие лесного хозяйства Чукотского автономного округа</w:t>
            </w:r>
          </w:p>
        </w:tc>
        <w:tc>
          <w:tcPr>
            <w:tcW w:w="1210"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24" w:right="-111" w:hanging="55"/>
              <w:jc w:val="center"/>
              <w:rPr>
                <w:sz w:val="20"/>
                <w:szCs w:val="20"/>
              </w:rPr>
            </w:pPr>
            <w:r w:rsidRPr="006B0E79">
              <w:rPr>
                <w:sz w:val="20"/>
                <w:szCs w:val="20"/>
              </w:rPr>
              <w:t>259 305,2</w:t>
            </w:r>
          </w:p>
        </w:tc>
        <w:tc>
          <w:tcPr>
            <w:tcW w:w="1367"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02" w:right="-138"/>
              <w:jc w:val="center"/>
              <w:rPr>
                <w:sz w:val="20"/>
                <w:szCs w:val="20"/>
              </w:rPr>
            </w:pPr>
            <w:r w:rsidRPr="006B0E79">
              <w:rPr>
                <w:sz w:val="20"/>
                <w:szCs w:val="20"/>
              </w:rPr>
              <w:t>254 698,4</w:t>
            </w:r>
          </w:p>
        </w:tc>
        <w:tc>
          <w:tcPr>
            <w:tcW w:w="1302"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98,2</w:t>
            </w:r>
          </w:p>
        </w:tc>
      </w:tr>
      <w:tr w:rsidR="00467F9C" w:rsidRPr="006B0E79" w:rsidTr="00417B78">
        <w:trPr>
          <w:trHeight w:val="324"/>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2</w:t>
            </w:r>
          </w:p>
        </w:tc>
        <w:tc>
          <w:tcPr>
            <w:tcW w:w="5836"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rPr>
                <w:sz w:val="20"/>
                <w:szCs w:val="20"/>
              </w:rPr>
            </w:pPr>
            <w:r w:rsidRPr="006B0E79">
              <w:rPr>
                <w:sz w:val="20"/>
                <w:szCs w:val="20"/>
              </w:rPr>
              <w:t>Охрана окружающей среды и обеспечение рационального природопользования в Чукотском автономном округе</w:t>
            </w:r>
          </w:p>
        </w:tc>
        <w:tc>
          <w:tcPr>
            <w:tcW w:w="1210"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24" w:right="-111" w:hanging="55"/>
              <w:jc w:val="center"/>
              <w:rPr>
                <w:sz w:val="20"/>
                <w:szCs w:val="20"/>
              </w:rPr>
            </w:pPr>
            <w:r w:rsidRPr="006B0E79">
              <w:rPr>
                <w:sz w:val="20"/>
                <w:szCs w:val="20"/>
              </w:rPr>
              <w:t>227 572,5</w:t>
            </w:r>
          </w:p>
        </w:tc>
        <w:tc>
          <w:tcPr>
            <w:tcW w:w="1367"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02" w:right="-138"/>
              <w:jc w:val="center"/>
              <w:rPr>
                <w:sz w:val="20"/>
                <w:szCs w:val="20"/>
              </w:rPr>
            </w:pPr>
            <w:r w:rsidRPr="006B0E79">
              <w:rPr>
                <w:sz w:val="20"/>
                <w:szCs w:val="20"/>
              </w:rPr>
              <w:t>217 090,3</w:t>
            </w:r>
          </w:p>
        </w:tc>
        <w:tc>
          <w:tcPr>
            <w:tcW w:w="1302"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95,4</w:t>
            </w:r>
          </w:p>
        </w:tc>
      </w:tr>
      <w:tr w:rsidR="00467F9C" w:rsidRPr="006B0E79" w:rsidTr="00417B78">
        <w:trPr>
          <w:trHeight w:val="181"/>
        </w:trPr>
        <w:tc>
          <w:tcPr>
            <w:tcW w:w="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b/>
                <w:bCs/>
                <w:sz w:val="20"/>
                <w:szCs w:val="20"/>
              </w:rPr>
            </w:pPr>
            <w:r w:rsidRPr="006B0E79">
              <w:rPr>
                <w:b/>
                <w:bCs/>
                <w:sz w:val="20"/>
                <w:szCs w:val="20"/>
              </w:rPr>
              <w:t> </w:t>
            </w:r>
          </w:p>
        </w:tc>
        <w:tc>
          <w:tcPr>
            <w:tcW w:w="5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rPr>
                <w:b/>
                <w:bCs/>
                <w:sz w:val="20"/>
                <w:szCs w:val="20"/>
              </w:rPr>
            </w:pPr>
            <w:r w:rsidRPr="006B0E79">
              <w:rPr>
                <w:b/>
                <w:bCs/>
                <w:sz w:val="20"/>
                <w:szCs w:val="20"/>
              </w:rPr>
              <w:t xml:space="preserve">Департамент культуры, спорта и туризма </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1861" w:rsidRPr="006B0E79" w:rsidRDefault="00191861" w:rsidP="006B0E79">
            <w:pPr>
              <w:ind w:left="-124" w:right="-111" w:hanging="55"/>
              <w:jc w:val="center"/>
              <w:rPr>
                <w:b/>
                <w:bCs/>
                <w:sz w:val="20"/>
                <w:szCs w:val="20"/>
              </w:rPr>
            </w:pPr>
            <w:r w:rsidRPr="006B0E79">
              <w:rPr>
                <w:b/>
                <w:bCs/>
                <w:sz w:val="20"/>
                <w:szCs w:val="20"/>
              </w:rPr>
              <w:t>1 011 186,9</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1861" w:rsidRPr="006B0E79" w:rsidRDefault="00191861" w:rsidP="006B0E79">
            <w:pPr>
              <w:ind w:left="-102" w:right="-138"/>
              <w:jc w:val="center"/>
              <w:rPr>
                <w:b/>
                <w:bCs/>
                <w:sz w:val="20"/>
                <w:szCs w:val="20"/>
              </w:rPr>
            </w:pPr>
            <w:r w:rsidRPr="006B0E79">
              <w:rPr>
                <w:b/>
                <w:bCs/>
                <w:sz w:val="20"/>
                <w:szCs w:val="20"/>
              </w:rPr>
              <w:t>972 658,9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b/>
                <w:bCs/>
                <w:sz w:val="20"/>
                <w:szCs w:val="20"/>
              </w:rPr>
            </w:pPr>
            <w:r w:rsidRPr="006B0E79">
              <w:rPr>
                <w:b/>
                <w:bCs/>
                <w:sz w:val="20"/>
                <w:szCs w:val="20"/>
              </w:rPr>
              <w:t>96,2</w:t>
            </w:r>
          </w:p>
        </w:tc>
      </w:tr>
      <w:tr w:rsidR="00467F9C" w:rsidRPr="006B0E79" w:rsidTr="00417B78">
        <w:trPr>
          <w:trHeight w:val="156"/>
        </w:trPr>
        <w:tc>
          <w:tcPr>
            <w:tcW w:w="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1</w:t>
            </w:r>
          </w:p>
        </w:tc>
        <w:tc>
          <w:tcPr>
            <w:tcW w:w="5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rPr>
                <w:sz w:val="20"/>
                <w:szCs w:val="20"/>
              </w:rPr>
            </w:pPr>
            <w:r w:rsidRPr="006B0E79">
              <w:rPr>
                <w:sz w:val="20"/>
                <w:szCs w:val="20"/>
              </w:rPr>
              <w:t>Развитие культуры, спорта и туризма Чукотского автономного округа</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1861" w:rsidRPr="006B0E79" w:rsidRDefault="00191861" w:rsidP="006B0E79">
            <w:pPr>
              <w:ind w:left="-124" w:right="-111" w:hanging="55"/>
              <w:jc w:val="center"/>
              <w:rPr>
                <w:sz w:val="20"/>
                <w:szCs w:val="20"/>
              </w:rPr>
            </w:pPr>
            <w:r w:rsidRPr="006B0E79">
              <w:rPr>
                <w:sz w:val="20"/>
                <w:szCs w:val="20"/>
              </w:rPr>
              <w:t>1 011 186,9</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1861" w:rsidRPr="006B0E79" w:rsidRDefault="00191861" w:rsidP="006B0E79">
            <w:pPr>
              <w:ind w:left="-102" w:right="-138"/>
              <w:jc w:val="center"/>
              <w:rPr>
                <w:sz w:val="20"/>
                <w:szCs w:val="20"/>
              </w:rPr>
            </w:pPr>
            <w:r w:rsidRPr="006B0E79">
              <w:rPr>
                <w:sz w:val="20"/>
                <w:szCs w:val="20"/>
              </w:rPr>
              <w:t>972 658,9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96,2</w:t>
            </w:r>
          </w:p>
        </w:tc>
      </w:tr>
      <w:tr w:rsidR="00467F9C" w:rsidRPr="006B0E79" w:rsidTr="00417B78">
        <w:trPr>
          <w:trHeight w:val="200"/>
        </w:trPr>
        <w:tc>
          <w:tcPr>
            <w:tcW w:w="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b/>
                <w:bCs/>
                <w:sz w:val="20"/>
                <w:szCs w:val="20"/>
              </w:rPr>
            </w:pPr>
            <w:r w:rsidRPr="006B0E79">
              <w:rPr>
                <w:b/>
                <w:bCs/>
                <w:sz w:val="20"/>
                <w:szCs w:val="20"/>
              </w:rPr>
              <w:t> </w:t>
            </w:r>
          </w:p>
        </w:tc>
        <w:tc>
          <w:tcPr>
            <w:tcW w:w="5836" w:type="dxa"/>
            <w:tcBorders>
              <w:top w:val="single" w:sz="4" w:space="0" w:color="auto"/>
              <w:left w:val="nil"/>
              <w:bottom w:val="single" w:sz="4" w:space="0" w:color="auto"/>
              <w:right w:val="single" w:sz="4" w:space="0" w:color="auto"/>
            </w:tcBorders>
            <w:shd w:val="clear" w:color="auto" w:fill="auto"/>
            <w:vAlign w:val="center"/>
            <w:hideMark/>
          </w:tcPr>
          <w:p w:rsidR="00191861" w:rsidRPr="006B0E79" w:rsidRDefault="00191861" w:rsidP="00191861">
            <w:pPr>
              <w:rPr>
                <w:b/>
                <w:bCs/>
                <w:sz w:val="20"/>
                <w:szCs w:val="20"/>
              </w:rPr>
            </w:pPr>
            <w:r w:rsidRPr="006B0E79">
              <w:rPr>
                <w:b/>
                <w:bCs/>
                <w:sz w:val="20"/>
                <w:szCs w:val="20"/>
              </w:rPr>
              <w:t xml:space="preserve">Департамент образования и науки </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rsidR="00191861" w:rsidRPr="006B0E79" w:rsidRDefault="00191861" w:rsidP="006B0E79">
            <w:pPr>
              <w:ind w:left="-124" w:right="-111" w:hanging="55"/>
              <w:jc w:val="center"/>
              <w:rPr>
                <w:b/>
                <w:bCs/>
                <w:sz w:val="20"/>
                <w:szCs w:val="20"/>
              </w:rPr>
            </w:pPr>
            <w:r w:rsidRPr="006B0E79">
              <w:rPr>
                <w:b/>
                <w:bCs/>
                <w:sz w:val="20"/>
                <w:szCs w:val="20"/>
              </w:rPr>
              <w:t>7 457 083,0</w:t>
            </w:r>
          </w:p>
        </w:tc>
        <w:tc>
          <w:tcPr>
            <w:tcW w:w="1367" w:type="dxa"/>
            <w:tcBorders>
              <w:top w:val="single" w:sz="4" w:space="0" w:color="auto"/>
              <w:left w:val="nil"/>
              <w:bottom w:val="single" w:sz="4" w:space="0" w:color="auto"/>
              <w:right w:val="single" w:sz="4" w:space="0" w:color="auto"/>
            </w:tcBorders>
            <w:shd w:val="clear" w:color="auto" w:fill="auto"/>
            <w:noWrap/>
            <w:vAlign w:val="center"/>
            <w:hideMark/>
          </w:tcPr>
          <w:p w:rsidR="00191861" w:rsidRPr="006B0E79" w:rsidRDefault="00191861" w:rsidP="006B0E79">
            <w:pPr>
              <w:ind w:left="-102" w:right="-138"/>
              <w:jc w:val="center"/>
              <w:rPr>
                <w:b/>
                <w:bCs/>
                <w:sz w:val="20"/>
                <w:szCs w:val="20"/>
              </w:rPr>
            </w:pPr>
            <w:r w:rsidRPr="006B0E79">
              <w:rPr>
                <w:b/>
                <w:bCs/>
                <w:sz w:val="20"/>
                <w:szCs w:val="20"/>
              </w:rPr>
              <w:t>6 932 219,5</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191861" w:rsidRPr="006B0E79" w:rsidRDefault="00191861" w:rsidP="00191861">
            <w:pPr>
              <w:jc w:val="center"/>
              <w:rPr>
                <w:b/>
                <w:bCs/>
                <w:sz w:val="20"/>
                <w:szCs w:val="20"/>
              </w:rPr>
            </w:pPr>
            <w:r w:rsidRPr="006B0E79">
              <w:rPr>
                <w:b/>
                <w:bCs/>
                <w:sz w:val="20"/>
                <w:szCs w:val="20"/>
              </w:rPr>
              <w:t>93,0</w:t>
            </w:r>
          </w:p>
        </w:tc>
      </w:tr>
      <w:tr w:rsidR="00191861" w:rsidRPr="006B0E79" w:rsidTr="00417B78">
        <w:trPr>
          <w:trHeight w:val="279"/>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1</w:t>
            </w:r>
          </w:p>
        </w:tc>
        <w:tc>
          <w:tcPr>
            <w:tcW w:w="5836"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rPr>
                <w:sz w:val="20"/>
                <w:szCs w:val="20"/>
              </w:rPr>
            </w:pPr>
            <w:r w:rsidRPr="006B0E79">
              <w:rPr>
                <w:sz w:val="20"/>
                <w:szCs w:val="20"/>
              </w:rPr>
              <w:t>Развитие образования и науки Чукотского автономного округа</w:t>
            </w:r>
          </w:p>
        </w:tc>
        <w:tc>
          <w:tcPr>
            <w:tcW w:w="1210"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24" w:right="-111" w:hanging="55"/>
              <w:jc w:val="center"/>
              <w:rPr>
                <w:sz w:val="20"/>
                <w:szCs w:val="20"/>
              </w:rPr>
            </w:pPr>
            <w:r w:rsidRPr="006B0E79">
              <w:rPr>
                <w:sz w:val="20"/>
                <w:szCs w:val="20"/>
              </w:rPr>
              <w:t>7 457 083,0</w:t>
            </w:r>
          </w:p>
        </w:tc>
        <w:tc>
          <w:tcPr>
            <w:tcW w:w="1367" w:type="dxa"/>
            <w:tcBorders>
              <w:top w:val="nil"/>
              <w:left w:val="nil"/>
              <w:bottom w:val="single" w:sz="4" w:space="0" w:color="auto"/>
              <w:right w:val="single" w:sz="4" w:space="0" w:color="auto"/>
            </w:tcBorders>
            <w:shd w:val="clear" w:color="auto" w:fill="auto"/>
            <w:noWrap/>
            <w:vAlign w:val="center"/>
            <w:hideMark/>
          </w:tcPr>
          <w:p w:rsidR="00191861" w:rsidRPr="006B0E79" w:rsidRDefault="00191861" w:rsidP="006B0E79">
            <w:pPr>
              <w:ind w:left="-102" w:right="-138"/>
              <w:jc w:val="center"/>
              <w:rPr>
                <w:sz w:val="20"/>
                <w:szCs w:val="20"/>
              </w:rPr>
            </w:pPr>
            <w:r w:rsidRPr="006B0E79">
              <w:rPr>
                <w:sz w:val="20"/>
                <w:szCs w:val="20"/>
              </w:rPr>
              <w:t>6 932 219,5</w:t>
            </w:r>
          </w:p>
        </w:tc>
        <w:tc>
          <w:tcPr>
            <w:tcW w:w="1302" w:type="dxa"/>
            <w:tcBorders>
              <w:top w:val="nil"/>
              <w:left w:val="nil"/>
              <w:bottom w:val="single" w:sz="4" w:space="0" w:color="auto"/>
              <w:right w:val="single" w:sz="4" w:space="0" w:color="auto"/>
            </w:tcBorders>
            <w:shd w:val="clear" w:color="auto" w:fill="auto"/>
            <w:vAlign w:val="center"/>
            <w:hideMark/>
          </w:tcPr>
          <w:p w:rsidR="00191861" w:rsidRPr="006B0E79" w:rsidRDefault="00191861" w:rsidP="00191861">
            <w:pPr>
              <w:jc w:val="center"/>
              <w:rPr>
                <w:sz w:val="20"/>
                <w:szCs w:val="20"/>
              </w:rPr>
            </w:pPr>
            <w:r w:rsidRPr="006B0E79">
              <w:rPr>
                <w:sz w:val="20"/>
                <w:szCs w:val="20"/>
              </w:rPr>
              <w:t>93,0</w:t>
            </w:r>
          </w:p>
        </w:tc>
      </w:tr>
    </w:tbl>
    <w:p w:rsidR="00191861" w:rsidRPr="00467F9C" w:rsidRDefault="00191861" w:rsidP="00191861">
      <w:pPr>
        <w:pStyle w:val="19"/>
        <w:tabs>
          <w:tab w:val="left" w:pos="709"/>
        </w:tabs>
        <w:ind w:firstLine="709"/>
        <w:jc w:val="right"/>
        <w:rPr>
          <w:color w:val="auto"/>
          <w:sz w:val="16"/>
        </w:rPr>
      </w:pPr>
    </w:p>
    <w:p w:rsidR="00191861" w:rsidRPr="00467F9C" w:rsidRDefault="00191861" w:rsidP="00191861">
      <w:pPr>
        <w:pStyle w:val="af8"/>
        <w:tabs>
          <w:tab w:val="left" w:pos="709"/>
        </w:tabs>
        <w:ind w:firstLine="709"/>
        <w:jc w:val="both"/>
        <w:rPr>
          <w:sz w:val="28"/>
          <w:szCs w:val="28"/>
        </w:rPr>
      </w:pPr>
      <w:r w:rsidRPr="00467F9C">
        <w:rPr>
          <w:sz w:val="28"/>
          <w:szCs w:val="28"/>
        </w:rPr>
        <w:t>Кассовые расходы на уровне от 93% до 100% от предусмотренных бюджетных ассигнований произведены по 16 государственным программам, менее 93% от предусмотренных ассигнований направлено на реализацию двух государственных программ:</w:t>
      </w:r>
    </w:p>
    <w:p w:rsidR="00191861" w:rsidRPr="00467F9C" w:rsidRDefault="00191861" w:rsidP="00191861">
      <w:pPr>
        <w:pStyle w:val="af8"/>
        <w:tabs>
          <w:tab w:val="left" w:pos="709"/>
        </w:tabs>
        <w:ind w:firstLine="709"/>
        <w:jc w:val="both"/>
        <w:rPr>
          <w:sz w:val="28"/>
          <w:szCs w:val="28"/>
        </w:rPr>
      </w:pPr>
      <w:r w:rsidRPr="00467F9C">
        <w:rPr>
          <w:sz w:val="28"/>
          <w:szCs w:val="28"/>
        </w:rPr>
        <w:t>- Развитие жилищного строительства в Чукотском автономном округе – 72,3%;</w:t>
      </w:r>
    </w:p>
    <w:p w:rsidR="00191861" w:rsidRPr="00467F9C" w:rsidRDefault="00191861" w:rsidP="00191861">
      <w:pPr>
        <w:pStyle w:val="af8"/>
        <w:tabs>
          <w:tab w:val="left" w:pos="709"/>
        </w:tabs>
        <w:ind w:firstLine="709"/>
        <w:jc w:val="both"/>
        <w:rPr>
          <w:sz w:val="28"/>
          <w:szCs w:val="28"/>
        </w:rPr>
      </w:pPr>
      <w:r w:rsidRPr="00467F9C">
        <w:rPr>
          <w:sz w:val="28"/>
          <w:szCs w:val="28"/>
        </w:rPr>
        <w:t>- Обеспечение охраны общественного порядка и повышения безопасности дорожного движения в Чукотском автономном округе – 49,1%.</w:t>
      </w:r>
    </w:p>
    <w:p w:rsidR="00191861" w:rsidRPr="00467F9C" w:rsidRDefault="00191861" w:rsidP="00191861">
      <w:pPr>
        <w:pStyle w:val="af8"/>
        <w:tabs>
          <w:tab w:val="left" w:pos="709"/>
        </w:tabs>
        <w:spacing w:before="80" w:after="80"/>
        <w:ind w:firstLine="709"/>
        <w:jc w:val="both"/>
        <w:rPr>
          <w:sz w:val="28"/>
          <w:szCs w:val="28"/>
        </w:rPr>
      </w:pPr>
      <w:r w:rsidRPr="00467F9C">
        <w:rPr>
          <w:sz w:val="28"/>
          <w:szCs w:val="28"/>
        </w:rPr>
        <w:t xml:space="preserve">В общих расходах окружного бюджета в 2021 году основная доля ассигнований на реализацию госпрограмм приходится на разделы функциональной классификации расходов бюджета «Жилищно-коммунальное хозяйство» (37,6%), «Национальная экономика» (21,4%), «Образование» (13%),  «Межбюджетные </w:t>
      </w:r>
      <w:r w:rsidRPr="00467F9C">
        <w:rPr>
          <w:sz w:val="28"/>
          <w:szCs w:val="28"/>
        </w:rPr>
        <w:lastRenderedPageBreak/>
        <w:t>трансферты общего характера бюджетам субъектов Российской Федерации и муниципальных образований» (12,0%), «Здравоохранение» (6,8%), «Социальная политика» (5,8%).</w:t>
      </w:r>
    </w:p>
    <w:p w:rsidR="00191861" w:rsidRPr="00467F9C" w:rsidRDefault="00191861" w:rsidP="00191861">
      <w:pPr>
        <w:tabs>
          <w:tab w:val="left" w:pos="709"/>
        </w:tabs>
        <w:ind w:firstLine="709"/>
        <w:jc w:val="both"/>
        <w:rPr>
          <w:sz w:val="28"/>
          <w:szCs w:val="28"/>
        </w:rPr>
      </w:pPr>
      <w:r w:rsidRPr="00467F9C">
        <w:rPr>
          <w:sz w:val="28"/>
          <w:szCs w:val="28"/>
        </w:rPr>
        <w:t>Анализ исполнения бюджетных ассигнований на реализацию программ в 2021 году, в разрезе разделов бюджетной классификации и их структура, приведены в таблице №2.</w:t>
      </w:r>
    </w:p>
    <w:p w:rsidR="00191861" w:rsidRPr="00467F9C" w:rsidRDefault="00191861" w:rsidP="00191861">
      <w:pPr>
        <w:tabs>
          <w:tab w:val="left" w:pos="709"/>
        </w:tabs>
        <w:ind w:firstLine="851"/>
        <w:jc w:val="right"/>
        <w:rPr>
          <w:sz w:val="28"/>
          <w:szCs w:val="28"/>
        </w:rPr>
      </w:pPr>
      <w:r w:rsidRPr="00467F9C">
        <w:rPr>
          <w:sz w:val="28"/>
          <w:szCs w:val="28"/>
        </w:rPr>
        <w:t>Таблица №2</w:t>
      </w:r>
    </w:p>
    <w:p w:rsidR="00191861" w:rsidRPr="00467F9C" w:rsidRDefault="00191861" w:rsidP="00191861">
      <w:pPr>
        <w:pStyle w:val="19"/>
        <w:tabs>
          <w:tab w:val="left" w:pos="709"/>
        </w:tabs>
        <w:ind w:firstLine="851"/>
        <w:jc w:val="right"/>
        <w:rPr>
          <w:color w:val="auto"/>
          <w:sz w:val="26"/>
          <w:szCs w:val="26"/>
        </w:rPr>
      </w:pPr>
      <w:r w:rsidRPr="00467F9C">
        <w:rPr>
          <w:color w:val="auto"/>
          <w:sz w:val="26"/>
          <w:szCs w:val="26"/>
        </w:rPr>
        <w:t xml:space="preserve"> (тыс. рублей)</w:t>
      </w:r>
    </w:p>
    <w:tbl>
      <w:tblPr>
        <w:tblW w:w="9980" w:type="dxa"/>
        <w:tblInd w:w="-5" w:type="dxa"/>
        <w:tblLook w:val="04A0" w:firstRow="1" w:lastRow="0" w:firstColumn="1" w:lastColumn="0" w:noHBand="0" w:noVBand="1"/>
      </w:tblPr>
      <w:tblGrid>
        <w:gridCol w:w="4536"/>
        <w:gridCol w:w="1374"/>
        <w:gridCol w:w="1766"/>
        <w:gridCol w:w="754"/>
        <w:gridCol w:w="1550"/>
      </w:tblGrid>
      <w:tr w:rsidR="00467F9C" w:rsidRPr="00011263" w:rsidTr="00011263">
        <w:trPr>
          <w:trHeight w:val="604"/>
          <w:tblHeader/>
        </w:trPr>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011263" w:rsidRDefault="00191861" w:rsidP="00191861">
            <w:pPr>
              <w:jc w:val="center"/>
              <w:rPr>
                <w:b/>
                <w:sz w:val="20"/>
                <w:szCs w:val="20"/>
              </w:rPr>
            </w:pPr>
            <w:r w:rsidRPr="00011263">
              <w:rPr>
                <w:b/>
                <w:sz w:val="20"/>
                <w:szCs w:val="20"/>
              </w:rPr>
              <w:t>Код и наименование раздела бюджетной классификации расходов бюджета</w:t>
            </w:r>
          </w:p>
        </w:tc>
        <w:tc>
          <w:tcPr>
            <w:tcW w:w="1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011263" w:rsidRDefault="00191861" w:rsidP="00191861">
            <w:pPr>
              <w:jc w:val="center"/>
              <w:rPr>
                <w:b/>
                <w:sz w:val="20"/>
                <w:szCs w:val="20"/>
              </w:rPr>
            </w:pPr>
            <w:r w:rsidRPr="00011263">
              <w:rPr>
                <w:b/>
                <w:sz w:val="20"/>
                <w:szCs w:val="20"/>
              </w:rPr>
              <w:t>Утверждено СБР</w:t>
            </w:r>
          </w:p>
        </w:tc>
        <w:tc>
          <w:tcPr>
            <w:tcW w:w="2520" w:type="dxa"/>
            <w:gridSpan w:val="2"/>
            <w:tcBorders>
              <w:top w:val="single" w:sz="4" w:space="0" w:color="auto"/>
              <w:left w:val="nil"/>
              <w:bottom w:val="single" w:sz="4" w:space="0" w:color="auto"/>
              <w:right w:val="single" w:sz="4" w:space="0" w:color="auto"/>
            </w:tcBorders>
            <w:shd w:val="clear" w:color="auto" w:fill="auto"/>
            <w:vAlign w:val="center"/>
            <w:hideMark/>
          </w:tcPr>
          <w:p w:rsidR="00191861" w:rsidRPr="00011263" w:rsidRDefault="00191861" w:rsidP="00191861">
            <w:pPr>
              <w:jc w:val="center"/>
              <w:rPr>
                <w:b/>
                <w:sz w:val="20"/>
                <w:szCs w:val="20"/>
              </w:rPr>
            </w:pPr>
            <w:r w:rsidRPr="00011263">
              <w:rPr>
                <w:b/>
                <w:sz w:val="20"/>
                <w:szCs w:val="20"/>
              </w:rPr>
              <w:t xml:space="preserve">Направлено бюджетных ассигнований </w:t>
            </w:r>
          </w:p>
          <w:p w:rsidR="00191861" w:rsidRPr="00011263" w:rsidRDefault="00191861" w:rsidP="00191861">
            <w:pPr>
              <w:jc w:val="center"/>
              <w:rPr>
                <w:b/>
                <w:sz w:val="20"/>
                <w:szCs w:val="20"/>
              </w:rPr>
            </w:pPr>
            <w:r w:rsidRPr="00011263">
              <w:rPr>
                <w:b/>
                <w:sz w:val="20"/>
                <w:szCs w:val="20"/>
              </w:rPr>
              <w:t>(данные отчета ф.0503117)</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rsidR="00191861" w:rsidRPr="00011263" w:rsidRDefault="00191861" w:rsidP="00191861">
            <w:pPr>
              <w:jc w:val="center"/>
              <w:rPr>
                <w:b/>
                <w:sz w:val="20"/>
                <w:szCs w:val="20"/>
              </w:rPr>
            </w:pPr>
            <w:r w:rsidRPr="00011263">
              <w:rPr>
                <w:b/>
                <w:sz w:val="20"/>
                <w:szCs w:val="20"/>
              </w:rPr>
              <w:t>Структура расходов, %</w:t>
            </w:r>
          </w:p>
        </w:tc>
      </w:tr>
      <w:tr w:rsidR="00467F9C" w:rsidRPr="00011263" w:rsidTr="00011263">
        <w:trPr>
          <w:trHeight w:val="258"/>
          <w:tblHeader/>
        </w:trPr>
        <w:tc>
          <w:tcPr>
            <w:tcW w:w="4536" w:type="dxa"/>
            <w:vMerge/>
            <w:tcBorders>
              <w:top w:val="single" w:sz="4" w:space="0" w:color="auto"/>
              <w:left w:val="single" w:sz="4" w:space="0" w:color="auto"/>
              <w:bottom w:val="single" w:sz="4" w:space="0" w:color="auto"/>
              <w:right w:val="single" w:sz="4" w:space="0" w:color="auto"/>
            </w:tcBorders>
            <w:vAlign w:val="center"/>
            <w:hideMark/>
          </w:tcPr>
          <w:p w:rsidR="00191861" w:rsidRPr="00011263" w:rsidRDefault="00191861" w:rsidP="00191861">
            <w:pPr>
              <w:rPr>
                <w:b/>
                <w:sz w:val="20"/>
                <w:szCs w:val="20"/>
              </w:rPr>
            </w:pPr>
          </w:p>
        </w:tc>
        <w:tc>
          <w:tcPr>
            <w:tcW w:w="1374" w:type="dxa"/>
            <w:vMerge/>
            <w:tcBorders>
              <w:top w:val="single" w:sz="4" w:space="0" w:color="auto"/>
              <w:left w:val="single" w:sz="4" w:space="0" w:color="auto"/>
              <w:bottom w:val="single" w:sz="4" w:space="0" w:color="auto"/>
              <w:right w:val="single" w:sz="4" w:space="0" w:color="auto"/>
            </w:tcBorders>
            <w:vAlign w:val="center"/>
            <w:hideMark/>
          </w:tcPr>
          <w:p w:rsidR="00191861" w:rsidRPr="00011263" w:rsidRDefault="00191861" w:rsidP="00191861">
            <w:pPr>
              <w:rPr>
                <w:b/>
                <w:sz w:val="20"/>
                <w:szCs w:val="20"/>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191861" w:rsidRPr="00011263" w:rsidRDefault="00191861" w:rsidP="00191861">
            <w:pPr>
              <w:jc w:val="center"/>
              <w:rPr>
                <w:b/>
                <w:sz w:val="20"/>
                <w:szCs w:val="20"/>
              </w:rPr>
            </w:pPr>
            <w:r w:rsidRPr="00011263">
              <w:rPr>
                <w:b/>
                <w:sz w:val="20"/>
                <w:szCs w:val="20"/>
              </w:rPr>
              <w:t>сумма</w:t>
            </w:r>
          </w:p>
        </w:tc>
        <w:tc>
          <w:tcPr>
            <w:tcW w:w="754" w:type="dxa"/>
            <w:tcBorders>
              <w:top w:val="single" w:sz="4" w:space="0" w:color="auto"/>
              <w:left w:val="nil"/>
              <w:bottom w:val="single" w:sz="4" w:space="0" w:color="auto"/>
              <w:right w:val="single" w:sz="4" w:space="0" w:color="auto"/>
            </w:tcBorders>
            <w:shd w:val="clear" w:color="auto" w:fill="auto"/>
            <w:vAlign w:val="center"/>
            <w:hideMark/>
          </w:tcPr>
          <w:p w:rsidR="00191861" w:rsidRPr="00011263" w:rsidRDefault="00191861" w:rsidP="00191861">
            <w:pPr>
              <w:jc w:val="center"/>
              <w:rPr>
                <w:b/>
                <w:sz w:val="20"/>
                <w:szCs w:val="20"/>
              </w:rPr>
            </w:pPr>
            <w:r w:rsidRPr="00011263">
              <w:rPr>
                <w:b/>
                <w:sz w:val="20"/>
                <w:szCs w:val="20"/>
              </w:rPr>
              <w:t>%</w:t>
            </w:r>
          </w:p>
        </w:tc>
        <w:tc>
          <w:tcPr>
            <w:tcW w:w="1550" w:type="dxa"/>
            <w:vMerge/>
            <w:tcBorders>
              <w:left w:val="single" w:sz="4" w:space="0" w:color="auto"/>
              <w:bottom w:val="single" w:sz="4" w:space="0" w:color="auto"/>
              <w:right w:val="single" w:sz="4" w:space="0" w:color="auto"/>
            </w:tcBorders>
            <w:vAlign w:val="center"/>
            <w:hideMark/>
          </w:tcPr>
          <w:p w:rsidR="00191861" w:rsidRPr="00011263" w:rsidRDefault="00191861" w:rsidP="00191861">
            <w:pPr>
              <w:rPr>
                <w:b/>
                <w:sz w:val="20"/>
                <w:szCs w:val="20"/>
              </w:rPr>
            </w:pPr>
          </w:p>
        </w:tc>
      </w:tr>
      <w:tr w:rsidR="00467F9C" w:rsidRPr="00011263" w:rsidTr="00011263">
        <w:trPr>
          <w:trHeight w:val="258"/>
          <w:tblHeader/>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191861" w:rsidRPr="00011263" w:rsidRDefault="00191861" w:rsidP="00191861">
            <w:pPr>
              <w:jc w:val="center"/>
              <w:rPr>
                <w:sz w:val="20"/>
                <w:szCs w:val="20"/>
              </w:rPr>
            </w:pPr>
            <w:r w:rsidRPr="00011263">
              <w:rPr>
                <w:sz w:val="20"/>
                <w:szCs w:val="20"/>
              </w:rPr>
              <w:t>1</w:t>
            </w:r>
          </w:p>
        </w:tc>
        <w:tc>
          <w:tcPr>
            <w:tcW w:w="1374" w:type="dxa"/>
            <w:tcBorders>
              <w:top w:val="nil"/>
              <w:left w:val="nil"/>
              <w:bottom w:val="single" w:sz="4" w:space="0" w:color="auto"/>
              <w:right w:val="single" w:sz="4" w:space="0" w:color="auto"/>
            </w:tcBorders>
            <w:shd w:val="clear" w:color="auto" w:fill="auto"/>
            <w:vAlign w:val="center"/>
            <w:hideMark/>
          </w:tcPr>
          <w:p w:rsidR="00191861" w:rsidRPr="00011263" w:rsidRDefault="00191861" w:rsidP="00191861">
            <w:pPr>
              <w:jc w:val="center"/>
              <w:rPr>
                <w:sz w:val="20"/>
                <w:szCs w:val="20"/>
              </w:rPr>
            </w:pPr>
            <w:r w:rsidRPr="00011263">
              <w:rPr>
                <w:sz w:val="20"/>
                <w:szCs w:val="20"/>
              </w:rPr>
              <w:t>2</w:t>
            </w:r>
          </w:p>
        </w:tc>
        <w:tc>
          <w:tcPr>
            <w:tcW w:w="1766" w:type="dxa"/>
            <w:tcBorders>
              <w:top w:val="nil"/>
              <w:left w:val="nil"/>
              <w:bottom w:val="single" w:sz="4" w:space="0" w:color="auto"/>
              <w:right w:val="single" w:sz="4" w:space="0" w:color="auto"/>
            </w:tcBorders>
            <w:shd w:val="clear" w:color="auto" w:fill="auto"/>
            <w:vAlign w:val="center"/>
            <w:hideMark/>
          </w:tcPr>
          <w:p w:rsidR="00191861" w:rsidRPr="00011263" w:rsidRDefault="00191861" w:rsidP="00191861">
            <w:pPr>
              <w:jc w:val="center"/>
              <w:rPr>
                <w:sz w:val="20"/>
                <w:szCs w:val="20"/>
              </w:rPr>
            </w:pPr>
            <w:r w:rsidRPr="00011263">
              <w:rPr>
                <w:sz w:val="20"/>
                <w:szCs w:val="20"/>
              </w:rPr>
              <w:t>3</w:t>
            </w:r>
          </w:p>
        </w:tc>
        <w:tc>
          <w:tcPr>
            <w:tcW w:w="754" w:type="dxa"/>
            <w:tcBorders>
              <w:top w:val="nil"/>
              <w:left w:val="nil"/>
              <w:bottom w:val="single" w:sz="4" w:space="0" w:color="auto"/>
              <w:right w:val="single" w:sz="4" w:space="0" w:color="auto"/>
            </w:tcBorders>
            <w:shd w:val="clear" w:color="auto" w:fill="auto"/>
            <w:vAlign w:val="center"/>
            <w:hideMark/>
          </w:tcPr>
          <w:p w:rsidR="00191861" w:rsidRPr="00011263" w:rsidRDefault="00191861" w:rsidP="00191861">
            <w:pPr>
              <w:jc w:val="center"/>
              <w:rPr>
                <w:sz w:val="20"/>
                <w:szCs w:val="20"/>
              </w:rPr>
            </w:pPr>
            <w:r w:rsidRPr="00011263">
              <w:rPr>
                <w:sz w:val="20"/>
                <w:szCs w:val="20"/>
              </w:rPr>
              <w:t>4</w:t>
            </w:r>
          </w:p>
        </w:tc>
        <w:tc>
          <w:tcPr>
            <w:tcW w:w="1550"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5</w:t>
            </w:r>
          </w:p>
        </w:tc>
      </w:tr>
      <w:tr w:rsidR="00467F9C" w:rsidRPr="00011263" w:rsidTr="00011263">
        <w:trPr>
          <w:trHeight w:val="258"/>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191861" w:rsidRPr="00011263" w:rsidRDefault="00191861" w:rsidP="00191861">
            <w:pPr>
              <w:rPr>
                <w:sz w:val="20"/>
                <w:szCs w:val="20"/>
              </w:rPr>
            </w:pPr>
            <w:r w:rsidRPr="00011263">
              <w:rPr>
                <w:sz w:val="20"/>
                <w:szCs w:val="20"/>
              </w:rPr>
              <w:t>01 00 Общегосударственные расходы</w:t>
            </w:r>
          </w:p>
        </w:tc>
        <w:tc>
          <w:tcPr>
            <w:tcW w:w="1374"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247 132,1</w:t>
            </w:r>
          </w:p>
        </w:tc>
        <w:tc>
          <w:tcPr>
            <w:tcW w:w="1766"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241 463,1</w:t>
            </w:r>
          </w:p>
        </w:tc>
        <w:tc>
          <w:tcPr>
            <w:tcW w:w="754"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97,7</w:t>
            </w:r>
          </w:p>
        </w:tc>
        <w:tc>
          <w:tcPr>
            <w:tcW w:w="1550"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0,4</w:t>
            </w:r>
          </w:p>
        </w:tc>
      </w:tr>
      <w:tr w:rsidR="00467F9C" w:rsidRPr="00011263" w:rsidTr="00011263">
        <w:trPr>
          <w:trHeight w:val="413"/>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191861" w:rsidRPr="00011263" w:rsidRDefault="00191861" w:rsidP="00191861">
            <w:pPr>
              <w:rPr>
                <w:sz w:val="20"/>
                <w:szCs w:val="20"/>
              </w:rPr>
            </w:pPr>
            <w:r w:rsidRPr="00011263">
              <w:rPr>
                <w:sz w:val="20"/>
                <w:szCs w:val="20"/>
              </w:rPr>
              <w:t>03 00 Национальная безопасность и правоохранительная деятельность</w:t>
            </w:r>
          </w:p>
        </w:tc>
        <w:tc>
          <w:tcPr>
            <w:tcW w:w="1374"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487 534,9</w:t>
            </w:r>
          </w:p>
        </w:tc>
        <w:tc>
          <w:tcPr>
            <w:tcW w:w="1766"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473 533,4</w:t>
            </w:r>
          </w:p>
        </w:tc>
        <w:tc>
          <w:tcPr>
            <w:tcW w:w="754"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97,1</w:t>
            </w:r>
          </w:p>
        </w:tc>
        <w:tc>
          <w:tcPr>
            <w:tcW w:w="1550"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0,9</w:t>
            </w:r>
          </w:p>
        </w:tc>
      </w:tr>
      <w:tr w:rsidR="00467F9C" w:rsidRPr="00011263" w:rsidTr="00011263">
        <w:trPr>
          <w:trHeight w:val="258"/>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191861" w:rsidRPr="00011263" w:rsidRDefault="00191861" w:rsidP="00191861">
            <w:pPr>
              <w:rPr>
                <w:sz w:val="20"/>
                <w:szCs w:val="20"/>
              </w:rPr>
            </w:pPr>
            <w:r w:rsidRPr="00011263">
              <w:rPr>
                <w:sz w:val="20"/>
                <w:szCs w:val="20"/>
              </w:rPr>
              <w:t>04 00 Национальная экономика</w:t>
            </w:r>
          </w:p>
        </w:tc>
        <w:tc>
          <w:tcPr>
            <w:tcW w:w="1374" w:type="dxa"/>
            <w:tcBorders>
              <w:top w:val="nil"/>
              <w:left w:val="nil"/>
              <w:bottom w:val="single" w:sz="4" w:space="0" w:color="auto"/>
              <w:right w:val="single" w:sz="4" w:space="0" w:color="auto"/>
            </w:tcBorders>
            <w:shd w:val="clear" w:color="auto" w:fill="auto"/>
            <w:vAlign w:val="center"/>
            <w:hideMark/>
          </w:tcPr>
          <w:p w:rsidR="00191861" w:rsidRPr="00011263" w:rsidRDefault="00191861" w:rsidP="00191861">
            <w:pPr>
              <w:jc w:val="center"/>
              <w:rPr>
                <w:sz w:val="20"/>
                <w:szCs w:val="20"/>
              </w:rPr>
            </w:pPr>
            <w:r w:rsidRPr="00011263">
              <w:rPr>
                <w:sz w:val="20"/>
                <w:szCs w:val="20"/>
              </w:rPr>
              <w:t>11 470 804,8</w:t>
            </w:r>
          </w:p>
        </w:tc>
        <w:tc>
          <w:tcPr>
            <w:tcW w:w="1766" w:type="dxa"/>
            <w:tcBorders>
              <w:top w:val="nil"/>
              <w:left w:val="nil"/>
              <w:bottom w:val="single" w:sz="4" w:space="0" w:color="auto"/>
              <w:right w:val="single" w:sz="4" w:space="0" w:color="auto"/>
            </w:tcBorders>
            <w:shd w:val="clear" w:color="auto" w:fill="auto"/>
            <w:vAlign w:val="center"/>
            <w:hideMark/>
          </w:tcPr>
          <w:p w:rsidR="00191861" w:rsidRPr="00011263" w:rsidRDefault="00191861" w:rsidP="00191861">
            <w:pPr>
              <w:jc w:val="center"/>
              <w:rPr>
                <w:sz w:val="20"/>
                <w:szCs w:val="20"/>
              </w:rPr>
            </w:pPr>
            <w:r w:rsidRPr="00011263">
              <w:rPr>
                <w:sz w:val="20"/>
                <w:szCs w:val="20"/>
              </w:rPr>
              <w:t>11 285 758,6</w:t>
            </w:r>
          </w:p>
        </w:tc>
        <w:tc>
          <w:tcPr>
            <w:tcW w:w="754" w:type="dxa"/>
            <w:tcBorders>
              <w:top w:val="nil"/>
              <w:left w:val="nil"/>
              <w:bottom w:val="single" w:sz="4" w:space="0" w:color="auto"/>
              <w:right w:val="single" w:sz="4" w:space="0" w:color="auto"/>
            </w:tcBorders>
            <w:shd w:val="clear" w:color="auto" w:fill="auto"/>
            <w:vAlign w:val="center"/>
            <w:hideMark/>
          </w:tcPr>
          <w:p w:rsidR="00191861" w:rsidRPr="00011263" w:rsidRDefault="00191861" w:rsidP="00191861">
            <w:pPr>
              <w:jc w:val="center"/>
              <w:rPr>
                <w:sz w:val="20"/>
                <w:szCs w:val="20"/>
              </w:rPr>
            </w:pPr>
            <w:r w:rsidRPr="00011263">
              <w:rPr>
                <w:sz w:val="20"/>
                <w:szCs w:val="20"/>
              </w:rPr>
              <w:t>98,4</w:t>
            </w:r>
          </w:p>
        </w:tc>
        <w:tc>
          <w:tcPr>
            <w:tcW w:w="1550"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21,4</w:t>
            </w:r>
          </w:p>
        </w:tc>
      </w:tr>
      <w:tr w:rsidR="00467F9C" w:rsidRPr="00011263" w:rsidTr="00011263">
        <w:trPr>
          <w:trHeight w:val="258"/>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191861" w:rsidRPr="00011263" w:rsidRDefault="00191861" w:rsidP="00191861">
            <w:pPr>
              <w:rPr>
                <w:sz w:val="20"/>
                <w:szCs w:val="20"/>
              </w:rPr>
            </w:pPr>
            <w:r w:rsidRPr="00011263">
              <w:rPr>
                <w:sz w:val="20"/>
                <w:szCs w:val="20"/>
              </w:rPr>
              <w:t>05 00 Жилищно-коммунальное хозяйство</w:t>
            </w:r>
          </w:p>
        </w:tc>
        <w:tc>
          <w:tcPr>
            <w:tcW w:w="1374"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20 385 180,5</w:t>
            </w:r>
          </w:p>
        </w:tc>
        <w:tc>
          <w:tcPr>
            <w:tcW w:w="1766"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19 826 869,0</w:t>
            </w:r>
          </w:p>
        </w:tc>
        <w:tc>
          <w:tcPr>
            <w:tcW w:w="754"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97,3</w:t>
            </w:r>
          </w:p>
        </w:tc>
        <w:tc>
          <w:tcPr>
            <w:tcW w:w="1550"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37,6</w:t>
            </w:r>
          </w:p>
        </w:tc>
      </w:tr>
      <w:tr w:rsidR="00467F9C" w:rsidRPr="00011263" w:rsidTr="00011263">
        <w:trPr>
          <w:trHeight w:val="24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191861" w:rsidRPr="00011263" w:rsidRDefault="00191861" w:rsidP="00191861">
            <w:pPr>
              <w:rPr>
                <w:sz w:val="20"/>
                <w:szCs w:val="20"/>
              </w:rPr>
            </w:pPr>
            <w:r w:rsidRPr="00011263">
              <w:rPr>
                <w:sz w:val="20"/>
                <w:szCs w:val="20"/>
              </w:rPr>
              <w:t>06 00 Охрана окружающей среды</w:t>
            </w:r>
          </w:p>
        </w:tc>
        <w:tc>
          <w:tcPr>
            <w:tcW w:w="1374"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134 470,6</w:t>
            </w:r>
          </w:p>
        </w:tc>
        <w:tc>
          <w:tcPr>
            <w:tcW w:w="1766"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128 380,9</w:t>
            </w:r>
          </w:p>
        </w:tc>
        <w:tc>
          <w:tcPr>
            <w:tcW w:w="754"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95,5</w:t>
            </w:r>
          </w:p>
        </w:tc>
        <w:tc>
          <w:tcPr>
            <w:tcW w:w="1550"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0,2</w:t>
            </w:r>
          </w:p>
        </w:tc>
      </w:tr>
      <w:tr w:rsidR="00467F9C" w:rsidRPr="00011263" w:rsidTr="00011263">
        <w:trPr>
          <w:trHeight w:val="258"/>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191861" w:rsidRPr="00011263" w:rsidRDefault="00191861" w:rsidP="00191861">
            <w:pPr>
              <w:rPr>
                <w:sz w:val="20"/>
                <w:szCs w:val="20"/>
              </w:rPr>
            </w:pPr>
            <w:r w:rsidRPr="00011263">
              <w:rPr>
                <w:sz w:val="20"/>
                <w:szCs w:val="20"/>
              </w:rPr>
              <w:t>07 00 Образование</w:t>
            </w:r>
          </w:p>
        </w:tc>
        <w:tc>
          <w:tcPr>
            <w:tcW w:w="1374"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7 357 246,4</w:t>
            </w:r>
          </w:p>
        </w:tc>
        <w:tc>
          <w:tcPr>
            <w:tcW w:w="1766"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6 876 315,1</w:t>
            </w:r>
          </w:p>
        </w:tc>
        <w:tc>
          <w:tcPr>
            <w:tcW w:w="754"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93,5</w:t>
            </w:r>
          </w:p>
        </w:tc>
        <w:tc>
          <w:tcPr>
            <w:tcW w:w="1550"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13,0</w:t>
            </w:r>
          </w:p>
        </w:tc>
      </w:tr>
      <w:tr w:rsidR="00467F9C" w:rsidRPr="00011263" w:rsidTr="00011263">
        <w:trPr>
          <w:trHeight w:val="258"/>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191861" w:rsidRPr="00011263" w:rsidRDefault="00191861" w:rsidP="00191861">
            <w:pPr>
              <w:rPr>
                <w:sz w:val="20"/>
                <w:szCs w:val="20"/>
              </w:rPr>
            </w:pPr>
            <w:r w:rsidRPr="00011263">
              <w:rPr>
                <w:sz w:val="20"/>
                <w:szCs w:val="20"/>
              </w:rPr>
              <w:t>08 00 Культура, кинематография</w:t>
            </w:r>
          </w:p>
        </w:tc>
        <w:tc>
          <w:tcPr>
            <w:tcW w:w="1374"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723 822,3</w:t>
            </w:r>
          </w:p>
        </w:tc>
        <w:tc>
          <w:tcPr>
            <w:tcW w:w="1766"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703 231,1</w:t>
            </w:r>
          </w:p>
        </w:tc>
        <w:tc>
          <w:tcPr>
            <w:tcW w:w="754"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97,2</w:t>
            </w:r>
          </w:p>
        </w:tc>
        <w:tc>
          <w:tcPr>
            <w:tcW w:w="1550"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1,3</w:t>
            </w:r>
          </w:p>
        </w:tc>
      </w:tr>
      <w:tr w:rsidR="00467F9C" w:rsidRPr="00011263" w:rsidTr="00011263">
        <w:trPr>
          <w:trHeight w:val="258"/>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191861" w:rsidRPr="00011263" w:rsidRDefault="00191861" w:rsidP="00191861">
            <w:pPr>
              <w:rPr>
                <w:sz w:val="20"/>
                <w:szCs w:val="20"/>
              </w:rPr>
            </w:pPr>
            <w:r w:rsidRPr="00011263">
              <w:rPr>
                <w:sz w:val="20"/>
                <w:szCs w:val="20"/>
              </w:rPr>
              <w:t>09 00 Здравоохранение</w:t>
            </w:r>
          </w:p>
        </w:tc>
        <w:tc>
          <w:tcPr>
            <w:tcW w:w="1374"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3 681 342,5</w:t>
            </w:r>
          </w:p>
        </w:tc>
        <w:tc>
          <w:tcPr>
            <w:tcW w:w="1766"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3 599 188,7</w:t>
            </w:r>
          </w:p>
        </w:tc>
        <w:tc>
          <w:tcPr>
            <w:tcW w:w="754"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97,8</w:t>
            </w:r>
          </w:p>
        </w:tc>
        <w:tc>
          <w:tcPr>
            <w:tcW w:w="1550"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6,8</w:t>
            </w:r>
          </w:p>
        </w:tc>
      </w:tr>
      <w:tr w:rsidR="00467F9C" w:rsidRPr="00011263" w:rsidTr="00011263">
        <w:trPr>
          <w:trHeight w:val="258"/>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191861" w:rsidRPr="00011263" w:rsidRDefault="00191861" w:rsidP="00191861">
            <w:pPr>
              <w:rPr>
                <w:sz w:val="20"/>
                <w:szCs w:val="20"/>
              </w:rPr>
            </w:pPr>
            <w:r w:rsidRPr="00011263">
              <w:rPr>
                <w:sz w:val="20"/>
                <w:szCs w:val="20"/>
              </w:rPr>
              <w:t>10 00 Социальная политика</w:t>
            </w:r>
          </w:p>
        </w:tc>
        <w:tc>
          <w:tcPr>
            <w:tcW w:w="1374"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3 196 093,6</w:t>
            </w:r>
          </w:p>
        </w:tc>
        <w:tc>
          <w:tcPr>
            <w:tcW w:w="1766"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3 082 713,2</w:t>
            </w:r>
          </w:p>
        </w:tc>
        <w:tc>
          <w:tcPr>
            <w:tcW w:w="754"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96,4</w:t>
            </w:r>
          </w:p>
        </w:tc>
        <w:tc>
          <w:tcPr>
            <w:tcW w:w="1550"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5,8</w:t>
            </w:r>
          </w:p>
        </w:tc>
      </w:tr>
      <w:tr w:rsidR="00467F9C" w:rsidRPr="00011263" w:rsidTr="00011263">
        <w:trPr>
          <w:trHeight w:val="258"/>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191861" w:rsidRPr="00011263" w:rsidRDefault="00191861" w:rsidP="00191861">
            <w:pPr>
              <w:rPr>
                <w:sz w:val="20"/>
                <w:szCs w:val="20"/>
              </w:rPr>
            </w:pPr>
            <w:r w:rsidRPr="00011263">
              <w:rPr>
                <w:sz w:val="20"/>
                <w:szCs w:val="20"/>
              </w:rPr>
              <w:t>11 00 Физическая культура и спорт</w:t>
            </w:r>
          </w:p>
        </w:tc>
        <w:tc>
          <w:tcPr>
            <w:tcW w:w="1374"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184 414,1</w:t>
            </w:r>
          </w:p>
        </w:tc>
        <w:tc>
          <w:tcPr>
            <w:tcW w:w="1766"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169 091,7</w:t>
            </w:r>
          </w:p>
        </w:tc>
        <w:tc>
          <w:tcPr>
            <w:tcW w:w="754"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91,7</w:t>
            </w:r>
          </w:p>
        </w:tc>
        <w:tc>
          <w:tcPr>
            <w:tcW w:w="1550"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0,3</w:t>
            </w:r>
          </w:p>
        </w:tc>
      </w:tr>
      <w:tr w:rsidR="00467F9C" w:rsidRPr="00011263" w:rsidTr="00011263">
        <w:trPr>
          <w:trHeight w:val="258"/>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191861" w:rsidRPr="00011263" w:rsidRDefault="00191861" w:rsidP="00191861">
            <w:pPr>
              <w:rPr>
                <w:sz w:val="20"/>
                <w:szCs w:val="20"/>
              </w:rPr>
            </w:pPr>
            <w:r w:rsidRPr="00011263">
              <w:rPr>
                <w:sz w:val="20"/>
                <w:szCs w:val="20"/>
              </w:rPr>
              <w:t>12 00 Средства массовой информации</w:t>
            </w:r>
          </w:p>
        </w:tc>
        <w:tc>
          <w:tcPr>
            <w:tcW w:w="1374"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181 596,5</w:t>
            </w:r>
          </w:p>
        </w:tc>
        <w:tc>
          <w:tcPr>
            <w:tcW w:w="1766"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181 596,5</w:t>
            </w:r>
          </w:p>
        </w:tc>
        <w:tc>
          <w:tcPr>
            <w:tcW w:w="754"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100,0</w:t>
            </w:r>
          </w:p>
        </w:tc>
        <w:tc>
          <w:tcPr>
            <w:tcW w:w="1550"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0,3</w:t>
            </w:r>
          </w:p>
        </w:tc>
      </w:tr>
      <w:tr w:rsidR="00467F9C" w:rsidRPr="00011263" w:rsidTr="00011263">
        <w:trPr>
          <w:trHeight w:val="413"/>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191861" w:rsidRDefault="00191861" w:rsidP="00191861">
            <w:pPr>
              <w:rPr>
                <w:sz w:val="20"/>
                <w:szCs w:val="20"/>
              </w:rPr>
            </w:pPr>
            <w:r w:rsidRPr="00011263">
              <w:rPr>
                <w:sz w:val="20"/>
                <w:szCs w:val="20"/>
              </w:rPr>
              <w:t>13 00 Обслуживание государственного и муниципального долга</w:t>
            </w:r>
          </w:p>
          <w:p w:rsidR="00011263" w:rsidRPr="00011263" w:rsidRDefault="00011263" w:rsidP="00191861">
            <w:pPr>
              <w:rPr>
                <w:sz w:val="4"/>
                <w:szCs w:val="4"/>
              </w:rPr>
            </w:pPr>
          </w:p>
        </w:tc>
        <w:tc>
          <w:tcPr>
            <w:tcW w:w="1374"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8 359,8</w:t>
            </w:r>
          </w:p>
        </w:tc>
        <w:tc>
          <w:tcPr>
            <w:tcW w:w="1766"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8 359,7</w:t>
            </w:r>
          </w:p>
        </w:tc>
        <w:tc>
          <w:tcPr>
            <w:tcW w:w="754"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99,9</w:t>
            </w:r>
          </w:p>
        </w:tc>
        <w:tc>
          <w:tcPr>
            <w:tcW w:w="1550"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Доля незначительная</w:t>
            </w:r>
          </w:p>
        </w:tc>
      </w:tr>
      <w:tr w:rsidR="00467F9C" w:rsidRPr="00011263" w:rsidTr="00011263">
        <w:trPr>
          <w:trHeight w:val="413"/>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191861" w:rsidRPr="00011263" w:rsidRDefault="00191861" w:rsidP="00191861">
            <w:pPr>
              <w:rPr>
                <w:sz w:val="20"/>
                <w:szCs w:val="20"/>
              </w:rPr>
            </w:pPr>
            <w:r w:rsidRPr="00011263">
              <w:rPr>
                <w:sz w:val="20"/>
                <w:szCs w:val="20"/>
              </w:rPr>
              <w:t>14 00 Межбюджетные трансферты общего характера бюджетам субъектов Российской Федерации и муниципальных образований</w:t>
            </w:r>
          </w:p>
        </w:tc>
        <w:tc>
          <w:tcPr>
            <w:tcW w:w="1374"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6 124 347,4</w:t>
            </w:r>
          </w:p>
        </w:tc>
        <w:tc>
          <w:tcPr>
            <w:tcW w:w="1766"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6 100 849,5</w:t>
            </w:r>
          </w:p>
        </w:tc>
        <w:tc>
          <w:tcPr>
            <w:tcW w:w="754"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99,6</w:t>
            </w:r>
          </w:p>
        </w:tc>
        <w:tc>
          <w:tcPr>
            <w:tcW w:w="1550"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sz w:val="20"/>
                <w:szCs w:val="20"/>
              </w:rPr>
            </w:pPr>
            <w:r w:rsidRPr="00011263">
              <w:rPr>
                <w:sz w:val="20"/>
                <w:szCs w:val="20"/>
              </w:rPr>
              <w:t>12,0</w:t>
            </w:r>
          </w:p>
        </w:tc>
      </w:tr>
      <w:tr w:rsidR="00467F9C" w:rsidRPr="00011263" w:rsidTr="00011263">
        <w:trPr>
          <w:trHeight w:val="258"/>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191861" w:rsidRPr="00011263" w:rsidRDefault="00191861" w:rsidP="00191861">
            <w:pPr>
              <w:rPr>
                <w:b/>
                <w:bCs/>
                <w:sz w:val="20"/>
                <w:szCs w:val="20"/>
              </w:rPr>
            </w:pPr>
            <w:r w:rsidRPr="00011263">
              <w:rPr>
                <w:b/>
                <w:bCs/>
                <w:sz w:val="20"/>
                <w:szCs w:val="20"/>
              </w:rPr>
              <w:t>Итого:</w:t>
            </w:r>
          </w:p>
        </w:tc>
        <w:tc>
          <w:tcPr>
            <w:tcW w:w="1374"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b/>
                <w:bCs/>
                <w:sz w:val="20"/>
                <w:szCs w:val="20"/>
              </w:rPr>
            </w:pPr>
            <w:r w:rsidRPr="00011263">
              <w:rPr>
                <w:b/>
                <w:bCs/>
                <w:sz w:val="20"/>
                <w:szCs w:val="20"/>
              </w:rPr>
              <w:t>54 182 345,5</w:t>
            </w:r>
          </w:p>
        </w:tc>
        <w:tc>
          <w:tcPr>
            <w:tcW w:w="1766"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b/>
                <w:bCs/>
                <w:sz w:val="20"/>
                <w:szCs w:val="20"/>
              </w:rPr>
            </w:pPr>
            <w:r w:rsidRPr="00011263">
              <w:rPr>
                <w:b/>
                <w:bCs/>
                <w:sz w:val="20"/>
                <w:szCs w:val="20"/>
              </w:rPr>
              <w:t>52 677 350,5</w:t>
            </w:r>
          </w:p>
        </w:tc>
        <w:tc>
          <w:tcPr>
            <w:tcW w:w="754"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b/>
                <w:bCs/>
                <w:sz w:val="20"/>
                <w:szCs w:val="20"/>
              </w:rPr>
            </w:pPr>
            <w:r w:rsidRPr="00011263">
              <w:rPr>
                <w:b/>
                <w:bCs/>
                <w:sz w:val="20"/>
                <w:szCs w:val="20"/>
              </w:rPr>
              <w:t>97,2</w:t>
            </w:r>
          </w:p>
        </w:tc>
        <w:tc>
          <w:tcPr>
            <w:tcW w:w="1550" w:type="dxa"/>
            <w:tcBorders>
              <w:top w:val="nil"/>
              <w:left w:val="nil"/>
              <w:bottom w:val="single" w:sz="4" w:space="0" w:color="auto"/>
              <w:right w:val="single" w:sz="4" w:space="0" w:color="auto"/>
            </w:tcBorders>
            <w:shd w:val="clear" w:color="auto" w:fill="auto"/>
            <w:vAlign w:val="center"/>
          </w:tcPr>
          <w:p w:rsidR="00191861" w:rsidRPr="00011263" w:rsidRDefault="00191861" w:rsidP="00191861">
            <w:pPr>
              <w:jc w:val="center"/>
              <w:rPr>
                <w:b/>
                <w:bCs/>
                <w:sz w:val="20"/>
                <w:szCs w:val="20"/>
              </w:rPr>
            </w:pPr>
            <w:r w:rsidRPr="00011263">
              <w:rPr>
                <w:b/>
                <w:bCs/>
                <w:sz w:val="20"/>
                <w:szCs w:val="20"/>
              </w:rPr>
              <w:t>100,0</w:t>
            </w:r>
          </w:p>
        </w:tc>
      </w:tr>
    </w:tbl>
    <w:p w:rsidR="00191861" w:rsidRPr="00467F9C" w:rsidRDefault="00191861" w:rsidP="00191861">
      <w:pPr>
        <w:pStyle w:val="19"/>
        <w:tabs>
          <w:tab w:val="left" w:pos="709"/>
        </w:tabs>
        <w:ind w:firstLine="851"/>
        <w:jc w:val="right"/>
        <w:rPr>
          <w:color w:val="auto"/>
          <w:highlight w:val="yellow"/>
        </w:rPr>
      </w:pPr>
    </w:p>
    <w:p w:rsidR="00191861" w:rsidRPr="00467F9C" w:rsidRDefault="00191861" w:rsidP="00191861">
      <w:pPr>
        <w:ind w:firstLine="709"/>
        <w:contextualSpacing/>
        <w:jc w:val="both"/>
        <w:rPr>
          <w:sz w:val="28"/>
          <w:szCs w:val="28"/>
        </w:rPr>
      </w:pPr>
      <w:r w:rsidRPr="00467F9C">
        <w:rPr>
          <w:sz w:val="28"/>
          <w:szCs w:val="28"/>
        </w:rPr>
        <w:t>Фактическое выполнение мероприятий Госпрограмм</w:t>
      </w:r>
      <w:r w:rsidRPr="00467F9C">
        <w:rPr>
          <w:rStyle w:val="ab"/>
          <w:sz w:val="28"/>
          <w:szCs w:val="28"/>
        </w:rPr>
        <w:footnoteReference w:id="88"/>
      </w:r>
      <w:r w:rsidRPr="00467F9C">
        <w:rPr>
          <w:sz w:val="28"/>
          <w:szCs w:val="28"/>
        </w:rPr>
        <w:t xml:space="preserve"> составило 49 994 171,6 тыс. рублей</w:t>
      </w:r>
      <w:r w:rsidRPr="00467F9C">
        <w:rPr>
          <w:rStyle w:val="ab"/>
          <w:sz w:val="28"/>
          <w:szCs w:val="28"/>
        </w:rPr>
        <w:footnoteReference w:id="89"/>
      </w:r>
      <w:r w:rsidRPr="00467F9C">
        <w:rPr>
          <w:sz w:val="28"/>
          <w:szCs w:val="28"/>
        </w:rPr>
        <w:t xml:space="preserve"> или 94,9% от направленных бюджетных ассигнований, что не соответствует данным Сводного отчета (50 845 131,9 тыс. рублей) на 850 960,3 тыс. рублей (по исполнению пяти государственных программ). </w:t>
      </w:r>
    </w:p>
    <w:p w:rsidR="00191861" w:rsidRPr="00467F9C" w:rsidRDefault="00191861" w:rsidP="00191861">
      <w:pPr>
        <w:tabs>
          <w:tab w:val="left" w:pos="709"/>
        </w:tabs>
        <w:ind w:firstLine="709"/>
        <w:jc w:val="both"/>
        <w:rPr>
          <w:sz w:val="28"/>
          <w:szCs w:val="28"/>
        </w:rPr>
      </w:pPr>
      <w:r w:rsidRPr="00467F9C">
        <w:rPr>
          <w:sz w:val="28"/>
          <w:szCs w:val="28"/>
        </w:rPr>
        <w:t>Наиболее низкое выполнение произведено по 3 государственным программам:</w:t>
      </w:r>
    </w:p>
    <w:p w:rsidR="00191861" w:rsidRPr="00467F9C" w:rsidRDefault="00191861" w:rsidP="00191861">
      <w:pPr>
        <w:autoSpaceDE w:val="0"/>
        <w:autoSpaceDN w:val="0"/>
        <w:adjustRightInd w:val="0"/>
        <w:ind w:firstLine="709"/>
        <w:jc w:val="both"/>
        <w:rPr>
          <w:sz w:val="28"/>
          <w:szCs w:val="28"/>
        </w:rPr>
      </w:pPr>
      <w:r w:rsidRPr="00467F9C">
        <w:rPr>
          <w:sz w:val="28"/>
          <w:szCs w:val="28"/>
        </w:rPr>
        <w:t>- Развитие культуры, спорта и туризма Чукотского автономного округа (71,4% от полученного финансирования);</w:t>
      </w:r>
    </w:p>
    <w:p w:rsidR="00191861" w:rsidRPr="00467F9C" w:rsidRDefault="00191861" w:rsidP="00191861">
      <w:pPr>
        <w:autoSpaceDE w:val="0"/>
        <w:autoSpaceDN w:val="0"/>
        <w:adjustRightInd w:val="0"/>
        <w:ind w:firstLine="709"/>
        <w:jc w:val="both"/>
        <w:rPr>
          <w:sz w:val="28"/>
          <w:szCs w:val="28"/>
        </w:rPr>
      </w:pPr>
      <w:r w:rsidRPr="00467F9C">
        <w:rPr>
          <w:sz w:val="28"/>
          <w:szCs w:val="28"/>
        </w:rPr>
        <w:t>- Развитие жилищного строительства в Чукотском автономном округе (48,2%);</w:t>
      </w:r>
    </w:p>
    <w:p w:rsidR="00191861" w:rsidRPr="00467F9C" w:rsidRDefault="00191861" w:rsidP="00191861">
      <w:pPr>
        <w:autoSpaceDE w:val="0"/>
        <w:autoSpaceDN w:val="0"/>
        <w:adjustRightInd w:val="0"/>
        <w:ind w:firstLine="709"/>
        <w:jc w:val="both"/>
        <w:rPr>
          <w:sz w:val="28"/>
          <w:szCs w:val="28"/>
        </w:rPr>
      </w:pPr>
      <w:r w:rsidRPr="00467F9C">
        <w:rPr>
          <w:sz w:val="28"/>
          <w:szCs w:val="28"/>
        </w:rPr>
        <w:t>- Обеспечение устойчивого сокращения непригодного для проживания жилищного фонда в Чукотском автономном округе (13,6%).</w:t>
      </w:r>
    </w:p>
    <w:p w:rsidR="00191861" w:rsidRPr="00467F9C" w:rsidRDefault="00191861" w:rsidP="00191861">
      <w:pPr>
        <w:autoSpaceDE w:val="0"/>
        <w:autoSpaceDN w:val="0"/>
        <w:adjustRightInd w:val="0"/>
        <w:ind w:firstLine="709"/>
        <w:jc w:val="both"/>
        <w:rPr>
          <w:sz w:val="28"/>
          <w:szCs w:val="28"/>
          <w:highlight w:val="yellow"/>
        </w:rPr>
      </w:pPr>
      <w:r w:rsidRPr="00467F9C">
        <w:rPr>
          <w:sz w:val="28"/>
          <w:szCs w:val="28"/>
        </w:rPr>
        <w:lastRenderedPageBreak/>
        <w:t xml:space="preserve">По остальным государственным программам выполнение составило от 79,5% до 100,0% от объемов средств, направленных на реализацию государственных программ. </w:t>
      </w:r>
    </w:p>
    <w:p w:rsidR="00191861" w:rsidRPr="00467F9C" w:rsidRDefault="00191861" w:rsidP="00191861">
      <w:pPr>
        <w:tabs>
          <w:tab w:val="left" w:pos="709"/>
        </w:tabs>
        <w:ind w:firstLine="709"/>
        <w:jc w:val="both"/>
        <w:rPr>
          <w:rFonts w:eastAsia="Calibri"/>
          <w:sz w:val="28"/>
          <w:szCs w:val="28"/>
        </w:rPr>
      </w:pPr>
      <w:r w:rsidRPr="00467F9C">
        <w:rPr>
          <w:rFonts w:eastAsia="Calibri"/>
          <w:sz w:val="28"/>
          <w:szCs w:val="28"/>
        </w:rPr>
        <w:t xml:space="preserve">В рамках реализации мероприятий девяти Госпрограмм по состоянию на 1 января 2022 года объем неиспользованных бюджетных средств по предоставленным субсидиям и грантам (срок реализации за пределами 2021 года) составил </w:t>
      </w:r>
      <w:r w:rsidRPr="00467F9C">
        <w:rPr>
          <w:sz w:val="28"/>
          <w:szCs w:val="28"/>
        </w:rPr>
        <w:t>834 153,2 тыс. рублей или 1,6% от общего объема бюджетных ассигнований</w:t>
      </w:r>
      <w:r w:rsidRPr="00467F9C">
        <w:rPr>
          <w:rFonts w:eastAsia="Calibri"/>
          <w:sz w:val="28"/>
          <w:szCs w:val="28"/>
        </w:rPr>
        <w:t>.</w:t>
      </w:r>
    </w:p>
    <w:p w:rsidR="00191861" w:rsidRPr="00467F9C" w:rsidRDefault="00191861" w:rsidP="00191861">
      <w:pPr>
        <w:ind w:firstLine="709"/>
        <w:jc w:val="both"/>
        <w:rPr>
          <w:sz w:val="28"/>
          <w:szCs w:val="28"/>
        </w:rPr>
      </w:pPr>
      <w:r w:rsidRPr="00467F9C">
        <w:rPr>
          <w:sz w:val="28"/>
          <w:szCs w:val="28"/>
        </w:rPr>
        <w:t>В отчетном периоде восемь главных распорядителей окружного бюджета (Департамент промышленной политики, Департамент социальной политики, Департамент финансов, Департамент сельского хозяйства, Департамент здравоохранения, Департамент образования, Департамент культуры, Департамент природных ресурсов) в ходе исполнения 15 государственных программ принимали участие в реализации 29 региональных проектов Чукотского автономного округа</w:t>
      </w:r>
      <w:r w:rsidRPr="00467F9C">
        <w:rPr>
          <w:rStyle w:val="ab"/>
          <w:sz w:val="28"/>
          <w:szCs w:val="28"/>
        </w:rPr>
        <w:footnoteReference w:id="90"/>
      </w:r>
      <w:r w:rsidRPr="00467F9C">
        <w:rPr>
          <w:sz w:val="28"/>
          <w:szCs w:val="28"/>
        </w:rPr>
        <w:t xml:space="preserve"> (национальные проекты: Демография, Здравоохранение, Образование,  Культура, Малое и среднее предпринимательство и поддержка индивидуальной предпринимательской инициативы, Жилье и городская среда, Экология, Безопасные и качественные автомобильные дороги, Цифровая экономика).</w:t>
      </w:r>
    </w:p>
    <w:p w:rsidR="00191861" w:rsidRPr="00467F9C" w:rsidRDefault="00191861" w:rsidP="00191861">
      <w:pPr>
        <w:ind w:firstLine="709"/>
        <w:jc w:val="both"/>
        <w:rPr>
          <w:sz w:val="28"/>
          <w:szCs w:val="28"/>
        </w:rPr>
      </w:pPr>
      <w:r w:rsidRPr="00467F9C">
        <w:rPr>
          <w:sz w:val="28"/>
          <w:szCs w:val="28"/>
        </w:rPr>
        <w:t xml:space="preserve">Сводной бюджетной росписью на реализацию региональных проектов утверждены бюджетные ассигнования в объеме 3 392 208,1 тыс. рублей или 6,3% от общего объема бюджетных ассигнований на реализацию госпрограмм на 2021 год. </w:t>
      </w:r>
    </w:p>
    <w:p w:rsidR="00191861" w:rsidRPr="00467F9C" w:rsidRDefault="00191861" w:rsidP="00191861">
      <w:pPr>
        <w:ind w:firstLine="709"/>
        <w:jc w:val="both"/>
        <w:rPr>
          <w:sz w:val="28"/>
          <w:szCs w:val="28"/>
        </w:rPr>
      </w:pPr>
      <w:r w:rsidRPr="00467F9C">
        <w:rPr>
          <w:sz w:val="28"/>
          <w:szCs w:val="28"/>
        </w:rPr>
        <w:t xml:space="preserve">На реализацию региональных проектов в отчетном периоде поступило из федерального бюджета и Государственной корпорации «Фонд содействия реформированию жилищно-коммунального хозяйства»  1 544 391,9 тыс. рублей или 96,7% от плановых назначений, направлено на реализацию региональных проектов бюджетных средств в объеме 2 981 844,8 тыс. рублей (окружной и федеральный бюджеты) или 87,9% от утвержденных назначений, исполнены мероприятия региональных проектов на сумму 1 746 987,5 тыс. рублей или 58,6% к полученному финансированию. </w:t>
      </w:r>
    </w:p>
    <w:p w:rsidR="00191861" w:rsidRPr="00467F9C" w:rsidRDefault="00191861" w:rsidP="00191861">
      <w:pPr>
        <w:ind w:left="57" w:right="57" w:firstLine="651"/>
        <w:jc w:val="both"/>
        <w:rPr>
          <w:sz w:val="28"/>
          <w:szCs w:val="28"/>
        </w:rPr>
      </w:pPr>
      <w:r w:rsidRPr="00467F9C">
        <w:rPr>
          <w:sz w:val="28"/>
          <w:szCs w:val="28"/>
        </w:rPr>
        <w:t>По представленной ответственными исполнителями мероприятий региональных проектов информации, фактическое исполнение мероприятий региональных проектов за 2021 год составило 1 810 706,9 тыс. рублей (из них 104 895,6 тыс. рублей за счет бюджетных ассигнований 2020 года), по данным Счетной палаты, фактическое исполнение мероприятий РП составило 1 746 987,5 тыс. рублей (рис.2).</w:t>
      </w:r>
      <w:r w:rsidRPr="00467F9C">
        <w:rPr>
          <w:sz w:val="28"/>
          <w:szCs w:val="28"/>
        </w:rPr>
        <w:tab/>
      </w:r>
    </w:p>
    <w:p w:rsidR="00191861" w:rsidRPr="00467F9C" w:rsidRDefault="00191861" w:rsidP="00191861">
      <w:pPr>
        <w:ind w:left="57" w:right="57"/>
        <w:jc w:val="both"/>
        <w:rPr>
          <w:sz w:val="28"/>
          <w:szCs w:val="28"/>
        </w:rPr>
      </w:pPr>
      <w:r w:rsidRPr="00467F9C">
        <w:rPr>
          <w:sz w:val="28"/>
          <w:szCs w:val="28"/>
        </w:rPr>
        <w:t xml:space="preserve">                                                                                                       </w:t>
      </w:r>
      <w:r w:rsidRPr="00467F9C">
        <w:rPr>
          <w:noProof/>
        </w:rPr>
        <w:drawing>
          <wp:inline distT="0" distB="0" distL="0" distR="0" wp14:anchorId="27BAE217" wp14:editId="47804334">
            <wp:extent cx="6258296" cy="1071245"/>
            <wp:effectExtent l="0" t="0" r="9525" b="14605"/>
            <wp:docPr id="3" name="Диаграмма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B404A2E-68C2-4A48-AFF4-BBA4F36712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91861" w:rsidRPr="00467F9C" w:rsidRDefault="00191861" w:rsidP="00191861">
      <w:pPr>
        <w:ind w:left="57" w:right="57"/>
        <w:jc w:val="center"/>
      </w:pPr>
      <w:r w:rsidRPr="00467F9C">
        <w:t>Рис.2 (тыс. руб</w:t>
      </w:r>
      <w:r w:rsidR="00417B78">
        <w:t>лей</w:t>
      </w:r>
      <w:r w:rsidRPr="00467F9C">
        <w:t>)</w:t>
      </w:r>
    </w:p>
    <w:p w:rsidR="00191861" w:rsidRPr="00A142E0" w:rsidRDefault="00191861" w:rsidP="00191861">
      <w:pPr>
        <w:ind w:firstLine="709"/>
        <w:jc w:val="both"/>
        <w:rPr>
          <w:sz w:val="10"/>
          <w:szCs w:val="10"/>
          <w:highlight w:val="yellow"/>
        </w:rPr>
      </w:pPr>
    </w:p>
    <w:p w:rsidR="00191861" w:rsidRPr="00467F9C" w:rsidRDefault="00191861" w:rsidP="00191861">
      <w:pPr>
        <w:ind w:firstLine="709"/>
        <w:jc w:val="both"/>
        <w:rPr>
          <w:sz w:val="28"/>
          <w:szCs w:val="28"/>
        </w:rPr>
      </w:pPr>
      <w:r w:rsidRPr="00467F9C">
        <w:rPr>
          <w:sz w:val="28"/>
          <w:szCs w:val="28"/>
        </w:rPr>
        <w:t xml:space="preserve">Счетной палатой проведено экспертно-аналитическое мероприятие «Оценка хода реализации региональных проектов в Чукотском автономном округе за 2021 год», в котором отражены основные результаты реализации региональных проектов за 2021 год. </w:t>
      </w:r>
    </w:p>
    <w:p w:rsidR="00191861" w:rsidRPr="00467F9C" w:rsidRDefault="00191861" w:rsidP="00191861">
      <w:pPr>
        <w:tabs>
          <w:tab w:val="left" w:pos="709"/>
        </w:tabs>
        <w:autoSpaceDE w:val="0"/>
        <w:autoSpaceDN w:val="0"/>
        <w:adjustRightInd w:val="0"/>
        <w:spacing w:before="80"/>
        <w:ind w:firstLine="709"/>
        <w:jc w:val="both"/>
        <w:rPr>
          <w:sz w:val="28"/>
          <w:szCs w:val="28"/>
        </w:rPr>
      </w:pPr>
      <w:r w:rsidRPr="00467F9C">
        <w:rPr>
          <w:sz w:val="28"/>
          <w:szCs w:val="28"/>
        </w:rPr>
        <w:t>Информация об исполнении государственных программ Чукотского автономного округа приведена ниже. Анализ исполнения государственных программ, с целью сопоставимости данных с Законом об окружном бюджете на 2021 год и СБР проводится без учета их финансового обеспечения и исполнения за счет прочих внебюджетных источников (которые не отражены в доходной части окружного бюджета).</w:t>
      </w:r>
    </w:p>
    <w:p w:rsidR="00191861" w:rsidRPr="00467F9C" w:rsidRDefault="00191861" w:rsidP="00191861">
      <w:pPr>
        <w:tabs>
          <w:tab w:val="left" w:pos="709"/>
        </w:tabs>
        <w:ind w:firstLine="709"/>
        <w:jc w:val="both"/>
        <w:rPr>
          <w:sz w:val="28"/>
          <w:szCs w:val="28"/>
        </w:rPr>
      </w:pPr>
      <w:r w:rsidRPr="00467F9C">
        <w:rPr>
          <w:sz w:val="28"/>
          <w:szCs w:val="28"/>
        </w:rPr>
        <w:t>Информация об использовании бюджетных ассигнований на реализацию государственных программ за 2021 год в разрезе подпрограмм приведена в Приложении 1 к настоящему отчету.</w:t>
      </w:r>
    </w:p>
    <w:p w:rsidR="00191861" w:rsidRPr="00467F9C" w:rsidRDefault="00191861" w:rsidP="00191861">
      <w:pPr>
        <w:spacing w:before="120"/>
        <w:ind w:firstLine="709"/>
        <w:jc w:val="both"/>
        <w:rPr>
          <w:sz w:val="28"/>
          <w:szCs w:val="28"/>
        </w:rPr>
      </w:pPr>
      <w:r w:rsidRPr="00467F9C">
        <w:rPr>
          <w:b/>
          <w:sz w:val="28"/>
          <w:szCs w:val="28"/>
        </w:rPr>
        <w:t>Государственная программа «Развитие здравоохранения Чукотского автономного округа»</w:t>
      </w:r>
      <w:r w:rsidRPr="00467F9C">
        <w:rPr>
          <w:rStyle w:val="ab"/>
          <w:sz w:val="28"/>
          <w:szCs w:val="28"/>
        </w:rPr>
        <w:footnoteReference w:id="91"/>
      </w:r>
      <w:r w:rsidRPr="00467F9C">
        <w:rPr>
          <w:sz w:val="28"/>
          <w:szCs w:val="28"/>
        </w:rPr>
        <w:t xml:space="preserve"> включает в себя 10 подпрограмм. Ответственным исполнителем Государственной программы является Департамент здравоохранения, соисполнителем – Департамент промышленной политики, участников – 8. </w:t>
      </w:r>
    </w:p>
    <w:p w:rsidR="00191861" w:rsidRPr="00467F9C" w:rsidRDefault="00191861" w:rsidP="00191861">
      <w:pPr>
        <w:ind w:firstLine="709"/>
        <w:jc w:val="both"/>
        <w:rPr>
          <w:sz w:val="28"/>
          <w:szCs w:val="28"/>
        </w:rPr>
      </w:pPr>
      <w:r w:rsidRPr="00467F9C">
        <w:rPr>
          <w:sz w:val="28"/>
          <w:szCs w:val="28"/>
        </w:rPr>
        <w:t>Целью Государственной программы является обеспечение доступности медицинской помощи, в том числе экстренной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w:t>
      </w:r>
    </w:p>
    <w:p w:rsidR="00191861" w:rsidRPr="00467F9C" w:rsidRDefault="00191861" w:rsidP="00191861">
      <w:pPr>
        <w:pStyle w:val="41"/>
        <w:rPr>
          <w:b/>
          <w:color w:val="auto"/>
          <w:sz w:val="18"/>
          <w:szCs w:val="18"/>
        </w:rPr>
      </w:pPr>
      <w:r w:rsidRPr="00467F9C">
        <w:rPr>
          <w:color w:val="auto"/>
        </w:rPr>
        <w:t>В отчетном периоде на реализацию мероприятий Государственной программы направлено 3 993 629,3</w:t>
      </w:r>
      <w:r w:rsidRPr="00467F9C">
        <w:rPr>
          <w:b/>
          <w:color w:val="auto"/>
          <w:sz w:val="18"/>
          <w:szCs w:val="18"/>
        </w:rPr>
        <w:t xml:space="preserve"> </w:t>
      </w:r>
      <w:r w:rsidRPr="00467F9C">
        <w:rPr>
          <w:color w:val="auto"/>
        </w:rPr>
        <w:t>тыс. рублей или 98,2% от предусмотренных сводной бюджетной росписью ассигнований (4 066 887,2 тыс. рублей), из них п</w:t>
      </w:r>
      <w:r w:rsidRPr="00467F9C">
        <w:rPr>
          <w:rFonts w:eastAsia="Calibri"/>
          <w:color w:val="auto"/>
        </w:rPr>
        <w:t xml:space="preserve">о состоянию на 1 января 2022 года объем неиспользованных средств </w:t>
      </w:r>
      <w:r w:rsidRPr="00467F9C">
        <w:rPr>
          <w:color w:val="auto"/>
        </w:rPr>
        <w:t xml:space="preserve">субсидий на иные цели, предоставленных </w:t>
      </w:r>
      <w:r w:rsidRPr="00467F9C">
        <w:rPr>
          <w:rFonts w:eastAsia="Times New Roman"/>
          <w:color w:val="auto"/>
          <w:lang w:eastAsia="ru-RU"/>
        </w:rPr>
        <w:t xml:space="preserve">ГБУЗ «Чукотская окружная больница» </w:t>
      </w:r>
      <w:r w:rsidRPr="00467F9C">
        <w:rPr>
          <w:color w:val="auto"/>
        </w:rPr>
        <w:t>в 2021 году, составил 145 356,5 тыс. рублей (3,6% от направленных бюджетных ассигнований).</w:t>
      </w:r>
    </w:p>
    <w:p w:rsidR="00191861" w:rsidRPr="00467F9C" w:rsidRDefault="00191861" w:rsidP="00191861">
      <w:pPr>
        <w:tabs>
          <w:tab w:val="left" w:pos="709"/>
        </w:tabs>
        <w:ind w:firstLine="709"/>
        <w:jc w:val="both"/>
        <w:rPr>
          <w:sz w:val="28"/>
          <w:szCs w:val="28"/>
        </w:rPr>
      </w:pPr>
      <w:r w:rsidRPr="00467F9C">
        <w:rPr>
          <w:sz w:val="28"/>
          <w:szCs w:val="28"/>
        </w:rPr>
        <w:t xml:space="preserve">Фактическое выполнение мероприятий Государственной программы составило 3 791 267,0 тыс. рублей (94,9% от направленного финансирования на ее реализацию). </w:t>
      </w:r>
    </w:p>
    <w:p w:rsidR="00191861" w:rsidRPr="00467F9C" w:rsidRDefault="00191861" w:rsidP="00191861">
      <w:pPr>
        <w:pStyle w:val="19"/>
        <w:ind w:firstLine="709"/>
        <w:rPr>
          <w:color w:val="auto"/>
        </w:rPr>
      </w:pPr>
      <w:r w:rsidRPr="00467F9C">
        <w:rPr>
          <w:color w:val="auto"/>
        </w:rPr>
        <w:t>Из десяти подпрограмм Госпрограммы ниже уровня 80% исполнены две подпрограммы:</w:t>
      </w:r>
    </w:p>
    <w:p w:rsidR="00191861" w:rsidRPr="00467F9C" w:rsidRDefault="00191861" w:rsidP="00191861">
      <w:pPr>
        <w:ind w:firstLine="709"/>
        <w:jc w:val="both"/>
        <w:rPr>
          <w:sz w:val="28"/>
          <w:szCs w:val="28"/>
        </w:rPr>
      </w:pPr>
      <w:r w:rsidRPr="00467F9C">
        <w:rPr>
          <w:sz w:val="28"/>
          <w:szCs w:val="28"/>
        </w:rPr>
        <w:t xml:space="preserve">- «Профилактика заболеваний и формирование здорового образа жизни. Развитие первичной медико-санитарной помощи» (77,4%). Фактическое выполнение мероприятия </w:t>
      </w:r>
      <w:r w:rsidRPr="00467F9C">
        <w:rPr>
          <w:b/>
          <w:sz w:val="28"/>
          <w:szCs w:val="28"/>
        </w:rPr>
        <w:t>«</w:t>
      </w:r>
      <w:r w:rsidRPr="00467F9C">
        <w:rPr>
          <w:sz w:val="28"/>
          <w:szCs w:val="28"/>
        </w:rPr>
        <w:t>Региональная программа модернизации первичного звена здравоохранения Чукотского автономного округа» составило 94 864,6 тыс. рублей или 74,5% от предоставленной ГБУЗ «Чукотская окружная больница» целевой субсидии на модернизацию первичного звена здравоохранения Чукотского автономного округа (127 402,12 тыс. рублей);</w:t>
      </w:r>
    </w:p>
    <w:p w:rsidR="00191861" w:rsidRPr="00467F9C" w:rsidRDefault="00191861" w:rsidP="00191861">
      <w:pPr>
        <w:ind w:firstLine="708"/>
        <w:contextualSpacing/>
        <w:jc w:val="both"/>
        <w:rPr>
          <w:sz w:val="28"/>
          <w:szCs w:val="28"/>
        </w:rPr>
      </w:pPr>
      <w:r w:rsidRPr="00467F9C">
        <w:rPr>
          <w:sz w:val="28"/>
          <w:szCs w:val="28"/>
        </w:rPr>
        <w:t xml:space="preserve">- «Развитие инфраструктуры здравоохранения» (73,8%). Из 15 мероприятий подпрограммы, предусмотренных к реализации в 2021 году, выполнено 10 </w:t>
      </w:r>
      <w:r w:rsidRPr="00467F9C">
        <w:rPr>
          <w:sz w:val="28"/>
          <w:szCs w:val="28"/>
        </w:rPr>
        <w:lastRenderedPageBreak/>
        <w:t>мероприятий. На уровне 3% от предоставленной целевой субсидии ГБУЗ «Чукотская окружная больница» (49 130,1 тыс. рублей) исполнено мероприятие «</w:t>
      </w:r>
      <w:bookmarkStart w:id="44" w:name="_Hlk101437761"/>
      <w:r w:rsidRPr="00467F9C">
        <w:rPr>
          <w:sz w:val="28"/>
          <w:szCs w:val="28"/>
        </w:rPr>
        <w:t>Модернизация лабораторий медицинских организаций</w:t>
      </w:r>
      <w:bookmarkEnd w:id="44"/>
      <w:r w:rsidRPr="00467F9C">
        <w:rPr>
          <w:sz w:val="28"/>
          <w:szCs w:val="28"/>
        </w:rPr>
        <w:t xml:space="preserve">, осуществляющих диагностику инфекционных заболеваний» (1 451,4 тыс. рублей).  ГБУЗ «Чукотская окружная больница» заключено 13 государственных контрактов (договоров) на поставку 42 единиц медицинского оборудования и медицинских изделий. По состоянию на 01.01.2022 года поставлено и оплачено 13 единиц медицинского оборудования на сумму 1 451,35 тыс. рублей. Поставка оставшегося оборудования на общую сумму 47 678,7 тыс. рублей осуществлена в 2022 году. </w:t>
      </w:r>
    </w:p>
    <w:p w:rsidR="00191861" w:rsidRPr="00467F9C" w:rsidRDefault="00191861" w:rsidP="00191861">
      <w:pPr>
        <w:ind w:firstLine="708"/>
        <w:contextualSpacing/>
        <w:jc w:val="both"/>
        <w:rPr>
          <w:sz w:val="28"/>
          <w:szCs w:val="28"/>
        </w:rPr>
      </w:pPr>
      <w:r w:rsidRPr="00467F9C">
        <w:rPr>
          <w:sz w:val="28"/>
          <w:szCs w:val="28"/>
        </w:rPr>
        <w:t>В отчетном периоде не осуществлялось финансирование четырех мероприятий подпрограммы «Развитие инфраструктуры здравоохранения»:</w:t>
      </w:r>
    </w:p>
    <w:p w:rsidR="00191861" w:rsidRPr="00467F9C" w:rsidRDefault="00191861" w:rsidP="00191861">
      <w:pPr>
        <w:ind w:firstLine="708"/>
        <w:jc w:val="both"/>
        <w:rPr>
          <w:sz w:val="28"/>
          <w:szCs w:val="28"/>
        </w:rPr>
      </w:pPr>
      <w:r w:rsidRPr="00467F9C">
        <w:rPr>
          <w:sz w:val="28"/>
          <w:szCs w:val="28"/>
        </w:rPr>
        <w:t xml:space="preserve">«Реконструкция здания пристройки под лечебный корпус </w:t>
      </w:r>
      <w:proofErr w:type="spellStart"/>
      <w:r w:rsidRPr="00467F9C">
        <w:rPr>
          <w:sz w:val="28"/>
          <w:szCs w:val="28"/>
        </w:rPr>
        <w:t>Чаунской</w:t>
      </w:r>
      <w:proofErr w:type="spellEnd"/>
      <w:r w:rsidRPr="00467F9C">
        <w:rPr>
          <w:sz w:val="28"/>
          <w:szCs w:val="28"/>
        </w:rPr>
        <w:t xml:space="preserve"> районной больницы» (предусмотрено 12 000,0 тыс. рублей) - с ООО «СК Альянс» заключен государственный контракт на сумму 11 792,5 тыс. рублей, срок окончания работ по контракту 15.12.2021г., работы не выполнены в связи с приостановкой подрядчиком работ с июля по октябрь по причине отсутствия исходных данных для возможности проектирования;</w:t>
      </w:r>
    </w:p>
    <w:p w:rsidR="00191861" w:rsidRPr="00467F9C" w:rsidRDefault="00191861" w:rsidP="00191861">
      <w:pPr>
        <w:ind w:firstLine="708"/>
        <w:jc w:val="both"/>
        <w:rPr>
          <w:sz w:val="28"/>
          <w:szCs w:val="28"/>
        </w:rPr>
      </w:pPr>
      <w:r w:rsidRPr="00467F9C">
        <w:rPr>
          <w:sz w:val="28"/>
          <w:szCs w:val="28"/>
        </w:rPr>
        <w:t>«Строительство объекта «Центр специализированной медицинской помощи в г. Анадырь» (500,0 тыс. рублей) - между ГКУ «УКС ЧАО» и ИП Кабанов Е.О. заключен государственный контракт на межевание земельного участка под строительство объекта на сумму 14,0 тыс. рублей. В 2021 году Исполнитель не выполнил свои обязательства, в связи с непредставлением Администрацией городского округа Анадырь земельного участка под строительство объекта. Стороны пришли к соглашению о выполнении работ в 2022 году;</w:t>
      </w:r>
    </w:p>
    <w:p w:rsidR="00191861" w:rsidRPr="00467F9C" w:rsidRDefault="00191861" w:rsidP="00191861">
      <w:pPr>
        <w:ind w:firstLine="708"/>
        <w:jc w:val="both"/>
        <w:rPr>
          <w:sz w:val="28"/>
          <w:szCs w:val="28"/>
        </w:rPr>
      </w:pPr>
      <w:r w:rsidRPr="00467F9C">
        <w:rPr>
          <w:sz w:val="28"/>
          <w:szCs w:val="28"/>
        </w:rPr>
        <w:t>«Приобретение и установка модульного фельдшерско-акушерского пункта в с. Чуванское» (7 393,0 тыс. рублей) - составляющие модульного здания изготовлены Подрядчиком, однако, по причине кризиса в глобальной логистике в 2021 году груз не был доставлен в округ;</w:t>
      </w:r>
    </w:p>
    <w:p w:rsidR="00191861" w:rsidRPr="00467F9C" w:rsidRDefault="00191861" w:rsidP="00191861">
      <w:pPr>
        <w:ind w:firstLine="708"/>
        <w:jc w:val="both"/>
        <w:rPr>
          <w:sz w:val="28"/>
          <w:szCs w:val="28"/>
        </w:rPr>
      </w:pPr>
      <w:r w:rsidRPr="00467F9C">
        <w:rPr>
          <w:sz w:val="28"/>
          <w:szCs w:val="28"/>
        </w:rPr>
        <w:t xml:space="preserve">«Приобретение и установка пищеблока для </w:t>
      </w:r>
      <w:proofErr w:type="spellStart"/>
      <w:r w:rsidRPr="00467F9C">
        <w:rPr>
          <w:sz w:val="28"/>
          <w:szCs w:val="28"/>
        </w:rPr>
        <w:t>Билибинской</w:t>
      </w:r>
      <w:proofErr w:type="spellEnd"/>
      <w:r w:rsidRPr="00467F9C">
        <w:rPr>
          <w:sz w:val="28"/>
          <w:szCs w:val="28"/>
        </w:rPr>
        <w:t xml:space="preserve"> районной больницы (6 590,0 тыс. рублей) - между Государственным казенным учреждением «Управление капитального строительства Чукотского автономного округа»</w:t>
      </w:r>
      <w:r w:rsidRPr="00467F9C">
        <w:rPr>
          <w:rStyle w:val="ab"/>
          <w:sz w:val="28"/>
          <w:szCs w:val="28"/>
        </w:rPr>
        <w:footnoteReference w:id="92"/>
      </w:r>
      <w:r w:rsidRPr="00467F9C">
        <w:rPr>
          <w:sz w:val="28"/>
          <w:szCs w:val="28"/>
        </w:rPr>
        <w:t xml:space="preserve"> и ООО «</w:t>
      </w:r>
      <w:proofErr w:type="spellStart"/>
      <w:r w:rsidRPr="00467F9C">
        <w:rPr>
          <w:sz w:val="28"/>
          <w:szCs w:val="28"/>
        </w:rPr>
        <w:t>СтройПлатформа</w:t>
      </w:r>
      <w:proofErr w:type="spellEnd"/>
      <w:r w:rsidRPr="00467F9C">
        <w:rPr>
          <w:sz w:val="28"/>
          <w:szCs w:val="28"/>
        </w:rPr>
        <w:t xml:space="preserve">» заключен государственный контракт, по причине кризиса в глобальной логистике составляющие модульного здания пищеблока не были доставлены в округ, доставка планируется в июне 2022 года. </w:t>
      </w:r>
    </w:p>
    <w:p w:rsidR="00191861" w:rsidRPr="00467F9C" w:rsidRDefault="00191861" w:rsidP="00191861">
      <w:pPr>
        <w:spacing w:after="80"/>
        <w:ind w:firstLine="709"/>
        <w:jc w:val="both"/>
        <w:rPr>
          <w:sz w:val="28"/>
          <w:szCs w:val="28"/>
        </w:rPr>
      </w:pPr>
      <w:r w:rsidRPr="00467F9C">
        <w:rPr>
          <w:sz w:val="28"/>
          <w:szCs w:val="28"/>
        </w:rPr>
        <w:t xml:space="preserve">В 2021 году введены в эксплуатацию три объекта капитальных вложений: Участковая больница в </w:t>
      </w:r>
      <w:proofErr w:type="spellStart"/>
      <w:r w:rsidRPr="00467F9C">
        <w:rPr>
          <w:sz w:val="28"/>
          <w:szCs w:val="28"/>
        </w:rPr>
        <w:t>с.Омолон</w:t>
      </w:r>
      <w:proofErr w:type="spellEnd"/>
      <w:r w:rsidRPr="00467F9C">
        <w:rPr>
          <w:sz w:val="28"/>
          <w:szCs w:val="28"/>
        </w:rPr>
        <w:t xml:space="preserve"> и морги модульного исполнения в </w:t>
      </w:r>
      <w:proofErr w:type="spellStart"/>
      <w:r w:rsidRPr="00467F9C">
        <w:rPr>
          <w:sz w:val="28"/>
          <w:szCs w:val="28"/>
        </w:rPr>
        <w:t>с.Ваеги</w:t>
      </w:r>
      <w:proofErr w:type="spellEnd"/>
      <w:r w:rsidRPr="00467F9C">
        <w:rPr>
          <w:sz w:val="28"/>
          <w:szCs w:val="28"/>
        </w:rPr>
        <w:t xml:space="preserve"> и с. </w:t>
      </w:r>
      <w:proofErr w:type="spellStart"/>
      <w:r w:rsidRPr="00467F9C">
        <w:rPr>
          <w:sz w:val="28"/>
          <w:szCs w:val="28"/>
        </w:rPr>
        <w:t>Усть</w:t>
      </w:r>
      <w:proofErr w:type="spellEnd"/>
      <w:r w:rsidRPr="00467F9C">
        <w:rPr>
          <w:sz w:val="28"/>
          <w:szCs w:val="28"/>
        </w:rPr>
        <w:t>-Белая.</w:t>
      </w:r>
    </w:p>
    <w:p w:rsidR="00191861" w:rsidRPr="00467F9C" w:rsidRDefault="00191861" w:rsidP="00191861">
      <w:pPr>
        <w:tabs>
          <w:tab w:val="left" w:pos="709"/>
        </w:tabs>
        <w:spacing w:before="120"/>
        <w:ind w:firstLine="709"/>
        <w:jc w:val="both"/>
        <w:rPr>
          <w:sz w:val="28"/>
          <w:szCs w:val="28"/>
        </w:rPr>
      </w:pPr>
      <w:bookmarkStart w:id="45" w:name="_Hlk39435989"/>
      <w:r w:rsidRPr="00467F9C">
        <w:rPr>
          <w:b/>
          <w:sz w:val="28"/>
          <w:szCs w:val="28"/>
        </w:rPr>
        <w:t>Государственная программа «Социальная поддержка населения Чукотского автономного округа»</w:t>
      </w:r>
      <w:r w:rsidRPr="00467F9C">
        <w:rPr>
          <w:rStyle w:val="ab"/>
          <w:sz w:val="28"/>
          <w:szCs w:val="28"/>
        </w:rPr>
        <w:footnoteReference w:id="93"/>
      </w:r>
      <w:r w:rsidRPr="00467F9C">
        <w:rPr>
          <w:b/>
          <w:sz w:val="28"/>
          <w:szCs w:val="28"/>
        </w:rPr>
        <w:t xml:space="preserve"> </w:t>
      </w:r>
      <w:r w:rsidRPr="00467F9C">
        <w:rPr>
          <w:sz w:val="28"/>
          <w:szCs w:val="28"/>
        </w:rPr>
        <w:t>включает в себя пять подпрограмм. Ответственным исполнителем Государственной программы определен Департамент социальной политики, участников – 14.</w:t>
      </w:r>
    </w:p>
    <w:p w:rsidR="00191861" w:rsidRPr="00467F9C" w:rsidRDefault="00191861" w:rsidP="00191861">
      <w:pPr>
        <w:autoSpaceDE w:val="0"/>
        <w:autoSpaceDN w:val="0"/>
        <w:adjustRightInd w:val="0"/>
        <w:ind w:firstLine="709"/>
        <w:jc w:val="both"/>
        <w:rPr>
          <w:bCs/>
          <w:sz w:val="28"/>
          <w:szCs w:val="28"/>
        </w:rPr>
      </w:pPr>
      <w:r w:rsidRPr="00467F9C">
        <w:rPr>
          <w:sz w:val="28"/>
          <w:szCs w:val="28"/>
        </w:rPr>
        <w:lastRenderedPageBreak/>
        <w:t xml:space="preserve">Целью Государственной программы является </w:t>
      </w:r>
      <w:r w:rsidRPr="00467F9C">
        <w:rPr>
          <w:bCs/>
          <w:sz w:val="28"/>
          <w:szCs w:val="28"/>
        </w:rPr>
        <w:t>создание условий для роста благосостояния граждан – получателей мер социальной поддержки и повышение доступности социального обслуживания для населения.</w:t>
      </w:r>
    </w:p>
    <w:p w:rsidR="00191861" w:rsidRPr="00467F9C" w:rsidRDefault="00191861" w:rsidP="00191861">
      <w:pPr>
        <w:pStyle w:val="41"/>
        <w:rPr>
          <w:color w:val="auto"/>
        </w:rPr>
      </w:pPr>
      <w:r w:rsidRPr="00467F9C">
        <w:rPr>
          <w:color w:val="auto"/>
        </w:rPr>
        <w:t xml:space="preserve">В отчетном периоде на реализацию мероприятий Государственной программы направлено </w:t>
      </w:r>
      <w:r w:rsidRPr="00467F9C">
        <w:rPr>
          <w:bCs/>
          <w:color w:val="auto"/>
        </w:rPr>
        <w:t>2 386 336,7</w:t>
      </w:r>
      <w:r w:rsidRPr="00467F9C">
        <w:rPr>
          <w:b/>
          <w:bCs/>
          <w:color w:val="auto"/>
          <w:sz w:val="18"/>
          <w:szCs w:val="18"/>
        </w:rPr>
        <w:t xml:space="preserve"> </w:t>
      </w:r>
      <w:r w:rsidRPr="00467F9C">
        <w:rPr>
          <w:color w:val="auto"/>
        </w:rPr>
        <w:t>тыс. рублей или 97,2% от предусмотренных СБР ассигнований (2 454 449,7 тыс. рублей), исполнены мероприятия на 2 386</w:t>
      </w:r>
      <w:r w:rsidRPr="00467F9C">
        <w:rPr>
          <w:color w:val="auto"/>
          <w:lang w:val="en-US"/>
        </w:rPr>
        <w:t> </w:t>
      </w:r>
      <w:r w:rsidRPr="00467F9C">
        <w:rPr>
          <w:color w:val="auto"/>
        </w:rPr>
        <w:t xml:space="preserve">336,7 тыс. рублей (100,0% от полученного финансирования). </w:t>
      </w:r>
      <w:r w:rsidRPr="00467F9C">
        <w:rPr>
          <w:color w:val="auto"/>
        </w:rPr>
        <w:tab/>
      </w:r>
    </w:p>
    <w:p w:rsidR="00191861" w:rsidRPr="00467F9C" w:rsidRDefault="00191861" w:rsidP="00191861">
      <w:pPr>
        <w:pStyle w:val="41"/>
        <w:rPr>
          <w:rFonts w:eastAsia="Times New Roman"/>
          <w:color w:val="auto"/>
          <w:lang w:eastAsia="ru-RU"/>
        </w:rPr>
      </w:pPr>
      <w:r w:rsidRPr="00467F9C">
        <w:rPr>
          <w:color w:val="auto"/>
        </w:rPr>
        <w:t>На реализацию основного мероприятия «Р</w:t>
      </w:r>
      <w:r w:rsidRPr="00467F9C">
        <w:rPr>
          <w:rFonts w:eastAsia="Times New Roman"/>
          <w:color w:val="auto"/>
          <w:lang w:eastAsia="ru-RU"/>
        </w:rPr>
        <w:t>егиональный проект «Разработка и реализация программы системной поддержки и повышения качества жизни граждан старшего поколения («Старшее поколение»)» подпрограммы</w:t>
      </w:r>
      <w:r w:rsidRPr="00467F9C">
        <w:rPr>
          <w:color w:val="auto"/>
        </w:rPr>
        <w:t xml:space="preserve"> «Развитие инфраструктуры объектов социального обслуживания» </w:t>
      </w:r>
      <w:r w:rsidRPr="00467F9C">
        <w:rPr>
          <w:rFonts w:eastAsia="Times New Roman"/>
          <w:color w:val="auto"/>
          <w:lang w:eastAsia="ru-RU"/>
        </w:rPr>
        <w:t xml:space="preserve">предусмотрено финансовое обеспечение расходов в сумме 19 500,0 тыс. рублей </w:t>
      </w:r>
      <w:r w:rsidRPr="00467F9C">
        <w:rPr>
          <w:bCs/>
          <w:color w:val="auto"/>
        </w:rPr>
        <w:t xml:space="preserve">по подготовке проектной документации и выполнению инженерных изысканий в 2021 году </w:t>
      </w:r>
      <w:r w:rsidRPr="00467F9C">
        <w:rPr>
          <w:rFonts w:eastAsia="Times New Roman"/>
          <w:color w:val="auto"/>
          <w:lang w:eastAsia="ru-RU"/>
        </w:rPr>
        <w:t xml:space="preserve">на строительство объекта «Дом для граждан старшего возраста» в </w:t>
      </w:r>
      <w:proofErr w:type="spellStart"/>
      <w:r w:rsidRPr="00467F9C">
        <w:rPr>
          <w:rFonts w:eastAsia="Times New Roman"/>
          <w:color w:val="auto"/>
          <w:lang w:eastAsia="ru-RU"/>
        </w:rPr>
        <w:t>пгт</w:t>
      </w:r>
      <w:proofErr w:type="spellEnd"/>
      <w:r w:rsidRPr="00467F9C">
        <w:rPr>
          <w:rFonts w:eastAsia="Times New Roman"/>
          <w:color w:val="auto"/>
          <w:lang w:eastAsia="ru-RU"/>
        </w:rPr>
        <w:t xml:space="preserve">. </w:t>
      </w:r>
      <w:proofErr w:type="spellStart"/>
      <w:r w:rsidRPr="00467F9C">
        <w:rPr>
          <w:rFonts w:eastAsia="Times New Roman"/>
          <w:color w:val="auto"/>
          <w:lang w:eastAsia="ru-RU"/>
        </w:rPr>
        <w:t>Эгвекинот</w:t>
      </w:r>
      <w:proofErr w:type="spellEnd"/>
      <w:r w:rsidRPr="00467F9C">
        <w:rPr>
          <w:rFonts w:eastAsia="Times New Roman"/>
          <w:color w:val="auto"/>
          <w:lang w:eastAsia="ru-RU"/>
        </w:rPr>
        <w:t xml:space="preserve"> на 100 койко-мест по </w:t>
      </w:r>
      <w:r w:rsidRPr="00467F9C">
        <w:rPr>
          <w:bCs/>
          <w:color w:val="auto"/>
        </w:rPr>
        <w:t xml:space="preserve">государственному контракту, заключенному между ГКУ «УКС ЧАО» и НАО «Чукотская торговая компания» со сроком реализации до 31.12.2024. В отчетном периоде </w:t>
      </w:r>
      <w:r w:rsidRPr="00467F9C">
        <w:rPr>
          <w:rFonts w:eastAsia="Times New Roman"/>
          <w:color w:val="auto"/>
          <w:lang w:eastAsia="ru-RU"/>
        </w:rPr>
        <w:t>финансирование мероприятия не осуществлялось в связи</w:t>
      </w:r>
      <w:r w:rsidRPr="00467F9C">
        <w:rPr>
          <w:bCs/>
          <w:color w:val="auto"/>
        </w:rPr>
        <w:t xml:space="preserve"> с задержкой исполнения подрядчиком обязательств по контракту – не получено положительное заключение государственной экспертизы и положительное заключение о достоверности определения сметной стоимости объекта капитального строительства. </w:t>
      </w:r>
      <w:r w:rsidRPr="00467F9C">
        <w:rPr>
          <w:rFonts w:eastAsia="Calibri"/>
          <w:color w:val="auto"/>
        </w:rPr>
        <w:t>В</w:t>
      </w:r>
      <w:r w:rsidRPr="00467F9C">
        <w:rPr>
          <w:rFonts w:eastAsia="Times New Roman"/>
          <w:color w:val="auto"/>
          <w:lang w:eastAsia="ru-RU"/>
        </w:rPr>
        <w:t xml:space="preserve"> декабре 2021 года заключено дополнительное соглашение к Государственному контракту о продлении сроков проектирования и прохождения государственной экспертизы объекта. </w:t>
      </w:r>
    </w:p>
    <w:p w:rsidR="00191861" w:rsidRPr="00467F9C" w:rsidRDefault="00191861" w:rsidP="00191861">
      <w:pPr>
        <w:pStyle w:val="41"/>
        <w:rPr>
          <w:color w:val="auto"/>
          <w:sz w:val="16"/>
          <w:szCs w:val="16"/>
        </w:rPr>
      </w:pPr>
      <w:r w:rsidRPr="00467F9C">
        <w:rPr>
          <w:color w:val="auto"/>
        </w:rPr>
        <w:t xml:space="preserve"> </w:t>
      </w:r>
      <w:bookmarkEnd w:id="45"/>
    </w:p>
    <w:p w:rsidR="00191861" w:rsidRPr="00467F9C" w:rsidRDefault="00191861" w:rsidP="00191861">
      <w:pPr>
        <w:tabs>
          <w:tab w:val="left" w:pos="709"/>
        </w:tabs>
        <w:spacing w:before="120"/>
        <w:ind w:firstLine="709"/>
        <w:jc w:val="both"/>
        <w:rPr>
          <w:rFonts w:eastAsia="Calibri"/>
          <w:sz w:val="28"/>
          <w:szCs w:val="28"/>
          <w:highlight w:val="yellow"/>
        </w:rPr>
      </w:pPr>
      <w:r w:rsidRPr="00467F9C">
        <w:rPr>
          <w:rFonts w:eastAsia="Calibri"/>
          <w:b/>
          <w:sz w:val="28"/>
          <w:szCs w:val="28"/>
        </w:rPr>
        <w:t xml:space="preserve">Государственная программа «Стимулирование экономической активности населения </w:t>
      </w:r>
      <w:r w:rsidRPr="00467F9C">
        <w:rPr>
          <w:rFonts w:eastAsia="Calibri"/>
          <w:b/>
          <w:bCs/>
          <w:sz w:val="28"/>
          <w:szCs w:val="28"/>
        </w:rPr>
        <w:t>Чукотского автономного округа»</w:t>
      </w:r>
      <w:r w:rsidRPr="00467F9C">
        <w:rPr>
          <w:rStyle w:val="ab"/>
          <w:rFonts w:eastAsia="Calibri"/>
          <w:bCs/>
          <w:sz w:val="28"/>
          <w:szCs w:val="28"/>
        </w:rPr>
        <w:footnoteReference w:id="94"/>
      </w:r>
      <w:r w:rsidRPr="00467F9C">
        <w:rPr>
          <w:rFonts w:eastAsia="Calibri"/>
          <w:b/>
          <w:sz w:val="28"/>
          <w:szCs w:val="28"/>
        </w:rPr>
        <w:t xml:space="preserve"> </w:t>
      </w:r>
      <w:r w:rsidRPr="00467F9C">
        <w:rPr>
          <w:rFonts w:eastAsia="Calibri"/>
          <w:sz w:val="28"/>
          <w:szCs w:val="28"/>
        </w:rPr>
        <w:t xml:space="preserve">состоит из 11-ти подпрограмм, 8 из которых реализовывались в 2021 году, подпрограмма «Оказание содействия добровольному переселению в Чукотский автономный округ соотечественников, проживающих за рубежом» с утвержденными СБР бюджетными ассигнованиями в объеме 200,0 тыс. рублей в отчетном году не исполнялась. Ответственным исполнителем </w:t>
      </w:r>
      <w:r w:rsidRPr="00467F9C">
        <w:rPr>
          <w:sz w:val="28"/>
          <w:szCs w:val="28"/>
        </w:rPr>
        <w:t>Государственной программы</w:t>
      </w:r>
      <w:r w:rsidRPr="00467F9C">
        <w:rPr>
          <w:rFonts w:eastAsia="Calibri"/>
          <w:sz w:val="28"/>
          <w:szCs w:val="28"/>
        </w:rPr>
        <w:t xml:space="preserve"> определен Департамент социальной политики (до 09.02.2022г.), соисполнители– Департамент финансов и Аппарат Губернатора и Правительства, участников – 11. </w:t>
      </w:r>
    </w:p>
    <w:p w:rsidR="00191861" w:rsidRPr="00467F9C" w:rsidRDefault="00191861" w:rsidP="00191861">
      <w:pPr>
        <w:autoSpaceDE w:val="0"/>
        <w:autoSpaceDN w:val="0"/>
        <w:adjustRightInd w:val="0"/>
        <w:ind w:firstLine="708"/>
        <w:jc w:val="both"/>
        <w:rPr>
          <w:rFonts w:eastAsia="Calibri"/>
          <w:sz w:val="28"/>
          <w:szCs w:val="28"/>
        </w:rPr>
      </w:pPr>
      <w:r w:rsidRPr="00467F9C">
        <w:rPr>
          <w:rFonts w:eastAsia="Calibri"/>
          <w:sz w:val="28"/>
          <w:szCs w:val="28"/>
        </w:rPr>
        <w:t xml:space="preserve">Целями </w:t>
      </w:r>
      <w:r w:rsidRPr="00467F9C">
        <w:rPr>
          <w:sz w:val="28"/>
          <w:szCs w:val="28"/>
        </w:rPr>
        <w:t>Государственной программы</w:t>
      </w:r>
      <w:r w:rsidRPr="00467F9C">
        <w:rPr>
          <w:rFonts w:eastAsia="Calibri"/>
          <w:sz w:val="28"/>
          <w:szCs w:val="28"/>
        </w:rPr>
        <w:t xml:space="preserve"> является создание благоприятного предпринимательского климата и условий для ведения бизнеса; предотвращение роста уровня безработицы, напряженности на рынке труда и социальная поддержка безработных граждан; развитие трудовых ресурсов, повышение их мобильности; стимулирование социально ориентированной деятельности некоммерческих организаций; снижение уровней производственного травматизма и профессиональной заболеваемости; повышение уровня занятости инвалидов молодого возраста; обеспечение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w:t>
      </w:r>
      <w:r w:rsidRPr="00467F9C">
        <w:rPr>
          <w:rStyle w:val="ab"/>
          <w:rFonts w:eastAsia="Calibri"/>
          <w:sz w:val="28"/>
          <w:szCs w:val="28"/>
        </w:rPr>
        <w:footnoteReference w:id="95"/>
      </w:r>
      <w:r w:rsidRPr="00467F9C">
        <w:rPr>
          <w:rFonts w:eastAsia="Calibri"/>
          <w:sz w:val="28"/>
          <w:szCs w:val="28"/>
        </w:rPr>
        <w:t>.</w:t>
      </w:r>
    </w:p>
    <w:p w:rsidR="00191861" w:rsidRPr="00467F9C" w:rsidRDefault="00191861" w:rsidP="00191861">
      <w:pPr>
        <w:pStyle w:val="41"/>
        <w:ind w:right="0"/>
        <w:rPr>
          <w:rFonts w:eastAsia="Calibri"/>
          <w:color w:val="auto"/>
        </w:rPr>
      </w:pPr>
      <w:r w:rsidRPr="00467F9C">
        <w:rPr>
          <w:color w:val="auto"/>
        </w:rPr>
        <w:lastRenderedPageBreak/>
        <w:t xml:space="preserve">В отчетном периоде на реализацию мероприятий Государственной программы направлено </w:t>
      </w:r>
      <w:r w:rsidRPr="00467F9C">
        <w:rPr>
          <w:bCs/>
          <w:color w:val="auto"/>
        </w:rPr>
        <w:t>490 283,7</w:t>
      </w:r>
      <w:r w:rsidRPr="00467F9C">
        <w:rPr>
          <w:b/>
          <w:bCs/>
          <w:color w:val="auto"/>
          <w:sz w:val="18"/>
          <w:szCs w:val="18"/>
        </w:rPr>
        <w:t xml:space="preserve"> </w:t>
      </w:r>
      <w:r w:rsidRPr="00467F9C">
        <w:rPr>
          <w:color w:val="auto"/>
        </w:rPr>
        <w:t>тыс. рублей или 99,1% от предусмотренных СБР ассигнований (494 685,6 тыс. рублей), и</w:t>
      </w:r>
      <w:r w:rsidRPr="00467F9C">
        <w:rPr>
          <w:rFonts w:eastAsia="Calibri"/>
          <w:color w:val="auto"/>
        </w:rPr>
        <w:t>сполнение составило 476</w:t>
      </w:r>
      <w:r w:rsidRPr="00467F9C">
        <w:rPr>
          <w:rFonts w:eastAsia="Calibri"/>
          <w:color w:val="auto"/>
          <w:lang w:val="en-US"/>
        </w:rPr>
        <w:t> </w:t>
      </w:r>
      <w:r w:rsidRPr="00467F9C">
        <w:rPr>
          <w:rFonts w:eastAsia="Calibri"/>
          <w:color w:val="auto"/>
        </w:rPr>
        <w:t>496,2 тыс. рублей или 97,2% от полученного финансирования. Семь подпрограмм исполнены на уровне 95%-100 % от направленного финансирования.</w:t>
      </w:r>
    </w:p>
    <w:p w:rsidR="00191861" w:rsidRPr="00467F9C" w:rsidRDefault="00191861" w:rsidP="00191861">
      <w:pPr>
        <w:pStyle w:val="41"/>
        <w:ind w:right="0"/>
        <w:rPr>
          <w:rFonts w:eastAsia="Calibri"/>
          <w:color w:val="auto"/>
        </w:rPr>
      </w:pPr>
      <w:r w:rsidRPr="00467F9C">
        <w:rPr>
          <w:rFonts w:eastAsia="Calibri"/>
          <w:color w:val="auto"/>
        </w:rPr>
        <w:t xml:space="preserve">По состоянию на 1 января 2022 года неиспользованные средства предоставленных в рамках реализации мероприятий Госпрограммы грантов и субсидий составили 13 542,7 тыс. рублей. </w:t>
      </w:r>
      <w:r w:rsidRPr="00467F9C">
        <w:rPr>
          <w:color w:val="auto"/>
        </w:rPr>
        <w:t>Реализация мероприятий за счет остатков грантов, субсидий, не использованных в 2021 году, будет продолжена в 2022 году.</w:t>
      </w:r>
    </w:p>
    <w:p w:rsidR="00191861" w:rsidRPr="00467F9C" w:rsidRDefault="00191861" w:rsidP="00191861">
      <w:pPr>
        <w:tabs>
          <w:tab w:val="left" w:pos="709"/>
        </w:tabs>
        <w:autoSpaceDE w:val="0"/>
        <w:autoSpaceDN w:val="0"/>
        <w:adjustRightInd w:val="0"/>
        <w:ind w:firstLine="709"/>
        <w:jc w:val="both"/>
        <w:rPr>
          <w:rFonts w:eastAsia="Calibri"/>
          <w:sz w:val="16"/>
          <w:szCs w:val="16"/>
          <w:highlight w:val="yellow"/>
        </w:rPr>
      </w:pPr>
    </w:p>
    <w:p w:rsidR="00191861" w:rsidRPr="00467F9C" w:rsidRDefault="00191861" w:rsidP="00191861">
      <w:pPr>
        <w:ind w:firstLine="709"/>
        <w:contextualSpacing/>
        <w:jc w:val="both"/>
        <w:rPr>
          <w:sz w:val="28"/>
          <w:szCs w:val="28"/>
        </w:rPr>
      </w:pPr>
      <w:r w:rsidRPr="00467F9C">
        <w:rPr>
          <w:b/>
          <w:sz w:val="28"/>
          <w:szCs w:val="28"/>
        </w:rPr>
        <w:t>Государственная программа «Развитие культуры спорта и туризма Чукотского автономного округа»</w:t>
      </w:r>
      <w:r w:rsidRPr="00467F9C">
        <w:rPr>
          <w:rStyle w:val="ab"/>
          <w:sz w:val="28"/>
          <w:szCs w:val="28"/>
        </w:rPr>
        <w:footnoteReference w:id="96"/>
      </w:r>
      <w:r w:rsidRPr="00467F9C">
        <w:rPr>
          <w:b/>
          <w:sz w:val="28"/>
          <w:szCs w:val="28"/>
        </w:rPr>
        <w:t xml:space="preserve"> </w:t>
      </w:r>
      <w:r w:rsidRPr="00467F9C">
        <w:rPr>
          <w:sz w:val="28"/>
          <w:szCs w:val="28"/>
        </w:rPr>
        <w:t xml:space="preserve">включает в себя 10 подпрограмм. Ответственным исполнителем Государственной программы является Департамент культуры, соисполнители – Департамент промышленной политики и Комитет по охране объектов культурного наследия Чукотского автономного округа, участников – 10. </w:t>
      </w:r>
    </w:p>
    <w:p w:rsidR="00191861" w:rsidRPr="00467F9C" w:rsidRDefault="00191861" w:rsidP="00191861">
      <w:pPr>
        <w:autoSpaceDE w:val="0"/>
        <w:autoSpaceDN w:val="0"/>
        <w:adjustRightInd w:val="0"/>
        <w:ind w:firstLine="708"/>
        <w:jc w:val="both"/>
        <w:rPr>
          <w:sz w:val="28"/>
          <w:szCs w:val="28"/>
        </w:rPr>
      </w:pPr>
      <w:r w:rsidRPr="00467F9C">
        <w:rPr>
          <w:sz w:val="28"/>
          <w:szCs w:val="28"/>
        </w:rPr>
        <w:t>Основными целями Государственной программы являются: поддержание необходимых условий для сохранения единого культурного пространства Российской Федерации и развития межнациональных отношений; создание условий по развитию творческого потенциала и активности детей и молодежи Чукотского автономного округа; поддержка лучших проектов творческой направленности; создание необходимых условий для сохранения историко-культурного наследия народов Чукотского автономного округа; осуществление государственного регулирования в сфере физической культуры, спорта, организация туризма на территории Чукотского автономного округа; увеличение числа населения Чукотского автономного округа, занимающегося физической культурой и спортом; обеспечение прав граждан на доступ к культурным ценностям; модернизация материально-технической базы физической культуры и спорта; развитие социальной инфраструктуры за счет реконструкции, строительства новых объектов культуры и спорта.</w:t>
      </w:r>
    </w:p>
    <w:p w:rsidR="00191861" w:rsidRPr="00467F9C" w:rsidRDefault="00191861" w:rsidP="00191861">
      <w:pPr>
        <w:pStyle w:val="41"/>
        <w:rPr>
          <w:color w:val="auto"/>
        </w:rPr>
      </w:pPr>
      <w:r w:rsidRPr="00467F9C">
        <w:rPr>
          <w:color w:val="auto"/>
        </w:rPr>
        <w:t>В отчетном периоде на реализацию мероприятий Государственной программы направлено 972 658,9</w:t>
      </w:r>
      <w:r w:rsidRPr="00467F9C">
        <w:rPr>
          <w:b/>
          <w:color w:val="auto"/>
          <w:sz w:val="18"/>
          <w:szCs w:val="18"/>
        </w:rPr>
        <w:t xml:space="preserve"> </w:t>
      </w:r>
      <w:r w:rsidRPr="00467F9C">
        <w:rPr>
          <w:color w:val="auto"/>
        </w:rPr>
        <w:t>тыс. рублей или 96,2% от предусмотренных СБР ассигнований (1 011 186,9 тыс. рублей), из них 201 390,1 тыс. рублей направлено в виде авансовых платежей по государственным (муниципальным) контрактом.</w:t>
      </w:r>
    </w:p>
    <w:p w:rsidR="00191861" w:rsidRPr="00467F9C" w:rsidRDefault="00191861" w:rsidP="00191861">
      <w:pPr>
        <w:tabs>
          <w:tab w:val="left" w:pos="709"/>
        </w:tabs>
        <w:ind w:firstLine="709"/>
        <w:jc w:val="both"/>
        <w:rPr>
          <w:rFonts w:eastAsia="Calibri"/>
          <w:sz w:val="28"/>
          <w:szCs w:val="28"/>
        </w:rPr>
      </w:pPr>
      <w:r w:rsidRPr="00467F9C">
        <w:rPr>
          <w:rFonts w:eastAsia="Calibri"/>
          <w:sz w:val="28"/>
          <w:szCs w:val="28"/>
        </w:rPr>
        <w:t xml:space="preserve">Фактическое выполнение в отчетном периоде мероприятий Государственной программы составило 694 537,2 тыс. рублей или 71,4 </w:t>
      </w:r>
      <w:r w:rsidRPr="00467F9C">
        <w:rPr>
          <w:sz w:val="28"/>
          <w:szCs w:val="28"/>
        </w:rPr>
        <w:t xml:space="preserve">% от полученного финансирования на ее реализацию. </w:t>
      </w:r>
      <w:r w:rsidRPr="00467F9C">
        <w:rPr>
          <w:rFonts w:eastAsia="Calibri"/>
          <w:sz w:val="28"/>
          <w:szCs w:val="28"/>
        </w:rPr>
        <w:t>Восемь из десяти подпрограмм исполнены на уровне 99,1-100 %.</w:t>
      </w:r>
    </w:p>
    <w:p w:rsidR="00191861" w:rsidRPr="00467F9C" w:rsidRDefault="00191861" w:rsidP="00191861">
      <w:pPr>
        <w:tabs>
          <w:tab w:val="left" w:pos="709"/>
        </w:tabs>
        <w:ind w:firstLine="709"/>
        <w:jc w:val="both"/>
        <w:rPr>
          <w:rFonts w:eastAsia="Calibri"/>
          <w:sz w:val="28"/>
          <w:szCs w:val="28"/>
        </w:rPr>
      </w:pPr>
      <w:r w:rsidRPr="00467F9C">
        <w:rPr>
          <w:rFonts w:eastAsia="Calibri"/>
          <w:sz w:val="28"/>
          <w:szCs w:val="28"/>
        </w:rPr>
        <w:t>По состоянию на 1 января 2022 года неиспользованные средства предоставленных в рамках реализации мероприятий Госпрограммы грантов и субсидий составили 75 636,0 тыс. рублей.</w:t>
      </w:r>
    </w:p>
    <w:p w:rsidR="00191861" w:rsidRPr="00467F9C" w:rsidRDefault="00191861" w:rsidP="00191861">
      <w:pPr>
        <w:tabs>
          <w:tab w:val="left" w:pos="709"/>
        </w:tabs>
        <w:ind w:firstLine="709"/>
        <w:jc w:val="both"/>
        <w:rPr>
          <w:sz w:val="28"/>
          <w:szCs w:val="28"/>
        </w:rPr>
      </w:pPr>
      <w:r w:rsidRPr="00467F9C">
        <w:rPr>
          <w:sz w:val="28"/>
          <w:szCs w:val="28"/>
        </w:rPr>
        <w:t xml:space="preserve">Подпрограмма «Развитие социальной инфраструктуры» фактически исполнена на 114 554,0 тыс. рублей или 32,1 % от направленных на её реализацию </w:t>
      </w:r>
      <w:r w:rsidRPr="00467F9C">
        <w:rPr>
          <w:sz w:val="28"/>
          <w:szCs w:val="28"/>
        </w:rPr>
        <w:lastRenderedPageBreak/>
        <w:t xml:space="preserve">бюджетных ассигнований (356 835,3 тыс. рублей) по причине низкого выполнения следующих мероприятий: </w:t>
      </w:r>
    </w:p>
    <w:p w:rsidR="00191861" w:rsidRPr="00467F9C" w:rsidRDefault="00191861" w:rsidP="00191861">
      <w:pPr>
        <w:widowControl w:val="0"/>
        <w:ind w:firstLine="709"/>
        <w:jc w:val="both"/>
        <w:rPr>
          <w:sz w:val="28"/>
          <w:szCs w:val="28"/>
        </w:rPr>
      </w:pPr>
      <w:r w:rsidRPr="00467F9C">
        <w:rPr>
          <w:sz w:val="28"/>
          <w:szCs w:val="28"/>
        </w:rPr>
        <w:t xml:space="preserve">- в рамках </w:t>
      </w:r>
      <w:r w:rsidRPr="00467F9C">
        <w:rPr>
          <w:bCs/>
          <w:iCs/>
          <w:sz w:val="28"/>
          <w:szCs w:val="28"/>
        </w:rPr>
        <w:t>мероприятия «Субсидии на выполнение ремонтных работ в муниципальных учреждениях культуры и спорта»</w:t>
      </w:r>
      <w:r w:rsidRPr="00467F9C">
        <w:rPr>
          <w:sz w:val="28"/>
          <w:szCs w:val="28"/>
        </w:rPr>
        <w:t xml:space="preserve"> фактическое выполнение составило 58 269,9 тыс. рублей или 50,9% от направленного финансирования (114 498,6 тыс. рублей) в связи с неполным выполнением (или невыполнением) запланированных ремонтных работ в </w:t>
      </w:r>
      <w:proofErr w:type="spellStart"/>
      <w:r w:rsidRPr="00467F9C">
        <w:rPr>
          <w:sz w:val="28"/>
          <w:szCs w:val="28"/>
        </w:rPr>
        <w:t>Певекской</w:t>
      </w:r>
      <w:proofErr w:type="spellEnd"/>
      <w:r w:rsidRPr="00467F9C">
        <w:rPr>
          <w:sz w:val="28"/>
          <w:szCs w:val="28"/>
        </w:rPr>
        <w:t xml:space="preserve"> библиотеке, Центре культуры и досуга </w:t>
      </w:r>
      <w:proofErr w:type="spellStart"/>
      <w:r w:rsidRPr="00467F9C">
        <w:rPr>
          <w:sz w:val="28"/>
          <w:szCs w:val="28"/>
        </w:rPr>
        <w:t>Провиденского</w:t>
      </w:r>
      <w:proofErr w:type="spellEnd"/>
      <w:r w:rsidRPr="00467F9C">
        <w:rPr>
          <w:sz w:val="28"/>
          <w:szCs w:val="28"/>
        </w:rPr>
        <w:t xml:space="preserve"> городского округа (капитальный ремонт), Музее </w:t>
      </w:r>
      <w:proofErr w:type="spellStart"/>
      <w:r w:rsidRPr="00467F9C">
        <w:rPr>
          <w:sz w:val="28"/>
          <w:szCs w:val="28"/>
        </w:rPr>
        <w:t>Берингийского</w:t>
      </w:r>
      <w:proofErr w:type="spellEnd"/>
      <w:r w:rsidRPr="00467F9C">
        <w:rPr>
          <w:sz w:val="28"/>
          <w:szCs w:val="28"/>
        </w:rPr>
        <w:t xml:space="preserve"> наследия (капитальный ремонт) и Дома культуры с. Ванкарем;   </w:t>
      </w:r>
    </w:p>
    <w:p w:rsidR="00191861" w:rsidRPr="00467F9C" w:rsidRDefault="00191861" w:rsidP="00191861">
      <w:pPr>
        <w:widowControl w:val="0"/>
        <w:ind w:firstLine="709"/>
        <w:jc w:val="both"/>
        <w:rPr>
          <w:sz w:val="28"/>
          <w:szCs w:val="28"/>
        </w:rPr>
      </w:pPr>
      <w:r w:rsidRPr="00467F9C">
        <w:rPr>
          <w:sz w:val="28"/>
          <w:szCs w:val="28"/>
        </w:rPr>
        <w:t xml:space="preserve">- по мероприятию </w:t>
      </w:r>
      <w:r w:rsidRPr="00467F9C">
        <w:rPr>
          <w:bCs/>
          <w:iCs/>
          <w:sz w:val="28"/>
          <w:szCs w:val="28"/>
        </w:rPr>
        <w:t>«Приобретение и установка модульного здания: «Центр культуры и досуга в с. Новое Чаплино»</w:t>
      </w:r>
      <w:r w:rsidRPr="00467F9C">
        <w:rPr>
          <w:sz w:val="28"/>
          <w:szCs w:val="28"/>
        </w:rPr>
        <w:t xml:space="preserve"> - подрядчику оплачен аванс по муниципальному контракту в размере 13 717,8 тыс. рублей. Срок выполнения работ - до 30.07.2022 года. Груз доставлен в с. Новое Чаплино;</w:t>
      </w:r>
    </w:p>
    <w:p w:rsidR="00191861" w:rsidRPr="00467F9C" w:rsidRDefault="00191861" w:rsidP="00191861">
      <w:pPr>
        <w:pStyle w:val="Style3"/>
        <w:widowControl/>
        <w:spacing w:line="240" w:lineRule="auto"/>
        <w:ind w:right="50" w:firstLine="720"/>
        <w:rPr>
          <w:sz w:val="28"/>
          <w:szCs w:val="28"/>
        </w:rPr>
      </w:pPr>
      <w:r w:rsidRPr="00467F9C">
        <w:rPr>
          <w:sz w:val="28"/>
          <w:szCs w:val="28"/>
        </w:rPr>
        <w:t xml:space="preserve">- по мероприятию </w:t>
      </w:r>
      <w:r w:rsidRPr="00467F9C">
        <w:rPr>
          <w:bCs/>
          <w:iCs/>
          <w:sz w:val="28"/>
          <w:szCs w:val="28"/>
        </w:rPr>
        <w:t xml:space="preserve">«Строительство объекта «Центр культурного развития в г. </w:t>
      </w:r>
      <w:proofErr w:type="spellStart"/>
      <w:r w:rsidRPr="00467F9C">
        <w:rPr>
          <w:bCs/>
          <w:iCs/>
          <w:sz w:val="28"/>
          <w:szCs w:val="28"/>
        </w:rPr>
        <w:t>Певек</w:t>
      </w:r>
      <w:proofErr w:type="spellEnd"/>
      <w:r w:rsidRPr="00467F9C">
        <w:rPr>
          <w:bCs/>
          <w:iCs/>
          <w:sz w:val="28"/>
          <w:szCs w:val="28"/>
        </w:rPr>
        <w:t xml:space="preserve">» </w:t>
      </w:r>
      <w:r w:rsidRPr="00467F9C">
        <w:rPr>
          <w:sz w:val="28"/>
          <w:szCs w:val="28"/>
        </w:rPr>
        <w:t>- перечислен аванс в размере 172 334,8 тыс. рублей НАО «Чукотская торговая компания» на выполнение работ по подготовке проектной документации, строительству и вводу в эксплуатацию объекта, цена контракта - 586 506,1 тыс. рублей. Срок выполнения работ по подготовке проектной документации и прохождение государственной экспертизы – 20.12.2021г. Окончание выполнения работ по строительству объекта - до 30.12.2023г. В 2021 году подрядчик не выполнил проектно-изыскательские работы по причине корректировки технических условий, выданных Муниципальным предприятием «</w:t>
      </w:r>
      <w:proofErr w:type="spellStart"/>
      <w:r w:rsidRPr="00467F9C">
        <w:rPr>
          <w:sz w:val="28"/>
          <w:szCs w:val="28"/>
        </w:rPr>
        <w:t>Чаунское</w:t>
      </w:r>
      <w:proofErr w:type="spellEnd"/>
      <w:r w:rsidRPr="00467F9C">
        <w:rPr>
          <w:sz w:val="28"/>
          <w:szCs w:val="28"/>
        </w:rPr>
        <w:t xml:space="preserve"> районное коммунальное хозяйство», в связи с уточнением точки подключения объекта к сетям инженерно-технического обеспечения и необходимостью внесения соответствующих изменений в градостроительный план земельного участка, выданный Администрацией городского округа </w:t>
      </w:r>
      <w:proofErr w:type="spellStart"/>
      <w:r w:rsidRPr="00467F9C">
        <w:rPr>
          <w:sz w:val="28"/>
          <w:szCs w:val="28"/>
        </w:rPr>
        <w:t>Певек</w:t>
      </w:r>
      <w:proofErr w:type="spellEnd"/>
      <w:r w:rsidRPr="00467F9C">
        <w:rPr>
          <w:sz w:val="28"/>
          <w:szCs w:val="28"/>
        </w:rPr>
        <w:t>.</w:t>
      </w:r>
    </w:p>
    <w:p w:rsidR="00191861" w:rsidRPr="00467F9C" w:rsidRDefault="00191861" w:rsidP="00191861">
      <w:pPr>
        <w:widowControl w:val="0"/>
        <w:shd w:val="clear" w:color="auto" w:fill="FFFFFF"/>
        <w:ind w:firstLine="709"/>
        <w:jc w:val="both"/>
        <w:rPr>
          <w:strike/>
          <w:sz w:val="28"/>
          <w:szCs w:val="28"/>
        </w:rPr>
      </w:pPr>
      <w:r w:rsidRPr="00467F9C">
        <w:rPr>
          <w:sz w:val="28"/>
          <w:szCs w:val="28"/>
        </w:rPr>
        <w:t xml:space="preserve">Подпрограмма «Обеспечение государственных гарантий и развитие современной инфраструктуры культуры, спорта и туризма» фактически исполнена на 59 516,1 тыс. рублей или 62,6 % от направленных на её реализацию бюджетных ассигнований (95 129,2 тыс. рублей) за счет низкого выполнения мероприятия </w:t>
      </w:r>
      <w:r w:rsidRPr="00467F9C">
        <w:rPr>
          <w:bCs/>
          <w:iCs/>
          <w:sz w:val="28"/>
          <w:szCs w:val="28"/>
        </w:rPr>
        <w:t>«Модернизация и благоустройство территории горнолыжного комплекса «Гора Михаила»</w:t>
      </w:r>
      <w:r w:rsidRPr="00467F9C">
        <w:rPr>
          <w:sz w:val="28"/>
          <w:szCs w:val="28"/>
        </w:rPr>
        <w:t xml:space="preserve"> (9 145,6 тыс. рублей или 20,8% от направленного финансирования - 43 890,5 тыс. рублей). Денежные средства предусмотрены Государственному автономному образовательному учреждению дополнительного образования Чукотского автономного округа «Окружная детско-юношеская спортивная школа». На сумму 9 145,6 тыс. рублей приобретены и поставлены товарно-материальные ценности, на сумму 15 337,5 тыс. рублей – произведено авансирование по договорам на оказание услуг по проведению ремонтных работ и по проведению общестроительных и иных работ. </w:t>
      </w:r>
    </w:p>
    <w:p w:rsidR="00191861" w:rsidRPr="00467F9C" w:rsidRDefault="00191861" w:rsidP="00191861">
      <w:pPr>
        <w:widowControl w:val="0"/>
        <w:shd w:val="clear" w:color="auto" w:fill="FFFFFF"/>
        <w:ind w:firstLine="709"/>
        <w:jc w:val="both"/>
        <w:rPr>
          <w:sz w:val="28"/>
          <w:szCs w:val="28"/>
        </w:rPr>
      </w:pPr>
      <w:r w:rsidRPr="00467F9C">
        <w:rPr>
          <w:sz w:val="28"/>
          <w:szCs w:val="28"/>
        </w:rPr>
        <w:t xml:space="preserve">В отчетном периоде закончен строительством и передан в собственность городского округа </w:t>
      </w:r>
      <w:proofErr w:type="spellStart"/>
      <w:r w:rsidRPr="00467F9C">
        <w:rPr>
          <w:sz w:val="28"/>
          <w:szCs w:val="28"/>
        </w:rPr>
        <w:t>Певек</w:t>
      </w:r>
      <w:proofErr w:type="spellEnd"/>
      <w:r w:rsidRPr="00467F9C">
        <w:rPr>
          <w:sz w:val="28"/>
          <w:szCs w:val="28"/>
        </w:rPr>
        <w:t xml:space="preserve"> Чукотского автономного округа объект «Многофункциональная спортивная площадка с искусственным покрытием в </w:t>
      </w:r>
      <w:proofErr w:type="spellStart"/>
      <w:r w:rsidRPr="00467F9C">
        <w:rPr>
          <w:sz w:val="28"/>
          <w:szCs w:val="28"/>
        </w:rPr>
        <w:t>г.Певек</w:t>
      </w:r>
      <w:proofErr w:type="spellEnd"/>
      <w:r w:rsidRPr="00467F9C">
        <w:rPr>
          <w:sz w:val="28"/>
          <w:szCs w:val="28"/>
        </w:rPr>
        <w:t>» балансовой стоимостью 45 110,9 тыс. рублей.</w:t>
      </w:r>
    </w:p>
    <w:p w:rsidR="00191861" w:rsidRPr="00467F9C" w:rsidRDefault="00191861" w:rsidP="00191861">
      <w:pPr>
        <w:widowControl w:val="0"/>
        <w:shd w:val="clear" w:color="auto" w:fill="FFFFFF"/>
        <w:ind w:firstLine="709"/>
        <w:jc w:val="both"/>
        <w:rPr>
          <w:sz w:val="28"/>
          <w:szCs w:val="28"/>
        </w:rPr>
      </w:pPr>
      <w:r w:rsidRPr="00467F9C">
        <w:rPr>
          <w:sz w:val="28"/>
          <w:szCs w:val="28"/>
        </w:rPr>
        <w:t xml:space="preserve">По состоянию на 1 января 2022 года в рамках мероприятий Госпрограммы реализуются четыре инвестиционных проекта с общей сметной стоимостью </w:t>
      </w:r>
      <w:r w:rsidRPr="00467F9C">
        <w:rPr>
          <w:sz w:val="28"/>
          <w:szCs w:val="28"/>
        </w:rPr>
        <w:lastRenderedPageBreak/>
        <w:t>66 077,3 тыс. рублей: строительство Дома культуры в с. Канчалан (в 2021 году работы не выполнялись), строительство многофункциональной спортивной площадки с искусственным покрытием в г. Билибино (в 2021 году работы по объекту выполнены на общую сумму 53 593,8 тыс. рублей. Готовность объекта составляет 96,6%), строительство физкультурно-оздоровительного комплекса в г. Анадырь (финансовое обеспечение проекта приостановлено) и строительство физкультурно-оздоровительного комплекса с залом единоборств в г. Анадырь (финансовое обеспечение проекта приостановлено).</w:t>
      </w:r>
    </w:p>
    <w:p w:rsidR="00191861" w:rsidRPr="00467F9C" w:rsidRDefault="00191861" w:rsidP="00191861">
      <w:pPr>
        <w:tabs>
          <w:tab w:val="left" w:pos="709"/>
        </w:tabs>
        <w:spacing w:before="120"/>
        <w:ind w:firstLine="709"/>
        <w:jc w:val="both"/>
        <w:rPr>
          <w:sz w:val="28"/>
          <w:szCs w:val="28"/>
        </w:rPr>
      </w:pPr>
      <w:r w:rsidRPr="00467F9C">
        <w:rPr>
          <w:b/>
          <w:sz w:val="28"/>
          <w:szCs w:val="28"/>
        </w:rPr>
        <w:t>Государственная программа «Развитие агропромышленного комплекса Чукотского автономного округа»</w:t>
      </w:r>
      <w:r w:rsidRPr="00467F9C">
        <w:rPr>
          <w:rStyle w:val="ab"/>
          <w:sz w:val="28"/>
          <w:szCs w:val="28"/>
        </w:rPr>
        <w:footnoteReference w:id="97"/>
      </w:r>
      <w:r w:rsidRPr="00467F9C">
        <w:rPr>
          <w:b/>
          <w:sz w:val="28"/>
          <w:szCs w:val="28"/>
        </w:rPr>
        <w:t xml:space="preserve"> </w:t>
      </w:r>
      <w:r w:rsidRPr="00467F9C">
        <w:rPr>
          <w:rFonts w:eastAsia="Calibri"/>
          <w:sz w:val="28"/>
          <w:szCs w:val="28"/>
        </w:rPr>
        <w:t>состоит из 11-ти подпрограмм</w:t>
      </w:r>
      <w:r w:rsidRPr="00467F9C">
        <w:rPr>
          <w:sz w:val="28"/>
          <w:szCs w:val="28"/>
        </w:rPr>
        <w:t>. Ответственным исполнителем Государственной программы является Департамент сельского хозяйства, участники – Государственное бюджетное учреждение Чукотского автономного округа «Окружное объединение ветеринарии» и Государственное казенное учреждение «Управление капитального строительства Чукотского автономного округа».</w:t>
      </w:r>
    </w:p>
    <w:p w:rsidR="00191861" w:rsidRPr="00467F9C" w:rsidRDefault="00191861" w:rsidP="00191861">
      <w:pPr>
        <w:tabs>
          <w:tab w:val="left" w:pos="709"/>
          <w:tab w:val="left" w:pos="851"/>
        </w:tabs>
        <w:autoSpaceDE w:val="0"/>
        <w:autoSpaceDN w:val="0"/>
        <w:adjustRightInd w:val="0"/>
        <w:ind w:firstLine="709"/>
        <w:jc w:val="both"/>
        <w:rPr>
          <w:sz w:val="28"/>
          <w:szCs w:val="28"/>
        </w:rPr>
      </w:pPr>
      <w:r w:rsidRPr="00467F9C">
        <w:rPr>
          <w:sz w:val="28"/>
          <w:szCs w:val="28"/>
        </w:rPr>
        <w:t>Целью Государственной программы является обеспечение внутренней продовольственной безопасности на основе устойчивого развития агропромышленного комплекса Чукотского автономного округа и улучшения условий проживания граждан в сельской местности.</w:t>
      </w:r>
    </w:p>
    <w:p w:rsidR="00191861" w:rsidRPr="00467F9C" w:rsidRDefault="00191861" w:rsidP="00191861">
      <w:pPr>
        <w:tabs>
          <w:tab w:val="left" w:pos="709"/>
        </w:tabs>
        <w:ind w:firstLine="709"/>
        <w:jc w:val="both"/>
        <w:rPr>
          <w:sz w:val="28"/>
          <w:szCs w:val="28"/>
        </w:rPr>
      </w:pPr>
      <w:r w:rsidRPr="00467F9C">
        <w:rPr>
          <w:sz w:val="28"/>
          <w:szCs w:val="28"/>
        </w:rPr>
        <w:t>В отчетном периоде на реализацию мероприятий Государственной программы направлено 3 043 967,8</w:t>
      </w:r>
      <w:r w:rsidRPr="00467F9C">
        <w:rPr>
          <w:b/>
          <w:sz w:val="28"/>
          <w:szCs w:val="28"/>
        </w:rPr>
        <w:t xml:space="preserve"> </w:t>
      </w:r>
      <w:r w:rsidRPr="00467F9C">
        <w:rPr>
          <w:sz w:val="28"/>
          <w:szCs w:val="28"/>
        </w:rPr>
        <w:t xml:space="preserve">тыс. рублей или 99,5% от предусмотренных СБР ассигнований (3 060 742,7 тыс. рублей), в том числе на погашение задолженности по мероприятиям за 2020 год направлено 70 465,8 тыс. рублей. </w:t>
      </w:r>
      <w:r w:rsidRPr="00467F9C">
        <w:rPr>
          <w:rFonts w:eastAsia="Calibri"/>
          <w:sz w:val="28"/>
          <w:szCs w:val="28"/>
        </w:rPr>
        <w:t>Исполнение в отчетном периоде мероприятий Государственной программы составило 2 925 709,0 тыс. рублей (из них на сумму 85 480,9 тыс. рублей исполнены мероприятия, на реализацию которых были направлены средства в 2020 году) или 96,1</w:t>
      </w:r>
      <w:r w:rsidRPr="00467F9C">
        <w:rPr>
          <w:sz w:val="28"/>
          <w:szCs w:val="28"/>
        </w:rPr>
        <w:t xml:space="preserve"> % от направленного на ее реализацию финансирования. </w:t>
      </w:r>
    </w:p>
    <w:p w:rsidR="00191861" w:rsidRPr="00467F9C" w:rsidRDefault="00191861" w:rsidP="00191861">
      <w:pPr>
        <w:tabs>
          <w:tab w:val="left" w:pos="709"/>
        </w:tabs>
        <w:ind w:firstLine="709"/>
        <w:jc w:val="both"/>
        <w:rPr>
          <w:rFonts w:eastAsia="Calibri"/>
          <w:sz w:val="28"/>
          <w:szCs w:val="28"/>
        </w:rPr>
      </w:pPr>
      <w:r w:rsidRPr="00467F9C">
        <w:rPr>
          <w:rFonts w:eastAsia="Calibri"/>
          <w:sz w:val="28"/>
          <w:szCs w:val="28"/>
        </w:rPr>
        <w:t xml:space="preserve">По состоянию на 01.01.2022г. неиспользованные средства предоставленных в рамках реализации мероприятий Госпрограммы грантов и субсидий составили </w:t>
      </w:r>
      <w:r w:rsidRPr="00467F9C">
        <w:rPr>
          <w:sz w:val="28"/>
          <w:szCs w:val="28"/>
        </w:rPr>
        <w:t>125 330,3 тыс. рублей</w:t>
      </w:r>
      <w:r w:rsidRPr="00467F9C">
        <w:rPr>
          <w:rFonts w:eastAsia="Calibri"/>
          <w:sz w:val="28"/>
          <w:szCs w:val="28"/>
        </w:rPr>
        <w:t>.</w:t>
      </w:r>
    </w:p>
    <w:p w:rsidR="00191861" w:rsidRPr="00467F9C" w:rsidRDefault="00191861" w:rsidP="00191861">
      <w:pPr>
        <w:pStyle w:val="41"/>
        <w:rPr>
          <w:color w:val="auto"/>
        </w:rPr>
      </w:pPr>
      <w:r w:rsidRPr="00467F9C">
        <w:rPr>
          <w:color w:val="auto"/>
        </w:rPr>
        <w:t>Две подпрограммы Госпрограммы исполнены в объеме 100% от направленного финансирования.</w:t>
      </w:r>
    </w:p>
    <w:p w:rsidR="00191861" w:rsidRPr="00A142E0" w:rsidRDefault="00191861" w:rsidP="00191861">
      <w:pPr>
        <w:widowControl w:val="0"/>
        <w:ind w:firstLine="709"/>
        <w:jc w:val="both"/>
        <w:rPr>
          <w:sz w:val="28"/>
          <w:szCs w:val="28"/>
        </w:rPr>
      </w:pPr>
      <w:r w:rsidRPr="00467F9C">
        <w:rPr>
          <w:sz w:val="28"/>
          <w:szCs w:val="28"/>
        </w:rPr>
        <w:t xml:space="preserve">Фактическое выполнение мероприятий подпрограммы «Развитие отрасли животноводства, переработки и реализации продукции животноводства» составило 1 379 445,7 тыс. рублей или 95,1% от направленного на её реализацию финансирования (1 450 837,2 тыс. рублей). При этом, на уровне 37,7-86,5% выполнены 5 мероприятий подпрограммы, на реализацию которых из окружного </w:t>
      </w:r>
      <w:r w:rsidRPr="00A142E0">
        <w:rPr>
          <w:sz w:val="28"/>
          <w:szCs w:val="28"/>
        </w:rPr>
        <w:t xml:space="preserve">бюджета направлены бюджетные ассигнования в форме субсидий и грантов. </w:t>
      </w:r>
    </w:p>
    <w:p w:rsidR="00191861" w:rsidRPr="00A142E0" w:rsidRDefault="00191861" w:rsidP="00191861">
      <w:pPr>
        <w:pStyle w:val="ConsPlusCell"/>
        <w:ind w:firstLine="708"/>
        <w:jc w:val="both"/>
        <w:rPr>
          <w:rFonts w:ascii="Times New Roman" w:hAnsi="Times New Roman" w:cs="Times New Roman"/>
          <w:sz w:val="28"/>
          <w:szCs w:val="28"/>
        </w:rPr>
      </w:pPr>
      <w:r w:rsidRPr="00A142E0">
        <w:rPr>
          <w:rFonts w:ascii="Times New Roman" w:hAnsi="Times New Roman" w:cs="Times New Roman"/>
          <w:sz w:val="28"/>
          <w:szCs w:val="28"/>
        </w:rPr>
        <w:t>Подпрограмма «Комплексное развитие сельских территорий» исполнена на 12 362,8 тыс. рублей или 70,1% от направленного финансирования (17 625,3 тыс. рублей) за счет низкого исполнения мероприятия «Субсидии на улучшение жилищных условий граждан, проживающих в сельской местности» - 4 274,5 тыс. рублей (из них 2 005,7 тыс. рублей осуществлены расходы за счет финансирования 2020 года) или 44,8%. В 2021 году г</w:t>
      </w:r>
      <w:r w:rsidRPr="00A142E0">
        <w:rPr>
          <w:rFonts w:ascii="Times New Roman" w:hAnsi="Times New Roman" w:cs="Times New Roman"/>
          <w:bCs/>
          <w:iCs/>
          <w:sz w:val="28"/>
          <w:szCs w:val="28"/>
        </w:rPr>
        <w:t xml:space="preserve">ражданам </w:t>
      </w:r>
      <w:r w:rsidRPr="00A142E0">
        <w:rPr>
          <w:rFonts w:ascii="Times New Roman" w:hAnsi="Times New Roman" w:cs="Times New Roman"/>
          <w:sz w:val="28"/>
          <w:szCs w:val="28"/>
        </w:rPr>
        <w:t xml:space="preserve">из с. Лаврентия Чукотского </w:t>
      </w:r>
      <w:r w:rsidRPr="00A142E0">
        <w:rPr>
          <w:rFonts w:ascii="Times New Roman" w:hAnsi="Times New Roman" w:cs="Times New Roman"/>
          <w:sz w:val="28"/>
          <w:szCs w:val="28"/>
        </w:rPr>
        <w:lastRenderedPageBreak/>
        <w:t xml:space="preserve">муниципального района </w:t>
      </w:r>
      <w:r w:rsidRPr="00A142E0">
        <w:rPr>
          <w:rFonts w:ascii="Times New Roman" w:hAnsi="Times New Roman" w:cs="Times New Roman"/>
          <w:bCs/>
          <w:iCs/>
          <w:sz w:val="28"/>
          <w:szCs w:val="28"/>
        </w:rPr>
        <w:t xml:space="preserve">выданы </w:t>
      </w:r>
      <w:r w:rsidRPr="00A142E0">
        <w:rPr>
          <w:rFonts w:ascii="Times New Roman" w:hAnsi="Times New Roman" w:cs="Times New Roman"/>
          <w:sz w:val="28"/>
          <w:szCs w:val="28"/>
        </w:rPr>
        <w:t xml:space="preserve">пять свидетельств на общую сумму 9 075,0 тыс. рублей. В отчетном периоде одна семья приобрела жилое помещение (2 268,8 тыс. рублей). Четверо граждан в 2021 году социальной выплатой не воспользовались, срок окончания действия выданных им свидетельств истекает в апреле в 2022 года. </w:t>
      </w:r>
    </w:p>
    <w:p w:rsidR="00191861" w:rsidRPr="00A142E0" w:rsidRDefault="00191861" w:rsidP="00191861">
      <w:pPr>
        <w:pStyle w:val="ConsPlusCell"/>
        <w:widowControl w:val="0"/>
        <w:ind w:firstLine="708"/>
        <w:jc w:val="both"/>
        <w:rPr>
          <w:rFonts w:ascii="Times New Roman" w:hAnsi="Times New Roman" w:cs="Times New Roman"/>
          <w:sz w:val="28"/>
          <w:szCs w:val="28"/>
        </w:rPr>
      </w:pPr>
      <w:r w:rsidRPr="00A142E0">
        <w:rPr>
          <w:rFonts w:ascii="Times New Roman" w:eastAsia="Times New Roman" w:hAnsi="Times New Roman" w:cs="Times New Roman"/>
          <w:sz w:val="28"/>
          <w:szCs w:val="28"/>
        </w:rPr>
        <w:t xml:space="preserve">Низкое выполнение </w:t>
      </w:r>
      <w:r w:rsidRPr="00A142E0">
        <w:rPr>
          <w:rFonts w:ascii="Times New Roman" w:hAnsi="Times New Roman" w:cs="Times New Roman"/>
          <w:bCs/>
          <w:iCs/>
          <w:sz w:val="28"/>
          <w:szCs w:val="28"/>
        </w:rPr>
        <w:t>подпрограммы «Социальная поддержка работников агропромышленного комплекса» (7 362,9 тыс. рублей или 63,3%) связано с п</w:t>
      </w:r>
      <w:r w:rsidRPr="00A142E0">
        <w:rPr>
          <w:rFonts w:ascii="Times New Roman" w:hAnsi="Times New Roman" w:cs="Times New Roman"/>
          <w:sz w:val="28"/>
          <w:szCs w:val="28"/>
        </w:rPr>
        <w:t xml:space="preserve">редоставлением гранта на организацию оздоровления оленеводов, </w:t>
      </w:r>
      <w:proofErr w:type="spellStart"/>
      <w:r w:rsidRPr="00A142E0">
        <w:rPr>
          <w:rFonts w:ascii="Times New Roman" w:hAnsi="Times New Roman" w:cs="Times New Roman"/>
          <w:sz w:val="28"/>
          <w:szCs w:val="28"/>
        </w:rPr>
        <w:t>морзверобоев</w:t>
      </w:r>
      <w:proofErr w:type="spellEnd"/>
      <w:r w:rsidRPr="00A142E0">
        <w:rPr>
          <w:rFonts w:ascii="Times New Roman" w:hAnsi="Times New Roman" w:cs="Times New Roman"/>
          <w:sz w:val="28"/>
          <w:szCs w:val="28"/>
        </w:rPr>
        <w:t>, звероводов и членов их семей Региональному Чукотскому общественному фонду «Полюс надежды» в размере 6 000,0 тыс. рублей, реализация гранта осуществляется в течение 18 месяцев.</w:t>
      </w:r>
    </w:p>
    <w:p w:rsidR="00191861" w:rsidRPr="00467F9C" w:rsidRDefault="00191861" w:rsidP="00191861">
      <w:pPr>
        <w:widowControl w:val="0"/>
        <w:ind w:firstLine="709"/>
        <w:jc w:val="both"/>
        <w:rPr>
          <w:sz w:val="28"/>
          <w:szCs w:val="28"/>
        </w:rPr>
      </w:pPr>
      <w:r w:rsidRPr="00A142E0">
        <w:rPr>
          <w:sz w:val="28"/>
          <w:szCs w:val="28"/>
        </w:rPr>
        <w:t>Выполнение мероприятий подпрограммы «Поддержка сельскохозяйственной кооперации и малых форм хозяйствования и некоммерческих организаций» составило 29 089,5 тыс. рублей (из них 8 801,5 тыс. рублей выполнены мероприятия за счет финансирования 2020 года) или 54,8 % от направленного финансирования</w:t>
      </w:r>
      <w:r w:rsidRPr="00467F9C">
        <w:rPr>
          <w:sz w:val="28"/>
          <w:szCs w:val="28"/>
        </w:rPr>
        <w:t xml:space="preserve"> (53 053,3 тыс. рублей). Низкое выполнение подпрограммы связано с предоставлением по 4 мероприятиям подпрограммы субсидий и грантов на общую сумму 29 823,3 тыс. рублей со сроком реализации в 2022 году.</w:t>
      </w:r>
    </w:p>
    <w:p w:rsidR="00191861" w:rsidRPr="00467F9C" w:rsidRDefault="00191861" w:rsidP="00191861">
      <w:pPr>
        <w:snapToGrid w:val="0"/>
        <w:ind w:firstLine="708"/>
        <w:jc w:val="both"/>
        <w:rPr>
          <w:sz w:val="28"/>
          <w:szCs w:val="28"/>
        </w:rPr>
      </w:pPr>
      <w:r w:rsidRPr="00467F9C">
        <w:rPr>
          <w:sz w:val="28"/>
          <w:szCs w:val="28"/>
        </w:rPr>
        <w:t xml:space="preserve">В рамках подпрограммы «Развитие инфраструктуры сельского хозяйства и агропромышленного комплекса» на 2021 год предусмотрена реализация двух мероприятий «Проведение ремонтных работ в государственных учреждениях ветеринарии» (исполнено 483,4 тыс. рублей или 100%) и «Строительство объекта «Окружная ветеринарная лаборатория в </w:t>
      </w:r>
      <w:proofErr w:type="spellStart"/>
      <w:r w:rsidRPr="00467F9C">
        <w:rPr>
          <w:sz w:val="28"/>
          <w:szCs w:val="28"/>
        </w:rPr>
        <w:t>г.Анадырь</w:t>
      </w:r>
      <w:proofErr w:type="spellEnd"/>
      <w:r w:rsidRPr="00467F9C">
        <w:rPr>
          <w:sz w:val="28"/>
          <w:szCs w:val="28"/>
        </w:rPr>
        <w:t xml:space="preserve">» (исполнено 2,9% от плановых ассигнований или 320,0 тыс. рублей, на сумму 3 982,3 тыс. рублей  произведено авансирование по договору об осуществлении технологического присоединения к электрическим сетям). </w:t>
      </w:r>
    </w:p>
    <w:p w:rsidR="00191861" w:rsidRPr="00467F9C" w:rsidRDefault="00191861" w:rsidP="00191861">
      <w:pPr>
        <w:ind w:firstLine="700"/>
        <w:jc w:val="both"/>
        <w:rPr>
          <w:sz w:val="28"/>
          <w:szCs w:val="28"/>
        </w:rPr>
      </w:pPr>
      <w:r w:rsidRPr="00467F9C">
        <w:rPr>
          <w:sz w:val="28"/>
          <w:szCs w:val="28"/>
        </w:rPr>
        <w:t xml:space="preserve"> Также, по подпрограмме отражены фактические расходы, произведенные за счет направленных в 2020 году бюджетных ассигнований из окружного бюджета в виде субсидий на осуществление капитальных вложений в объекты капитального строительства на строительство объекта «Пищевой производственный комплекс» в г. Анадырь» (140 000,0 тыс. рублей) и «Птицефабрика в с. Лаврентия» (56 520,0 тыс. рублей):</w:t>
      </w:r>
    </w:p>
    <w:p w:rsidR="00191861" w:rsidRPr="00467F9C" w:rsidRDefault="00191861" w:rsidP="00191861">
      <w:pPr>
        <w:ind w:firstLine="709"/>
        <w:jc w:val="both"/>
        <w:rPr>
          <w:sz w:val="28"/>
          <w:szCs w:val="28"/>
        </w:rPr>
      </w:pPr>
      <w:r w:rsidRPr="00467F9C">
        <w:rPr>
          <w:sz w:val="28"/>
          <w:szCs w:val="28"/>
        </w:rPr>
        <w:t>- 2 288,5 тыс. рублей («Пищевой производственный комплекс» в г. Анадырь») – ООО «Чукотская Строительно-Буровая Компания» выполнены работы по проведению инженерно-геологических изысканий. Срок ввода в эксплуатацию объекта капитального строительства перенесен на 2022 год;</w:t>
      </w:r>
    </w:p>
    <w:p w:rsidR="00191861" w:rsidRPr="00467F9C" w:rsidRDefault="00191861" w:rsidP="00191861">
      <w:pPr>
        <w:ind w:firstLine="709"/>
        <w:jc w:val="both"/>
        <w:rPr>
          <w:sz w:val="28"/>
          <w:szCs w:val="28"/>
        </w:rPr>
      </w:pPr>
      <w:r w:rsidRPr="00467F9C">
        <w:rPr>
          <w:sz w:val="28"/>
          <w:szCs w:val="28"/>
        </w:rPr>
        <w:t xml:space="preserve">- 39 544,0 тыс. рублей («Птицефабрика в с. Лаврентия») – произведен </w:t>
      </w:r>
      <w:r w:rsidRPr="00467F9C">
        <w:rPr>
          <w:rFonts w:eastAsia="Calibri"/>
          <w:sz w:val="28"/>
          <w:szCs w:val="28"/>
        </w:rPr>
        <w:t xml:space="preserve">окончательный расчет с подрядчиком за выполненные работы по строительству птицефабрики. </w:t>
      </w:r>
      <w:r w:rsidRPr="00467F9C">
        <w:rPr>
          <w:sz w:val="28"/>
          <w:szCs w:val="28"/>
        </w:rPr>
        <w:t xml:space="preserve">В августе 2021 года </w:t>
      </w:r>
      <w:r w:rsidRPr="00467F9C">
        <w:rPr>
          <w:rFonts w:eastAsia="Calibri"/>
          <w:sz w:val="28"/>
          <w:szCs w:val="28"/>
        </w:rPr>
        <w:t xml:space="preserve">на объект </w:t>
      </w:r>
      <w:r w:rsidRPr="00467F9C">
        <w:rPr>
          <w:sz w:val="28"/>
          <w:szCs w:val="28"/>
        </w:rPr>
        <w:t>завезены куры-несушки, с октября 2021 года на объекте начато производство пищевого яйца.</w:t>
      </w:r>
    </w:p>
    <w:p w:rsidR="00191861" w:rsidRPr="00467F9C" w:rsidRDefault="00191861" w:rsidP="00191861">
      <w:pPr>
        <w:spacing w:before="120"/>
        <w:ind w:firstLine="709"/>
        <w:jc w:val="both"/>
        <w:rPr>
          <w:b/>
          <w:sz w:val="28"/>
          <w:szCs w:val="28"/>
        </w:rPr>
      </w:pPr>
      <w:r w:rsidRPr="00467F9C">
        <w:rPr>
          <w:b/>
          <w:sz w:val="28"/>
          <w:szCs w:val="28"/>
        </w:rPr>
        <w:t>Государственная программа «Информационное общество Чукотского автономного округа»</w:t>
      </w:r>
      <w:r w:rsidRPr="00467F9C">
        <w:rPr>
          <w:rStyle w:val="ab"/>
          <w:sz w:val="28"/>
          <w:szCs w:val="28"/>
        </w:rPr>
        <w:footnoteReference w:id="98"/>
      </w:r>
      <w:r w:rsidRPr="00467F9C">
        <w:rPr>
          <w:b/>
          <w:sz w:val="28"/>
          <w:szCs w:val="28"/>
        </w:rPr>
        <w:t xml:space="preserve"> </w:t>
      </w:r>
      <w:r w:rsidRPr="00467F9C">
        <w:rPr>
          <w:rFonts w:eastAsia="Calibri"/>
          <w:sz w:val="28"/>
          <w:szCs w:val="28"/>
        </w:rPr>
        <w:t>–</w:t>
      </w:r>
      <w:r w:rsidRPr="00467F9C">
        <w:rPr>
          <w:b/>
          <w:sz w:val="28"/>
          <w:szCs w:val="28"/>
        </w:rPr>
        <w:t xml:space="preserve"> </w:t>
      </w:r>
      <w:r w:rsidRPr="00467F9C">
        <w:rPr>
          <w:sz w:val="28"/>
          <w:szCs w:val="28"/>
        </w:rPr>
        <w:t>о</w:t>
      </w:r>
      <w:r w:rsidRPr="00467F9C">
        <w:rPr>
          <w:rFonts w:eastAsia="Calibri"/>
          <w:sz w:val="28"/>
          <w:szCs w:val="28"/>
        </w:rPr>
        <w:t xml:space="preserve">тветственный исполнитель Департамент промышленной политики, соисполнители – Департамент социальной политики и </w:t>
      </w:r>
      <w:r w:rsidRPr="00467F9C">
        <w:rPr>
          <w:rFonts w:eastAsia="Calibri"/>
          <w:sz w:val="28"/>
          <w:szCs w:val="28"/>
        </w:rPr>
        <w:lastRenderedPageBreak/>
        <w:t>Аппарат Губернатора и Правительства Чукотского автономного округа, участников – 4. Госпрограмма состоит из четырех подпрограмм.</w:t>
      </w:r>
    </w:p>
    <w:p w:rsidR="00191861" w:rsidRPr="00467F9C" w:rsidRDefault="00191861" w:rsidP="00191861">
      <w:pPr>
        <w:autoSpaceDE w:val="0"/>
        <w:autoSpaceDN w:val="0"/>
        <w:adjustRightInd w:val="0"/>
        <w:ind w:firstLine="709"/>
        <w:jc w:val="both"/>
        <w:rPr>
          <w:sz w:val="28"/>
          <w:szCs w:val="28"/>
        </w:rPr>
      </w:pPr>
      <w:r w:rsidRPr="00467F9C">
        <w:rPr>
          <w:sz w:val="28"/>
          <w:szCs w:val="28"/>
        </w:rPr>
        <w:t xml:space="preserve">Основными целями Государственной программы являются: повышение эффективности деятельности органов исполнительной власти Чукотского автономного округа, формирование электронного правительства, ориентированного на предоставление услуг гражданам и организациям на базе современных информационных технологий; использование преимущественно отечественного программного обеспечения государственными органами, органами местного самоуправления и организациями Чукотского автономного округа; снижение стоимости доступа к информационно-телекоммуникационной сети «Интернет» до средней стоимости предоставления соответствующих услуг по Дальневосточному федеральному округу. </w:t>
      </w:r>
    </w:p>
    <w:p w:rsidR="00191861" w:rsidRPr="00467F9C" w:rsidRDefault="00191861" w:rsidP="00191861">
      <w:pPr>
        <w:tabs>
          <w:tab w:val="left" w:pos="709"/>
        </w:tabs>
        <w:ind w:firstLine="709"/>
        <w:jc w:val="both"/>
        <w:rPr>
          <w:rFonts w:eastAsia="Calibri"/>
          <w:sz w:val="28"/>
          <w:szCs w:val="28"/>
        </w:rPr>
      </w:pPr>
      <w:r w:rsidRPr="00467F9C">
        <w:rPr>
          <w:sz w:val="28"/>
          <w:szCs w:val="28"/>
        </w:rPr>
        <w:t>На реализацию мероприятий Государственной программы в отчетном периоде направлено 617 275,8</w:t>
      </w:r>
      <w:r w:rsidRPr="00467F9C">
        <w:rPr>
          <w:b/>
          <w:sz w:val="18"/>
          <w:szCs w:val="18"/>
        </w:rPr>
        <w:t xml:space="preserve"> </w:t>
      </w:r>
      <w:r w:rsidRPr="00467F9C">
        <w:rPr>
          <w:sz w:val="28"/>
          <w:szCs w:val="28"/>
        </w:rPr>
        <w:t xml:space="preserve">тыс. рублей или 99,5% от предусмотренных СБР ассигнований (620 579,6 тыс. рублей). </w:t>
      </w:r>
      <w:r w:rsidRPr="00467F9C">
        <w:rPr>
          <w:rFonts w:eastAsia="Calibri"/>
          <w:sz w:val="28"/>
          <w:szCs w:val="28"/>
        </w:rPr>
        <w:t xml:space="preserve">В отчетном периоде мероприятия по Государственной программе фактически исполнены на 100% от полученного финансирования на ее реализацию. </w:t>
      </w:r>
    </w:p>
    <w:p w:rsidR="00191861" w:rsidRPr="00467F9C" w:rsidRDefault="00191861" w:rsidP="00191861">
      <w:pPr>
        <w:ind w:firstLine="709"/>
        <w:jc w:val="both"/>
        <w:rPr>
          <w:sz w:val="16"/>
          <w:szCs w:val="16"/>
          <w:highlight w:val="yellow"/>
        </w:rPr>
      </w:pPr>
    </w:p>
    <w:p w:rsidR="00191861" w:rsidRPr="00467F9C" w:rsidRDefault="00191861" w:rsidP="00191861">
      <w:pPr>
        <w:autoSpaceDE w:val="0"/>
        <w:autoSpaceDN w:val="0"/>
        <w:adjustRightInd w:val="0"/>
        <w:ind w:firstLine="709"/>
        <w:jc w:val="both"/>
        <w:rPr>
          <w:sz w:val="28"/>
          <w:szCs w:val="28"/>
        </w:rPr>
      </w:pPr>
      <w:r w:rsidRPr="00467F9C">
        <w:rPr>
          <w:b/>
          <w:bCs/>
          <w:sz w:val="28"/>
          <w:szCs w:val="28"/>
        </w:rPr>
        <w:t>Государственная программа «Развитие жилищно-коммунального хозяйства и водохозяйственного комплекса Чукотского автономного округа»</w:t>
      </w:r>
      <w:r w:rsidRPr="00467F9C">
        <w:rPr>
          <w:rStyle w:val="ab"/>
          <w:bCs/>
          <w:sz w:val="28"/>
          <w:szCs w:val="28"/>
        </w:rPr>
        <w:footnoteReference w:id="99"/>
      </w:r>
      <w:r w:rsidRPr="00467F9C">
        <w:rPr>
          <w:b/>
          <w:bCs/>
          <w:sz w:val="28"/>
          <w:szCs w:val="28"/>
        </w:rPr>
        <w:t xml:space="preserve"> </w:t>
      </w:r>
      <w:r w:rsidRPr="00467F9C">
        <w:rPr>
          <w:rFonts w:eastAsia="Calibri"/>
          <w:sz w:val="28"/>
          <w:szCs w:val="28"/>
        </w:rPr>
        <w:t>состоит из 6 подпрограмм, 4 из которых реализовывались в 2021 году</w:t>
      </w:r>
      <w:r w:rsidRPr="00467F9C">
        <w:rPr>
          <w:sz w:val="28"/>
          <w:szCs w:val="28"/>
        </w:rPr>
        <w:t xml:space="preserve">. </w:t>
      </w:r>
      <w:r w:rsidRPr="00467F9C">
        <w:rPr>
          <w:b/>
          <w:bCs/>
          <w:sz w:val="28"/>
          <w:szCs w:val="28"/>
        </w:rPr>
        <w:t xml:space="preserve"> </w:t>
      </w:r>
      <w:r w:rsidRPr="00467F9C">
        <w:rPr>
          <w:sz w:val="28"/>
          <w:szCs w:val="28"/>
        </w:rPr>
        <w:t xml:space="preserve">Ответственным исполнителем </w:t>
      </w:r>
      <w:r w:rsidRPr="00467F9C">
        <w:rPr>
          <w:bCs/>
          <w:sz w:val="28"/>
          <w:szCs w:val="28"/>
        </w:rPr>
        <w:t>является</w:t>
      </w:r>
      <w:r w:rsidRPr="00467F9C">
        <w:rPr>
          <w:sz w:val="28"/>
          <w:szCs w:val="28"/>
        </w:rPr>
        <w:t xml:space="preserve"> Департамент промышленной политики, участники – Государственное казенное учреждение «Управление капитального строительства Чукотского автономного округа» и органы местного самоуправления муниципальных образований Чукотского автономного округа.  </w:t>
      </w:r>
    </w:p>
    <w:p w:rsidR="00191861" w:rsidRPr="00467F9C" w:rsidRDefault="00191861" w:rsidP="00191861">
      <w:pPr>
        <w:autoSpaceDE w:val="0"/>
        <w:autoSpaceDN w:val="0"/>
        <w:adjustRightInd w:val="0"/>
        <w:ind w:firstLine="709"/>
        <w:jc w:val="both"/>
        <w:rPr>
          <w:sz w:val="28"/>
          <w:szCs w:val="28"/>
        </w:rPr>
      </w:pPr>
      <w:r w:rsidRPr="00467F9C">
        <w:rPr>
          <w:sz w:val="28"/>
          <w:szCs w:val="28"/>
        </w:rPr>
        <w:t xml:space="preserve">Целями Государственной программы являются: сохранение устойчивого функционирования предприятий жилищно-коммунального хозяйства; развитие водохозяйственного комплекса для повышения уровня и качества жизни населения; повышение качества питьевой воды; обеспечение устойчивого развития Чукотского автономного округа посредством актуализации документов территориального планирования Чукотского автономного округа; создание условий для обеспечения качественными услугами и повышение энергетической эффективности жилищно-коммунального хозяйства; замещение выбывающих мощностей </w:t>
      </w:r>
      <w:proofErr w:type="spellStart"/>
      <w:r w:rsidRPr="00467F9C">
        <w:rPr>
          <w:sz w:val="28"/>
          <w:szCs w:val="28"/>
        </w:rPr>
        <w:t>Билибинской</w:t>
      </w:r>
      <w:proofErr w:type="spellEnd"/>
      <w:r w:rsidRPr="00467F9C">
        <w:rPr>
          <w:sz w:val="28"/>
          <w:szCs w:val="28"/>
        </w:rPr>
        <w:t xml:space="preserve"> АЭС.</w:t>
      </w:r>
    </w:p>
    <w:p w:rsidR="00191861" w:rsidRPr="00467F9C" w:rsidRDefault="00191861" w:rsidP="00191861">
      <w:pPr>
        <w:autoSpaceDE w:val="0"/>
        <w:autoSpaceDN w:val="0"/>
        <w:adjustRightInd w:val="0"/>
        <w:jc w:val="both"/>
        <w:rPr>
          <w:sz w:val="28"/>
          <w:szCs w:val="28"/>
        </w:rPr>
      </w:pPr>
      <w:r w:rsidRPr="00467F9C">
        <w:rPr>
          <w:sz w:val="28"/>
          <w:szCs w:val="28"/>
        </w:rPr>
        <w:tab/>
      </w:r>
      <w:bookmarkStart w:id="46" w:name="_Hlk40113066"/>
      <w:r w:rsidRPr="00467F9C">
        <w:rPr>
          <w:sz w:val="28"/>
          <w:szCs w:val="28"/>
        </w:rPr>
        <w:t>На реализацию мероприятий Государственной программы в отчетном периоде направлено 9 183 447,8</w:t>
      </w:r>
      <w:r w:rsidRPr="00467F9C">
        <w:rPr>
          <w:b/>
          <w:sz w:val="28"/>
          <w:szCs w:val="28"/>
        </w:rPr>
        <w:t xml:space="preserve"> </w:t>
      </w:r>
      <w:r w:rsidRPr="00467F9C">
        <w:rPr>
          <w:sz w:val="28"/>
          <w:szCs w:val="28"/>
        </w:rPr>
        <w:t>тыс. рублей (из них 61 865,7 тыс. рублей на погашение задолженности 2020 года) или 99,9% от предусмотренных СБР ассигнований (9 194 785,1 тыс. рублей).</w:t>
      </w:r>
    </w:p>
    <w:p w:rsidR="00191861" w:rsidRPr="00467F9C" w:rsidRDefault="00191861" w:rsidP="00191861">
      <w:pPr>
        <w:tabs>
          <w:tab w:val="left" w:pos="709"/>
        </w:tabs>
        <w:ind w:firstLine="709"/>
        <w:jc w:val="both"/>
        <w:rPr>
          <w:rFonts w:eastAsia="Calibri"/>
          <w:sz w:val="28"/>
          <w:szCs w:val="28"/>
        </w:rPr>
      </w:pPr>
      <w:r w:rsidRPr="00467F9C">
        <w:rPr>
          <w:sz w:val="28"/>
          <w:szCs w:val="28"/>
        </w:rPr>
        <w:t xml:space="preserve">Выполнены мероприятия Госпрограммы за отчетный период на сумму 8 259 183,5 тыс. рублей или 89,9% от направленных на её реализацию бюджетных ассигнований. </w:t>
      </w:r>
      <w:r w:rsidRPr="00467F9C">
        <w:rPr>
          <w:rFonts w:eastAsia="Calibri"/>
          <w:sz w:val="28"/>
          <w:szCs w:val="28"/>
        </w:rPr>
        <w:t xml:space="preserve">По состоянию на 01.01.2022г. общая сумма выплаченных авансов и неиспользованных средств субсидий в рамках реализации мероприятий Госпрограммы составила </w:t>
      </w:r>
      <w:r w:rsidRPr="00467F9C">
        <w:rPr>
          <w:sz w:val="28"/>
          <w:szCs w:val="28"/>
        </w:rPr>
        <w:t>101 705,7 тыс. рублей</w:t>
      </w:r>
      <w:r w:rsidRPr="00467F9C">
        <w:rPr>
          <w:rFonts w:eastAsia="Calibri"/>
          <w:sz w:val="28"/>
          <w:szCs w:val="28"/>
        </w:rPr>
        <w:t>.</w:t>
      </w:r>
    </w:p>
    <w:p w:rsidR="00191861" w:rsidRPr="00467F9C" w:rsidRDefault="00191861" w:rsidP="00191861">
      <w:pPr>
        <w:tabs>
          <w:tab w:val="left" w:pos="1080"/>
        </w:tabs>
        <w:ind w:firstLine="720"/>
        <w:jc w:val="both"/>
        <w:rPr>
          <w:sz w:val="28"/>
          <w:szCs w:val="28"/>
          <w:highlight w:val="yellow"/>
        </w:rPr>
      </w:pPr>
      <w:r w:rsidRPr="00467F9C">
        <w:lastRenderedPageBreak/>
        <w:t xml:space="preserve"> </w:t>
      </w:r>
      <w:r w:rsidRPr="00467F9C">
        <w:rPr>
          <w:sz w:val="28"/>
          <w:szCs w:val="28"/>
        </w:rPr>
        <w:t xml:space="preserve">Исполнение подпрограммы «Реализация мероприятий по развитию коммунальной инфраструктуры», по данным Счетной палаты, составило 480 740,4 тыс. рублей (38,7% от полученного финансирования) - фактически выполненные и оплаченные работы по объекту «Инженерные сети тепло, водоснабжения и водоотведения (канализация) в </w:t>
      </w:r>
      <w:proofErr w:type="spellStart"/>
      <w:r w:rsidRPr="00467F9C">
        <w:rPr>
          <w:sz w:val="28"/>
          <w:szCs w:val="28"/>
        </w:rPr>
        <w:t>г.Певек</w:t>
      </w:r>
      <w:proofErr w:type="spellEnd"/>
      <w:r w:rsidRPr="00467F9C">
        <w:rPr>
          <w:sz w:val="28"/>
          <w:szCs w:val="28"/>
        </w:rPr>
        <w:t>» по муниципальному контракту с АО «</w:t>
      </w:r>
      <w:proofErr w:type="spellStart"/>
      <w:r w:rsidRPr="00467F9C">
        <w:rPr>
          <w:sz w:val="28"/>
          <w:szCs w:val="28"/>
        </w:rPr>
        <w:t>Эльконский</w:t>
      </w:r>
      <w:proofErr w:type="spellEnd"/>
      <w:r w:rsidRPr="00467F9C">
        <w:rPr>
          <w:sz w:val="28"/>
          <w:szCs w:val="28"/>
        </w:rPr>
        <w:t xml:space="preserve"> горно-металлургический комбинат». В соответствии с протокольным поручением Министерства энергетики РФ срок окончания работ по контракту продлен до октября 2022 года. Мероприятие реализуется с 2019 года, всего за период 2019-2021 годы по объекту выполнено работ на общую на сумму 1 570 738,3 тыс. рублей.</w:t>
      </w:r>
    </w:p>
    <w:p w:rsidR="00191861" w:rsidRPr="00467F9C" w:rsidRDefault="00191861" w:rsidP="00191861">
      <w:pPr>
        <w:ind w:firstLine="708"/>
        <w:jc w:val="both"/>
        <w:rPr>
          <w:sz w:val="28"/>
          <w:szCs w:val="28"/>
        </w:rPr>
      </w:pPr>
      <w:r w:rsidRPr="00467F9C">
        <w:rPr>
          <w:sz w:val="28"/>
          <w:szCs w:val="28"/>
        </w:rPr>
        <w:t xml:space="preserve">В рамках подпрограммы «Реализация мероприятий по развитию коммунальной инфраструктуры» в 2021 году предоставлены бюджетные инвестиции в сумме 760 692,8 тыс. рублей Обществу с ограниченной ответственностью «Энергоцентр </w:t>
      </w:r>
      <w:proofErr w:type="spellStart"/>
      <w:r w:rsidRPr="00467F9C">
        <w:rPr>
          <w:sz w:val="28"/>
          <w:szCs w:val="28"/>
        </w:rPr>
        <w:t>Билибино</w:t>
      </w:r>
      <w:proofErr w:type="spellEnd"/>
      <w:r w:rsidRPr="00467F9C">
        <w:rPr>
          <w:sz w:val="28"/>
          <w:szCs w:val="28"/>
        </w:rPr>
        <w:t xml:space="preserve">» на строительство </w:t>
      </w:r>
      <w:proofErr w:type="spellStart"/>
      <w:r w:rsidRPr="00467F9C">
        <w:rPr>
          <w:sz w:val="28"/>
          <w:szCs w:val="28"/>
        </w:rPr>
        <w:t>энергоисточника</w:t>
      </w:r>
      <w:proofErr w:type="spellEnd"/>
      <w:r w:rsidRPr="00467F9C">
        <w:rPr>
          <w:sz w:val="28"/>
          <w:szCs w:val="28"/>
        </w:rPr>
        <w:t xml:space="preserve"> с внеплощадочной инфраструктурой. С начала реализации мероприятия объем предоставленных бюджетных инвестиций составил 9 257 981,8 тыс. рублей</w:t>
      </w:r>
      <w:r w:rsidRPr="00467F9C">
        <w:rPr>
          <w:rStyle w:val="ab"/>
          <w:sz w:val="28"/>
          <w:szCs w:val="28"/>
        </w:rPr>
        <w:footnoteReference w:id="100"/>
      </w:r>
      <w:r w:rsidRPr="00467F9C">
        <w:rPr>
          <w:sz w:val="28"/>
          <w:szCs w:val="28"/>
        </w:rPr>
        <w:t>. По состоянию на 01.01.2022 года выполнение работ по объекту составляет 49,4%.</w:t>
      </w:r>
    </w:p>
    <w:p w:rsidR="00191861" w:rsidRPr="00467F9C" w:rsidRDefault="00191861" w:rsidP="00191861">
      <w:pPr>
        <w:ind w:firstLine="708"/>
        <w:jc w:val="both"/>
        <w:rPr>
          <w:sz w:val="28"/>
          <w:szCs w:val="28"/>
        </w:rPr>
      </w:pPr>
      <w:r w:rsidRPr="00467F9C">
        <w:rPr>
          <w:sz w:val="28"/>
          <w:szCs w:val="28"/>
        </w:rPr>
        <w:t xml:space="preserve">В 2021 году не выполнялось мероприятие «Субсидии бюджету муниципального образования </w:t>
      </w:r>
      <w:proofErr w:type="spellStart"/>
      <w:r w:rsidRPr="00467F9C">
        <w:rPr>
          <w:sz w:val="28"/>
          <w:szCs w:val="28"/>
        </w:rPr>
        <w:t>Билибинский</w:t>
      </w:r>
      <w:proofErr w:type="spellEnd"/>
      <w:r w:rsidRPr="00467F9C">
        <w:rPr>
          <w:sz w:val="28"/>
          <w:szCs w:val="28"/>
        </w:rPr>
        <w:t xml:space="preserve"> муниципальный район на реализацию мероприятий по развитию инфраструктуры Чукотского автономного округа, обеспечивающей качественное тепло-, водоснабжение и водоотведение города Билибино» с плановым объемом финансирования 100 000,0 тыс. рублей. В целях реализации мероприятия между Администрацией </w:t>
      </w:r>
      <w:proofErr w:type="spellStart"/>
      <w:r w:rsidRPr="00467F9C">
        <w:rPr>
          <w:sz w:val="28"/>
          <w:szCs w:val="28"/>
        </w:rPr>
        <w:t>Билибинского</w:t>
      </w:r>
      <w:proofErr w:type="spellEnd"/>
      <w:r w:rsidRPr="00467F9C">
        <w:rPr>
          <w:sz w:val="28"/>
          <w:szCs w:val="28"/>
        </w:rPr>
        <w:t xml:space="preserve"> муниципального района и АО «</w:t>
      </w:r>
      <w:proofErr w:type="spellStart"/>
      <w:r w:rsidRPr="00467F9C">
        <w:rPr>
          <w:sz w:val="28"/>
          <w:szCs w:val="28"/>
        </w:rPr>
        <w:t>Эльконский</w:t>
      </w:r>
      <w:proofErr w:type="spellEnd"/>
      <w:r w:rsidRPr="00467F9C">
        <w:rPr>
          <w:sz w:val="28"/>
          <w:szCs w:val="28"/>
        </w:rPr>
        <w:t xml:space="preserve"> горно-металлургический комбинат» 21 мая 2020 года заключён муниципальный контракт на проектирование, строительство и ввод в эксплуатацию объекта капитального строительства «Инженерные сети тепло, водоснабжения и водоотведения (канализация) в г. Билибино». Цена контракта 2 591 406,0 тыс. рублей. Первый этап работ, включающий разработку проектной документации подрядчиком выполнен, в феврале 2021 года получено положительное заключение государственной экспертизы проектной документации. В соответствии с откорректированной проектно-сметной документацией стоимость объекта составляет 3 619 823,4 тыс. рублей. В связи с удорожанием стоимости работ по объекту ввиду корректировки проектно-сметной документации строительно-монтажные работы в 2021 году не производились. Срок ввода объекта в эксплуатацию продлен до 15 июня 2023 года.</w:t>
      </w:r>
    </w:p>
    <w:p w:rsidR="00191861" w:rsidRPr="00467F9C" w:rsidRDefault="00191861" w:rsidP="00191861">
      <w:pPr>
        <w:ind w:firstLine="709"/>
        <w:jc w:val="both"/>
        <w:rPr>
          <w:bCs/>
          <w:sz w:val="28"/>
          <w:szCs w:val="28"/>
          <w:lang w:bidi="ru-RU"/>
        </w:rPr>
      </w:pPr>
      <w:r w:rsidRPr="00467F9C">
        <w:rPr>
          <w:sz w:val="28"/>
          <w:szCs w:val="28"/>
        </w:rPr>
        <w:t xml:space="preserve">На уровне 52,3% или 20 579,3 тыс. рублей исполнена подпрограмма «Развитие водохозяйственного комплекса» - по мероприятию «Субсидии на </w:t>
      </w:r>
      <w:proofErr w:type="spellStart"/>
      <w:r w:rsidRPr="00467F9C">
        <w:rPr>
          <w:sz w:val="28"/>
          <w:szCs w:val="28"/>
        </w:rPr>
        <w:t>софинансирование</w:t>
      </w:r>
      <w:proofErr w:type="spellEnd"/>
      <w:r w:rsidRPr="00467F9C">
        <w:rPr>
          <w:sz w:val="28"/>
          <w:szCs w:val="28"/>
        </w:rPr>
        <w:t xml:space="preserve"> расходных обязательств по исполнению полномочий органов местного самоуправления в сфере водоснабжения и водоотведения» в связи со сложной ситуации с доставкой материалов и грузов в навигацию 2021 года до пунктов назначения </w:t>
      </w:r>
      <w:r w:rsidRPr="00467F9C">
        <w:rPr>
          <w:bCs/>
          <w:sz w:val="28"/>
          <w:szCs w:val="28"/>
        </w:rPr>
        <w:t xml:space="preserve">в п. </w:t>
      </w:r>
      <w:proofErr w:type="spellStart"/>
      <w:r w:rsidRPr="00467F9C">
        <w:rPr>
          <w:bCs/>
          <w:sz w:val="28"/>
          <w:szCs w:val="28"/>
        </w:rPr>
        <w:t>Эгвекинот</w:t>
      </w:r>
      <w:proofErr w:type="spellEnd"/>
      <w:r w:rsidRPr="00467F9C">
        <w:rPr>
          <w:bCs/>
          <w:sz w:val="28"/>
          <w:szCs w:val="28"/>
        </w:rPr>
        <w:t xml:space="preserve"> и </w:t>
      </w:r>
      <w:r w:rsidRPr="00467F9C">
        <w:rPr>
          <w:bCs/>
          <w:sz w:val="28"/>
          <w:szCs w:val="28"/>
          <w:lang w:bidi="ru-RU"/>
        </w:rPr>
        <w:t xml:space="preserve">с. </w:t>
      </w:r>
      <w:proofErr w:type="spellStart"/>
      <w:r w:rsidRPr="00467F9C">
        <w:rPr>
          <w:bCs/>
          <w:sz w:val="28"/>
          <w:szCs w:val="28"/>
          <w:lang w:bidi="ru-RU"/>
        </w:rPr>
        <w:t>Энмелен</w:t>
      </w:r>
      <w:proofErr w:type="spellEnd"/>
      <w:r w:rsidRPr="00467F9C">
        <w:rPr>
          <w:bCs/>
          <w:sz w:val="28"/>
          <w:szCs w:val="28"/>
          <w:lang w:bidi="ru-RU"/>
        </w:rPr>
        <w:t xml:space="preserve"> </w:t>
      </w:r>
      <w:r w:rsidRPr="00467F9C">
        <w:rPr>
          <w:sz w:val="28"/>
          <w:szCs w:val="28"/>
        </w:rPr>
        <w:t xml:space="preserve">не </w:t>
      </w:r>
      <w:r w:rsidRPr="00467F9C">
        <w:rPr>
          <w:bCs/>
          <w:sz w:val="28"/>
          <w:szCs w:val="28"/>
        </w:rPr>
        <w:t>была доставлена техника общей стоимостью 11 205,9 тыс. рублей</w:t>
      </w:r>
      <w:r w:rsidRPr="00467F9C">
        <w:rPr>
          <w:bCs/>
          <w:sz w:val="28"/>
          <w:szCs w:val="28"/>
          <w:lang w:bidi="ru-RU"/>
        </w:rPr>
        <w:t xml:space="preserve">. Органами местного самоуправления было принято решение о продлении срока поставки техники до октября 2022 года, заключены соответствующие дополнительные соглашения к договорам поставки. </w:t>
      </w:r>
      <w:r w:rsidRPr="00467F9C">
        <w:rPr>
          <w:bCs/>
          <w:sz w:val="28"/>
          <w:szCs w:val="28"/>
          <w:lang w:bidi="ru-RU"/>
        </w:rPr>
        <w:lastRenderedPageBreak/>
        <w:t xml:space="preserve">Также, из-за позднего завершения проектных работ, проведение государственной экспертизы проектной документации по объектам «Строительство водоподготовительных установок в </w:t>
      </w:r>
      <w:proofErr w:type="spellStart"/>
      <w:r w:rsidRPr="00467F9C">
        <w:rPr>
          <w:bCs/>
          <w:sz w:val="28"/>
          <w:szCs w:val="28"/>
          <w:lang w:bidi="ru-RU"/>
        </w:rPr>
        <w:t>с.Марково</w:t>
      </w:r>
      <w:proofErr w:type="spellEnd"/>
      <w:r w:rsidRPr="00467F9C">
        <w:rPr>
          <w:bCs/>
          <w:sz w:val="28"/>
          <w:szCs w:val="28"/>
          <w:lang w:bidi="ru-RU"/>
        </w:rPr>
        <w:t xml:space="preserve"> и с. Снежное» перенесено на 2022 год (7 538,9 тыс. рублей).</w:t>
      </w:r>
    </w:p>
    <w:p w:rsidR="00191861" w:rsidRPr="00467F9C" w:rsidRDefault="00191861" w:rsidP="00191861">
      <w:pPr>
        <w:tabs>
          <w:tab w:val="left" w:pos="1080"/>
        </w:tabs>
        <w:ind w:firstLine="720"/>
        <w:jc w:val="both"/>
      </w:pPr>
      <w:r w:rsidRPr="00467F9C">
        <w:rPr>
          <w:sz w:val="28"/>
          <w:szCs w:val="28"/>
        </w:rPr>
        <w:t xml:space="preserve"> По подпрограмме «Чистая вода» осуществляется реализация мероприятия «Предоставление субсидии на строительство и реконструкцию (модернизацию объектов питьевого водоснабжения)» регионального проекта «Чистая вода» - средства в сумме 27 059,0 тыс. рублей предоставлены Администрации Чукотского муниципального района на завершение мероприятий по объекту «Реконструкция резервуаров чистой воды в с. Лаврентия Чукотского АО». Заказчиком работ по объекту определен МУП «Айсберг». В течение 2021 года заказчиком неоднократно проводились закупочные процедуры, которые были признаны не состоявшимися. Мероприятие в отчетном году не выполнялось. Средства в полном объеме в январе 2022 года возвращены в окружной бюджет.</w:t>
      </w:r>
    </w:p>
    <w:bookmarkEnd w:id="46"/>
    <w:p w:rsidR="00191861" w:rsidRPr="00467F9C" w:rsidRDefault="00191861" w:rsidP="00191861">
      <w:pPr>
        <w:ind w:firstLine="709"/>
        <w:jc w:val="both"/>
        <w:rPr>
          <w:b/>
          <w:sz w:val="16"/>
          <w:szCs w:val="16"/>
          <w:highlight w:val="yellow"/>
        </w:rPr>
      </w:pPr>
    </w:p>
    <w:p w:rsidR="00191861" w:rsidRPr="00467F9C" w:rsidRDefault="00191861" w:rsidP="00191861">
      <w:pPr>
        <w:ind w:firstLine="709"/>
        <w:jc w:val="both"/>
        <w:rPr>
          <w:sz w:val="28"/>
          <w:szCs w:val="28"/>
        </w:rPr>
      </w:pPr>
      <w:r w:rsidRPr="00467F9C">
        <w:rPr>
          <w:b/>
          <w:sz w:val="28"/>
          <w:szCs w:val="28"/>
        </w:rPr>
        <w:t>Государственная программа «Развитие образования и науки Чукотского автономного округа»</w:t>
      </w:r>
      <w:r w:rsidRPr="00467F9C">
        <w:rPr>
          <w:rStyle w:val="ab"/>
          <w:sz w:val="28"/>
          <w:szCs w:val="28"/>
        </w:rPr>
        <w:footnoteReference w:id="101"/>
      </w:r>
      <w:r w:rsidRPr="00467F9C">
        <w:rPr>
          <w:b/>
          <w:sz w:val="28"/>
          <w:szCs w:val="28"/>
        </w:rPr>
        <w:t xml:space="preserve"> </w:t>
      </w:r>
      <w:r w:rsidRPr="00467F9C">
        <w:rPr>
          <w:sz w:val="28"/>
          <w:szCs w:val="28"/>
        </w:rPr>
        <w:t xml:space="preserve">включает в себя 8 подпрограмм. Ответственный исполнитель Государственной программы – Департамент образования и науки, соисполнитель – Департамент промышленной политики, участников – 8. </w:t>
      </w:r>
    </w:p>
    <w:p w:rsidR="00191861" w:rsidRPr="00467F9C" w:rsidRDefault="00191861" w:rsidP="00191861">
      <w:pPr>
        <w:autoSpaceDE w:val="0"/>
        <w:autoSpaceDN w:val="0"/>
        <w:adjustRightInd w:val="0"/>
        <w:ind w:firstLine="708"/>
        <w:jc w:val="both"/>
        <w:rPr>
          <w:bCs/>
          <w:sz w:val="28"/>
          <w:szCs w:val="28"/>
        </w:rPr>
      </w:pPr>
      <w:r w:rsidRPr="00467F9C">
        <w:rPr>
          <w:sz w:val="28"/>
          <w:szCs w:val="28"/>
        </w:rPr>
        <w:t xml:space="preserve">Основными целями Государственной программы являются: сохранение </w:t>
      </w:r>
      <w:r w:rsidRPr="00467F9C">
        <w:rPr>
          <w:bCs/>
          <w:sz w:val="28"/>
          <w:szCs w:val="28"/>
        </w:rPr>
        <w:t>и развитие достигнутого уровня обеспечения конституционных гарантий населению Чукотского автономного округа в сфере образования; создание условий по развитию творческого потенциала и активности детей и молодежи Чукотского автономного округа; поддержка лучших исследовательских проектов, проектов творческой и социальной направленности; осуществление региональной политики в области подготовки специалистов с высшим образованием, переподготовки рабочих, служащих и профессиональной подготовки по профессиям рабочих, должностям служащих, востребованным в округе; развитие социальной инфраструктуры за счет реконструкции, строительства новых объектов образования; обеспечение выполнения в полном объеме в соответствии с требованиями федерального законодательства переданных полномочий Российской Федерации в сфере образования.</w:t>
      </w:r>
    </w:p>
    <w:p w:rsidR="00191861" w:rsidRPr="00467F9C" w:rsidRDefault="00191861" w:rsidP="00191861">
      <w:pPr>
        <w:pStyle w:val="41"/>
        <w:rPr>
          <w:color w:val="auto"/>
        </w:rPr>
      </w:pPr>
      <w:r w:rsidRPr="00467F9C">
        <w:rPr>
          <w:color w:val="auto"/>
        </w:rPr>
        <w:t>На реализацию мероприятий Государственной программы в отчетном периоде направлено 6 932 219,5</w:t>
      </w:r>
      <w:r w:rsidRPr="00467F9C">
        <w:rPr>
          <w:b/>
          <w:color w:val="auto"/>
          <w:sz w:val="18"/>
          <w:szCs w:val="18"/>
        </w:rPr>
        <w:t xml:space="preserve"> </w:t>
      </w:r>
      <w:r w:rsidRPr="00467F9C">
        <w:rPr>
          <w:color w:val="auto"/>
        </w:rPr>
        <w:t>тыс. рублей или 93,0% от предусмотренных СБР ассигнований (7 457 083,0 тыс. рублей), из них 517 328,0 тыс. рублей - авансовые платежи по государственным (муниципальным) контрактам</w:t>
      </w:r>
      <w:r w:rsidRPr="00467F9C">
        <w:rPr>
          <w:rStyle w:val="ab"/>
          <w:color w:val="auto"/>
        </w:rPr>
        <w:footnoteReference w:id="102"/>
      </w:r>
      <w:r w:rsidRPr="00467F9C">
        <w:rPr>
          <w:color w:val="auto"/>
        </w:rPr>
        <w:t xml:space="preserve">. Фактическое выполнение мероприятий Госпрограммы составило 6 628 839,5 тыс. рублей (из них 215 566,0 </w:t>
      </w:r>
      <w:r w:rsidRPr="00467F9C">
        <w:rPr>
          <w:rFonts w:eastAsia="Times New Roman"/>
          <w:color w:val="auto"/>
        </w:rPr>
        <w:t xml:space="preserve">тыс. рублей выполнены мероприятия за счет финансирования 2020 года) </w:t>
      </w:r>
      <w:r w:rsidRPr="00467F9C">
        <w:rPr>
          <w:color w:val="auto"/>
        </w:rPr>
        <w:t>или 95,6 % от направленных на их реализацию бюджетных ассигнований.</w:t>
      </w:r>
    </w:p>
    <w:p w:rsidR="00191861" w:rsidRPr="00467F9C" w:rsidRDefault="00191861" w:rsidP="00191861">
      <w:pPr>
        <w:pStyle w:val="41"/>
        <w:rPr>
          <w:color w:val="auto"/>
        </w:rPr>
      </w:pPr>
      <w:r w:rsidRPr="00467F9C">
        <w:rPr>
          <w:color w:val="auto"/>
        </w:rPr>
        <w:t>Пять подпрограмм Госпрограммы исполнены в объеме 95,2-100,0% от направленного на их реализацию финансирования.</w:t>
      </w:r>
    </w:p>
    <w:p w:rsidR="00191861" w:rsidRPr="00467F9C" w:rsidRDefault="00191861" w:rsidP="00191861">
      <w:pPr>
        <w:widowControl w:val="0"/>
        <w:ind w:firstLine="708"/>
        <w:contextualSpacing/>
        <w:jc w:val="both"/>
        <w:rPr>
          <w:sz w:val="28"/>
          <w:szCs w:val="28"/>
        </w:rPr>
      </w:pPr>
      <w:r w:rsidRPr="00467F9C">
        <w:rPr>
          <w:sz w:val="28"/>
          <w:szCs w:val="28"/>
        </w:rPr>
        <w:t xml:space="preserve">Подпрограмма «Развитие кадрового потенциала» выполнена на 305 069,2 тыс. рублей или 214,0 % от направленного финансирования, так как по мероприятию «Иные межбюджетные трансферты на обеспечение жильем </w:t>
      </w:r>
      <w:r w:rsidRPr="00467F9C">
        <w:rPr>
          <w:sz w:val="28"/>
          <w:szCs w:val="28"/>
        </w:rPr>
        <w:lastRenderedPageBreak/>
        <w:t xml:space="preserve">работников социальной сферы Чукотского автономного округа» подтверждены фактические расходы, на которые были направлены бюджетные ассигнования в 2020 году (162 566,0 тыс. рублей) – в 2021 году обеспечены жильем работники социальной сферы Чукотского автономного округа путем выкупа 24 жилых помещений у лиц, являющихся застройщиками, для формирования специализированного жилищного фонда в п. Угольные Копи. </w:t>
      </w:r>
    </w:p>
    <w:p w:rsidR="00191861" w:rsidRPr="00467F9C" w:rsidRDefault="00191861" w:rsidP="00191861">
      <w:pPr>
        <w:widowControl w:val="0"/>
        <w:ind w:firstLine="708"/>
        <w:contextualSpacing/>
        <w:jc w:val="both"/>
        <w:rPr>
          <w:sz w:val="28"/>
          <w:szCs w:val="28"/>
          <w:highlight w:val="yellow"/>
        </w:rPr>
      </w:pPr>
      <w:r w:rsidRPr="00467F9C">
        <w:rPr>
          <w:sz w:val="28"/>
          <w:szCs w:val="28"/>
        </w:rPr>
        <w:t>На крайне низком уровне исполнена подпрограмма «Развитие социальной инфраструктуры» - 78 904,2 тыс. рублей или 15,6% от направленного финансирования (505 751,7 тыс. рублей). В 2021 году по 4 мероприятиям подпрограммы осуществлено авансирование в рамках заключенных государственных (муниципальных) контрактов. По состоянию на 1 января 2022 года общая сумма авансовых платежей по мероприятиям подпрограммы составила 640 575,2 тыс. рублей, в том числе:</w:t>
      </w:r>
    </w:p>
    <w:p w:rsidR="00191861" w:rsidRPr="00467F9C" w:rsidRDefault="00191861" w:rsidP="00191861">
      <w:pPr>
        <w:ind w:firstLine="709"/>
        <w:jc w:val="both"/>
        <w:rPr>
          <w:sz w:val="28"/>
          <w:szCs w:val="28"/>
        </w:rPr>
      </w:pPr>
      <w:r w:rsidRPr="00467F9C">
        <w:rPr>
          <w:sz w:val="28"/>
          <w:szCs w:val="28"/>
        </w:rPr>
        <w:t>202 207,4 тыс. рублей – аванс на строительство школы в г. Анадырь по госконтракту на выполнение работ по строительству объекта с АО «Чукотская торговая компания» стоимостью 1 882 750,3 тыс. рублей и сроком исполнения 15.12.2023г;</w:t>
      </w:r>
    </w:p>
    <w:p w:rsidR="00191861" w:rsidRPr="00467F9C" w:rsidRDefault="00191861" w:rsidP="00191861">
      <w:pPr>
        <w:ind w:left="57" w:right="57" w:firstLine="652"/>
        <w:jc w:val="both"/>
        <w:rPr>
          <w:sz w:val="28"/>
          <w:szCs w:val="28"/>
        </w:rPr>
      </w:pPr>
      <w:r w:rsidRPr="00467F9C">
        <w:rPr>
          <w:sz w:val="28"/>
          <w:szCs w:val="28"/>
        </w:rPr>
        <w:t xml:space="preserve">251 203,9 тыс. рублей (их них 90 476,2 тыс. рублей - средства 2021 года, 160 727,7 тыс. рублей - средства 2020 года) - на строительство школы в </w:t>
      </w:r>
      <w:proofErr w:type="spellStart"/>
      <w:r w:rsidRPr="00467F9C">
        <w:rPr>
          <w:sz w:val="28"/>
          <w:szCs w:val="28"/>
        </w:rPr>
        <w:t>с.Островное</w:t>
      </w:r>
      <w:proofErr w:type="spellEnd"/>
      <w:r w:rsidRPr="00467F9C">
        <w:rPr>
          <w:sz w:val="28"/>
          <w:szCs w:val="28"/>
        </w:rPr>
        <w:t xml:space="preserve">. В 2021 году стоимость фактически выполненных работ по строительству школы составила 4 809,3 тыс. рублей. </w:t>
      </w:r>
      <w:r w:rsidRPr="00467F9C">
        <w:rPr>
          <w:rFonts w:eastAsia="Calibri"/>
          <w:sz w:val="28"/>
          <w:szCs w:val="28"/>
        </w:rPr>
        <w:t xml:space="preserve">Срок ввода объекта перенесен с 2021 на 2022 год по следующими причинам: срок разработки проектно-сметной документации увеличен из-за отдаленности населенного пункта и сложностью геологических изысканий, отсутствие потенциальных подрядчиков, большой перерыв в подготовке ПСД, вызванный ограничительными мерами, связанными с распространением новой </w:t>
      </w:r>
      <w:proofErr w:type="spellStart"/>
      <w:r w:rsidRPr="00467F9C">
        <w:rPr>
          <w:rFonts w:eastAsia="Calibri"/>
          <w:sz w:val="28"/>
          <w:szCs w:val="28"/>
        </w:rPr>
        <w:t>коронавирусной</w:t>
      </w:r>
      <w:proofErr w:type="spellEnd"/>
      <w:r w:rsidRPr="00467F9C">
        <w:rPr>
          <w:rFonts w:eastAsia="Calibri"/>
          <w:sz w:val="28"/>
          <w:szCs w:val="28"/>
        </w:rPr>
        <w:t xml:space="preserve"> инфекции. Планируемая дата ввода объекта 31.12.2022 г.</w:t>
      </w:r>
      <w:r w:rsidRPr="00467F9C">
        <w:rPr>
          <w:sz w:val="28"/>
          <w:szCs w:val="28"/>
        </w:rPr>
        <w:t>;</w:t>
      </w:r>
    </w:p>
    <w:p w:rsidR="00191861" w:rsidRPr="00467F9C" w:rsidRDefault="00191861" w:rsidP="00191861">
      <w:pPr>
        <w:ind w:left="57" w:right="57"/>
        <w:jc w:val="both"/>
        <w:rPr>
          <w:rFonts w:eastAsia="Calibri"/>
          <w:sz w:val="28"/>
          <w:szCs w:val="28"/>
        </w:rPr>
      </w:pPr>
      <w:r w:rsidRPr="00467F9C">
        <w:rPr>
          <w:sz w:val="28"/>
          <w:szCs w:val="28"/>
        </w:rPr>
        <w:tab/>
        <w:t xml:space="preserve">138 809,7 тыс. рублей – на выполнение работ по объекту «Начальная школа в </w:t>
      </w:r>
      <w:proofErr w:type="spellStart"/>
      <w:r w:rsidRPr="00467F9C">
        <w:rPr>
          <w:sz w:val="28"/>
          <w:szCs w:val="28"/>
        </w:rPr>
        <w:t>с.Лорино</w:t>
      </w:r>
      <w:proofErr w:type="spellEnd"/>
      <w:r w:rsidRPr="00467F9C">
        <w:rPr>
          <w:sz w:val="28"/>
          <w:szCs w:val="28"/>
        </w:rPr>
        <w:t>». Контракт с ООО «Северный Трест» заключен на полный цикл, стоимость контракта 303 142,6 тыс. рублей. Срок завершения работ – 30.12.2023г. Мероприятия по контракту реализуются в соответствии с Графиком выполнения работ по подготовке проектной документации</w:t>
      </w:r>
      <w:r w:rsidRPr="00467F9C">
        <w:rPr>
          <w:rFonts w:eastAsia="Calibri"/>
          <w:sz w:val="28"/>
          <w:szCs w:val="28"/>
        </w:rPr>
        <w:t>;</w:t>
      </w:r>
    </w:p>
    <w:p w:rsidR="00191861" w:rsidRPr="00467F9C" w:rsidRDefault="00191861" w:rsidP="00191861">
      <w:pPr>
        <w:widowControl w:val="0"/>
        <w:ind w:firstLine="709"/>
        <w:contextualSpacing/>
        <w:jc w:val="both"/>
        <w:rPr>
          <w:rFonts w:eastAsia="Calibri"/>
          <w:sz w:val="28"/>
          <w:szCs w:val="28"/>
        </w:rPr>
      </w:pPr>
      <w:r w:rsidRPr="00467F9C">
        <w:rPr>
          <w:sz w:val="28"/>
          <w:szCs w:val="28"/>
        </w:rPr>
        <w:t>48 354,2 тыс. рублей – на строительство объекта «Детский сад в г. Анадырь» на 60 мест для детей от 1,5 до 3 лет по государственному контракту, заключенному в 2020 году с ООО «ЧСБК» на общую сумму 333 509,5 тыс.</w:t>
      </w:r>
      <w:r w:rsidRPr="00467F9C">
        <w:rPr>
          <w:sz w:val="26"/>
          <w:szCs w:val="26"/>
        </w:rPr>
        <w:t xml:space="preserve"> </w:t>
      </w:r>
      <w:r w:rsidRPr="00467F9C">
        <w:rPr>
          <w:sz w:val="28"/>
          <w:szCs w:val="28"/>
        </w:rPr>
        <w:t>рублей и сроком реализации до 30.11.2022 года. Согласно представленным ответственным исполнителем данным, по состоянию на 01.01.2022 года стоимость фактически выполненных Подрядчиком работ по контракту составляет 63 374,2 тыс.</w:t>
      </w:r>
      <w:r w:rsidRPr="00467F9C">
        <w:rPr>
          <w:sz w:val="26"/>
          <w:szCs w:val="26"/>
        </w:rPr>
        <w:t xml:space="preserve"> </w:t>
      </w:r>
      <w:r w:rsidRPr="00467F9C">
        <w:rPr>
          <w:sz w:val="28"/>
          <w:szCs w:val="28"/>
        </w:rPr>
        <w:t xml:space="preserve">рублей (из них 53 000,0 тыс. рублей – за счет аванса 2020 года) или 56,8% от направленных бюджетных ассигнований в виде авансовых платежей в 2020 и 2021 годах. </w:t>
      </w:r>
    </w:p>
    <w:p w:rsidR="00191861" w:rsidRPr="00467F9C" w:rsidRDefault="00191861" w:rsidP="00191861">
      <w:pPr>
        <w:tabs>
          <w:tab w:val="left" w:pos="709"/>
        </w:tabs>
        <w:autoSpaceDE w:val="0"/>
        <w:autoSpaceDN w:val="0"/>
        <w:adjustRightInd w:val="0"/>
        <w:jc w:val="both"/>
        <w:rPr>
          <w:b/>
          <w:sz w:val="16"/>
          <w:szCs w:val="16"/>
          <w:highlight w:val="yellow"/>
        </w:rPr>
      </w:pPr>
    </w:p>
    <w:p w:rsidR="00191861" w:rsidRPr="00467F9C" w:rsidRDefault="00191861" w:rsidP="00191861">
      <w:pPr>
        <w:tabs>
          <w:tab w:val="left" w:pos="709"/>
        </w:tabs>
        <w:autoSpaceDE w:val="0"/>
        <w:autoSpaceDN w:val="0"/>
        <w:adjustRightInd w:val="0"/>
        <w:ind w:firstLine="709"/>
        <w:jc w:val="both"/>
        <w:rPr>
          <w:sz w:val="28"/>
          <w:szCs w:val="28"/>
        </w:rPr>
      </w:pPr>
      <w:r w:rsidRPr="00467F9C">
        <w:rPr>
          <w:b/>
          <w:sz w:val="28"/>
          <w:szCs w:val="28"/>
        </w:rPr>
        <w:t>Государственная программа «Развитие лесного хозяйства Чукотского автономного округа</w:t>
      </w:r>
      <w:r w:rsidRPr="00467F9C">
        <w:rPr>
          <w:b/>
          <w:bCs/>
          <w:sz w:val="28"/>
          <w:szCs w:val="28"/>
        </w:rPr>
        <w:t>»</w:t>
      </w:r>
      <w:r w:rsidRPr="00467F9C">
        <w:rPr>
          <w:rStyle w:val="ab"/>
          <w:bCs/>
          <w:sz w:val="28"/>
          <w:szCs w:val="28"/>
        </w:rPr>
        <w:footnoteReference w:id="103"/>
      </w:r>
      <w:r w:rsidRPr="00467F9C">
        <w:rPr>
          <w:sz w:val="28"/>
          <w:szCs w:val="28"/>
        </w:rPr>
        <w:t xml:space="preserve"> </w:t>
      </w:r>
      <w:r w:rsidRPr="00467F9C">
        <w:rPr>
          <w:rFonts w:eastAsia="Calibri"/>
          <w:sz w:val="28"/>
          <w:szCs w:val="28"/>
        </w:rPr>
        <w:t>состоит из 4 подпрограмм, 3 из которых реализовывались в 2021 году</w:t>
      </w:r>
      <w:r w:rsidRPr="00467F9C">
        <w:rPr>
          <w:sz w:val="28"/>
          <w:szCs w:val="28"/>
        </w:rPr>
        <w:t xml:space="preserve">. Ответственным исполнителем </w:t>
      </w:r>
      <w:r w:rsidRPr="00467F9C">
        <w:rPr>
          <w:bCs/>
          <w:sz w:val="28"/>
          <w:szCs w:val="28"/>
        </w:rPr>
        <w:t>является</w:t>
      </w:r>
      <w:r w:rsidRPr="00467F9C">
        <w:rPr>
          <w:sz w:val="28"/>
          <w:szCs w:val="28"/>
        </w:rPr>
        <w:t xml:space="preserve"> Департамент природных </w:t>
      </w:r>
      <w:r w:rsidRPr="00467F9C">
        <w:rPr>
          <w:sz w:val="28"/>
          <w:szCs w:val="28"/>
        </w:rPr>
        <w:lastRenderedPageBreak/>
        <w:t>ресурсов, участниками - Государственное казенное учреждение Чукотского автономного округа «Чукотское лесничество» и Государственное автономное учреждение Чукотского автономного округа «База авиационной охраны лесов».</w:t>
      </w:r>
    </w:p>
    <w:p w:rsidR="00191861" w:rsidRPr="00467F9C" w:rsidRDefault="00191861" w:rsidP="00191861">
      <w:pPr>
        <w:autoSpaceDE w:val="0"/>
        <w:autoSpaceDN w:val="0"/>
        <w:adjustRightInd w:val="0"/>
        <w:ind w:firstLine="708"/>
        <w:jc w:val="both"/>
        <w:rPr>
          <w:bCs/>
          <w:sz w:val="28"/>
          <w:szCs w:val="28"/>
        </w:rPr>
      </w:pPr>
      <w:r w:rsidRPr="00467F9C">
        <w:rPr>
          <w:sz w:val="28"/>
          <w:szCs w:val="28"/>
        </w:rPr>
        <w:t>Целями Государственной программы являются: повышение эффективности государственного управления лесами; гарантированное обеспечение экономики и общества лесными ресурсами, в том числе через интенсивное использование и воспроизводство лесов; повышение эффективности охраны лесов от пожаров, защиты лесов от вредных организмов и других неблагоприятных факторов, сохранение экологического потенциала лесов; повышение продуктивности и улучшение породного состава лесов на землях различного целевого назначения; повышение научно-технического, технологического и кадрового потенциала лесного хозяйства</w:t>
      </w:r>
      <w:r w:rsidRPr="00467F9C">
        <w:rPr>
          <w:bCs/>
          <w:sz w:val="28"/>
          <w:szCs w:val="28"/>
        </w:rPr>
        <w:t>.</w:t>
      </w:r>
    </w:p>
    <w:p w:rsidR="00191861" w:rsidRPr="00467F9C" w:rsidRDefault="00191861" w:rsidP="00191861">
      <w:pPr>
        <w:pStyle w:val="41"/>
        <w:rPr>
          <w:b/>
          <w:color w:val="auto"/>
          <w:sz w:val="18"/>
          <w:szCs w:val="18"/>
        </w:rPr>
      </w:pPr>
      <w:r w:rsidRPr="00467F9C">
        <w:rPr>
          <w:color w:val="auto"/>
        </w:rPr>
        <w:t xml:space="preserve">На реализацию мероприятий Государственной программы в отчетном периоде направлено </w:t>
      </w:r>
      <w:r w:rsidRPr="00467F9C">
        <w:rPr>
          <w:bCs/>
          <w:color w:val="auto"/>
        </w:rPr>
        <w:t>254 698,4</w:t>
      </w:r>
      <w:r w:rsidRPr="00467F9C">
        <w:rPr>
          <w:b/>
          <w:bCs/>
          <w:color w:val="auto"/>
          <w:sz w:val="18"/>
          <w:szCs w:val="18"/>
        </w:rPr>
        <w:t xml:space="preserve"> </w:t>
      </w:r>
      <w:r w:rsidRPr="00467F9C">
        <w:rPr>
          <w:color w:val="auto"/>
        </w:rPr>
        <w:t>тыс. рублей или 98,2% от предусмотренных сводной бюджетной росписью ассигнований (259 305,2 тыс. рублей), исполнение составило 100% от полученного финансирования.</w:t>
      </w:r>
    </w:p>
    <w:p w:rsidR="00191861" w:rsidRPr="00467F9C" w:rsidRDefault="00191861" w:rsidP="00191861">
      <w:pPr>
        <w:tabs>
          <w:tab w:val="left" w:pos="709"/>
        </w:tabs>
        <w:autoSpaceDE w:val="0"/>
        <w:autoSpaceDN w:val="0"/>
        <w:adjustRightInd w:val="0"/>
        <w:jc w:val="both"/>
        <w:rPr>
          <w:sz w:val="16"/>
          <w:szCs w:val="16"/>
          <w:highlight w:val="yellow"/>
        </w:rPr>
      </w:pPr>
    </w:p>
    <w:p w:rsidR="00191861" w:rsidRPr="00467F9C" w:rsidRDefault="00191861" w:rsidP="00191861">
      <w:pPr>
        <w:autoSpaceDE w:val="0"/>
        <w:autoSpaceDN w:val="0"/>
        <w:adjustRightInd w:val="0"/>
        <w:ind w:firstLine="283"/>
        <w:jc w:val="both"/>
        <w:rPr>
          <w:sz w:val="28"/>
          <w:szCs w:val="28"/>
        </w:rPr>
      </w:pPr>
      <w:bookmarkStart w:id="47" w:name="_Hlk39690822"/>
      <w:r w:rsidRPr="00467F9C">
        <w:rPr>
          <w:b/>
          <w:sz w:val="28"/>
          <w:szCs w:val="28"/>
        </w:rPr>
        <w:tab/>
      </w:r>
      <w:bookmarkStart w:id="48" w:name="_Hlk39436129"/>
      <w:r w:rsidRPr="00467F9C">
        <w:rPr>
          <w:b/>
          <w:sz w:val="28"/>
          <w:szCs w:val="28"/>
        </w:rPr>
        <w:t>Государственная программа «Развитие транспортной инфраструктуры Чукотского автономного округа»</w:t>
      </w:r>
      <w:r w:rsidRPr="00467F9C">
        <w:rPr>
          <w:rStyle w:val="ab"/>
          <w:sz w:val="28"/>
          <w:szCs w:val="28"/>
        </w:rPr>
        <w:footnoteReference w:id="104"/>
      </w:r>
      <w:r w:rsidRPr="00467F9C">
        <w:rPr>
          <w:sz w:val="28"/>
          <w:szCs w:val="28"/>
        </w:rPr>
        <w:t xml:space="preserve"> включает в себя 4 подпрограммы. Ответственным исполнителем Государственной программы является Департамент промышленной политики, участники: Государственные казенные учреждения «Управление капитального строительства Чукотского автономного округа» и «Управление автомобильных дорог Чукотского автономного округа», Государственное бюджетное учреждение «Дорожно-эксплуатационное Управление Чукотского автономного округа».</w:t>
      </w:r>
    </w:p>
    <w:p w:rsidR="00191861" w:rsidRPr="00467F9C" w:rsidRDefault="00191861" w:rsidP="00191861">
      <w:pPr>
        <w:tabs>
          <w:tab w:val="left" w:pos="709"/>
        </w:tabs>
        <w:spacing w:after="1"/>
        <w:ind w:firstLine="709"/>
        <w:jc w:val="both"/>
        <w:rPr>
          <w:bCs/>
          <w:sz w:val="28"/>
          <w:szCs w:val="28"/>
        </w:rPr>
      </w:pPr>
      <w:r w:rsidRPr="00467F9C">
        <w:rPr>
          <w:sz w:val="28"/>
          <w:szCs w:val="28"/>
        </w:rPr>
        <w:t>Целями Государственной программы являются: ф</w:t>
      </w:r>
      <w:r w:rsidRPr="00467F9C">
        <w:rPr>
          <w:bCs/>
          <w:sz w:val="28"/>
          <w:szCs w:val="28"/>
        </w:rPr>
        <w:t xml:space="preserve">ормирование необходимой транспортной инфраструктуры для повышения инвестиционной привлекательности Чукотского автономного округа; повышение комплексной безопасности и устойчивости транспортной системы; повышение доступности и качества услуг транспортного комплекса для населения; сохранение устойчивого морского и </w:t>
      </w:r>
      <w:proofErr w:type="spellStart"/>
      <w:r w:rsidRPr="00467F9C">
        <w:rPr>
          <w:bCs/>
          <w:sz w:val="28"/>
          <w:szCs w:val="28"/>
        </w:rPr>
        <w:t>внутрилиманного</w:t>
      </w:r>
      <w:proofErr w:type="spellEnd"/>
      <w:r w:rsidRPr="00467F9C">
        <w:rPr>
          <w:bCs/>
          <w:sz w:val="28"/>
          <w:szCs w:val="28"/>
        </w:rPr>
        <w:t xml:space="preserve"> сообщения; снижение транспортных издержек при перевозках автомобильным транспортом.</w:t>
      </w:r>
    </w:p>
    <w:p w:rsidR="00191861" w:rsidRPr="00467F9C" w:rsidRDefault="00191861" w:rsidP="00191861">
      <w:pPr>
        <w:pStyle w:val="41"/>
        <w:rPr>
          <w:color w:val="auto"/>
        </w:rPr>
      </w:pPr>
      <w:r w:rsidRPr="00467F9C">
        <w:rPr>
          <w:color w:val="auto"/>
        </w:rPr>
        <w:t xml:space="preserve">На реализацию мероприятий Государственной программы в отчетном периоде направлено </w:t>
      </w:r>
      <w:r w:rsidRPr="00467F9C">
        <w:rPr>
          <w:bCs/>
          <w:color w:val="auto"/>
        </w:rPr>
        <w:t>6 736 819,3</w:t>
      </w:r>
      <w:r w:rsidRPr="00467F9C">
        <w:rPr>
          <w:b/>
          <w:bCs/>
          <w:color w:val="auto"/>
          <w:sz w:val="18"/>
          <w:szCs w:val="18"/>
        </w:rPr>
        <w:t xml:space="preserve"> </w:t>
      </w:r>
      <w:r w:rsidRPr="00467F9C">
        <w:rPr>
          <w:color w:val="auto"/>
        </w:rPr>
        <w:t xml:space="preserve">тыс. рублей или 98,5% от предусмотренных сводной бюджетной росписью ассигнований (6 838 211,0 тыс. рублей). Фактическое выполнение мероприятий Госпрограммы составило 6 683 469,9 тыс. рублей или 99,2% от направленного финансирования. </w:t>
      </w:r>
    </w:p>
    <w:p w:rsidR="00191861" w:rsidRPr="00467F9C" w:rsidRDefault="00191861" w:rsidP="00191861">
      <w:pPr>
        <w:pStyle w:val="41"/>
        <w:rPr>
          <w:color w:val="auto"/>
        </w:rPr>
      </w:pPr>
      <w:r w:rsidRPr="00467F9C">
        <w:rPr>
          <w:color w:val="auto"/>
        </w:rPr>
        <w:t>Не в полном объеме от направленных бюджетных ассигнований выполнены два мероприятия Госпрограммы:</w:t>
      </w:r>
    </w:p>
    <w:p w:rsidR="00191861" w:rsidRPr="00467F9C" w:rsidRDefault="00191861" w:rsidP="00191861">
      <w:pPr>
        <w:pStyle w:val="41"/>
        <w:rPr>
          <w:color w:val="auto"/>
        </w:rPr>
      </w:pPr>
      <w:r w:rsidRPr="00467F9C">
        <w:rPr>
          <w:color w:val="auto"/>
        </w:rPr>
        <w:t xml:space="preserve">- «Субсидии организациям воздушного транспорта на возмещение недополученных доходов, связанных с осуществлением пассажирских авиаперевозок по маршруту Москва - </w:t>
      </w:r>
      <w:proofErr w:type="spellStart"/>
      <w:r w:rsidRPr="00467F9C">
        <w:rPr>
          <w:color w:val="auto"/>
        </w:rPr>
        <w:t>Певек</w:t>
      </w:r>
      <w:proofErr w:type="spellEnd"/>
      <w:r w:rsidRPr="00467F9C">
        <w:rPr>
          <w:color w:val="auto"/>
        </w:rPr>
        <w:t xml:space="preserve"> – Москва» - фактическое выполнение составило 33 407,9 тыс. рублей или 89,5 % от направленного финансирования (37 344,4 тыс. рублей, из них 2 278,0 тыс. рублей на погашение задолженности, </w:t>
      </w:r>
      <w:r w:rsidRPr="00467F9C">
        <w:rPr>
          <w:color w:val="auto"/>
        </w:rPr>
        <w:lastRenderedPageBreak/>
        <w:t>образованной в 2020 году). Неиспользованный остаток субсидии в сумме 1 658,5 тыс. рублей в январе 2022 года возвращен в окружной бюджет;</w:t>
      </w:r>
    </w:p>
    <w:p w:rsidR="00191861" w:rsidRPr="00467F9C" w:rsidRDefault="00191861" w:rsidP="00191861">
      <w:pPr>
        <w:pStyle w:val="41"/>
        <w:rPr>
          <w:color w:val="auto"/>
        </w:rPr>
      </w:pPr>
      <w:r w:rsidRPr="00467F9C">
        <w:rPr>
          <w:color w:val="auto"/>
        </w:rPr>
        <w:t>- Региональный проект «Дорожная сеть» федерального проекта «Дорожная сеть» - 288 801,7 тыс. рублей или 85,4% от направленного объема финансирования (338 214,4 тыс. рублей).</w:t>
      </w:r>
    </w:p>
    <w:p w:rsidR="00191861" w:rsidRPr="00467F9C" w:rsidRDefault="00191861" w:rsidP="00191861">
      <w:pPr>
        <w:pStyle w:val="41"/>
        <w:rPr>
          <w:color w:val="auto"/>
        </w:rPr>
      </w:pPr>
      <w:r w:rsidRPr="00467F9C">
        <w:rPr>
          <w:color w:val="auto"/>
        </w:rPr>
        <w:t>Мероприятие «Иные межбюджетные трансферты на финансовое обеспечение дорожной деятельности за счет средств резервного фонда Правительства Российской Федерации» реализовано на сумму 16 614,2 или 27,7% от предусмотренного на 2021 год объема финансирования. В рамках мероприятия частично выполнены работы по ремонту дороги местного значения городского округа Анадырь «Подъезд к комплексу на горе Михаила». Причиной просрочки исполнения работ по ремонту дороги местного значения являются сложные погодные условия, в том числе затяжные периоды снежных метелей с аномальным ветром, осложняющие видимость при производстве работ и периоды низких температур, приводящих к сбою функционирования гидравлической системы машин и механизмов, применяемых при ремонтных работах.</w:t>
      </w:r>
    </w:p>
    <w:p w:rsidR="00191861" w:rsidRPr="00467F9C" w:rsidRDefault="00191861" w:rsidP="00191861">
      <w:pPr>
        <w:ind w:firstLine="709"/>
        <w:jc w:val="both"/>
        <w:rPr>
          <w:b/>
          <w:sz w:val="16"/>
          <w:szCs w:val="16"/>
          <w:highlight w:val="yellow"/>
        </w:rPr>
      </w:pPr>
    </w:p>
    <w:p w:rsidR="00191861" w:rsidRPr="00467F9C" w:rsidRDefault="00191861" w:rsidP="00191861">
      <w:pPr>
        <w:autoSpaceDE w:val="0"/>
        <w:autoSpaceDN w:val="0"/>
        <w:adjustRightInd w:val="0"/>
        <w:ind w:firstLine="709"/>
        <w:jc w:val="both"/>
        <w:rPr>
          <w:sz w:val="28"/>
          <w:szCs w:val="28"/>
        </w:rPr>
      </w:pPr>
      <w:r w:rsidRPr="00467F9C">
        <w:rPr>
          <w:b/>
          <w:sz w:val="28"/>
          <w:szCs w:val="28"/>
        </w:rPr>
        <w:t>Государственная программа «Управление региональными финансами и имуществом Чукотского автономного округа»</w:t>
      </w:r>
      <w:r w:rsidRPr="00467F9C">
        <w:rPr>
          <w:rStyle w:val="ab"/>
          <w:sz w:val="28"/>
          <w:szCs w:val="28"/>
        </w:rPr>
        <w:footnoteReference w:id="105"/>
      </w:r>
      <w:r w:rsidRPr="00467F9C">
        <w:rPr>
          <w:b/>
          <w:sz w:val="28"/>
          <w:szCs w:val="28"/>
        </w:rPr>
        <w:t xml:space="preserve"> </w:t>
      </w:r>
      <w:r w:rsidRPr="00467F9C">
        <w:rPr>
          <w:sz w:val="28"/>
          <w:szCs w:val="28"/>
        </w:rPr>
        <w:t>состоит из 6 подпрограмм, из них подпрограмма «Долгосрочное финансовое планирование и организация бюджетного процесса» не имеет финансового обеспечения. Ответственный исполнитель Государственной программы – Департамент финансов, участниками являются Государственное казенное учреждение «Управление государственных закупок Чукотского автономного округа» и Государственное бюджетное учреждение Чукотского автономного округа «Центр государственной кадастровой оценки и технического архива Чукотского автономного округа».</w:t>
      </w:r>
    </w:p>
    <w:p w:rsidR="00191861" w:rsidRPr="00467F9C" w:rsidRDefault="00191861" w:rsidP="00191861">
      <w:pPr>
        <w:autoSpaceDE w:val="0"/>
        <w:autoSpaceDN w:val="0"/>
        <w:adjustRightInd w:val="0"/>
        <w:ind w:firstLine="708"/>
        <w:jc w:val="both"/>
        <w:rPr>
          <w:bCs/>
          <w:sz w:val="28"/>
          <w:szCs w:val="28"/>
        </w:rPr>
      </w:pPr>
      <w:r w:rsidRPr="00467F9C">
        <w:rPr>
          <w:sz w:val="28"/>
          <w:szCs w:val="28"/>
        </w:rPr>
        <w:t>Основными целями Государственной программы являются: о</w:t>
      </w:r>
      <w:r w:rsidRPr="00467F9C">
        <w:rPr>
          <w:bCs/>
          <w:sz w:val="28"/>
          <w:szCs w:val="28"/>
        </w:rPr>
        <w:t xml:space="preserve">беспечение долгосрочной сбалансированности и устойчивости бюджетной системы Чукотского автономного округа; повышение качества управления государственными финансами; повышение качества управления средствами резервного фонда Правительства Чукотского автономного округа на непредвиденные расходы; обеспечение эффективного управления и распоряжения государственным имуществом казны Чукотского автономного округа; повышение эффективности, результативности осуществления закупок товаров, работ, услуг, обеспечение гласности и прозрачности осуществления таких закупок, предотвращение коррупции и других злоупотреблений в сфере закупок. </w:t>
      </w:r>
    </w:p>
    <w:p w:rsidR="00191861" w:rsidRPr="00467F9C" w:rsidRDefault="00191861" w:rsidP="00191861">
      <w:pPr>
        <w:pStyle w:val="41"/>
        <w:rPr>
          <w:color w:val="auto"/>
          <w:highlight w:val="yellow"/>
        </w:rPr>
      </w:pPr>
      <w:r w:rsidRPr="00467F9C">
        <w:rPr>
          <w:color w:val="auto"/>
        </w:rPr>
        <w:t xml:space="preserve">На реализацию мероприятий Государственной программы в отчетном периоде направлено </w:t>
      </w:r>
      <w:r w:rsidRPr="00467F9C">
        <w:rPr>
          <w:bCs/>
          <w:color w:val="auto"/>
        </w:rPr>
        <w:t xml:space="preserve">6 479 350,2 </w:t>
      </w:r>
      <w:r w:rsidRPr="00467F9C">
        <w:rPr>
          <w:color w:val="auto"/>
        </w:rPr>
        <w:t>тыс. рублей или 99,5% от предусмотренных СБР ассигнований (6 513 285,5 тыс. рублей), мероприятия Государственной программы реализованы на уровне 100% от полученного объема финансирования.</w:t>
      </w:r>
    </w:p>
    <w:p w:rsidR="00191861" w:rsidRPr="00467F9C" w:rsidRDefault="00191861" w:rsidP="00191861">
      <w:pPr>
        <w:autoSpaceDE w:val="0"/>
        <w:autoSpaceDN w:val="0"/>
        <w:adjustRightInd w:val="0"/>
        <w:ind w:firstLine="709"/>
        <w:jc w:val="both"/>
        <w:rPr>
          <w:sz w:val="16"/>
          <w:szCs w:val="16"/>
          <w:highlight w:val="yellow"/>
        </w:rPr>
      </w:pPr>
    </w:p>
    <w:p w:rsidR="00191861" w:rsidRPr="00467F9C" w:rsidRDefault="00191861" w:rsidP="00191861">
      <w:pPr>
        <w:ind w:firstLine="709"/>
        <w:jc w:val="both"/>
        <w:rPr>
          <w:b/>
          <w:bCs/>
          <w:sz w:val="28"/>
          <w:szCs w:val="28"/>
        </w:rPr>
      </w:pPr>
      <w:r w:rsidRPr="00467F9C">
        <w:rPr>
          <w:b/>
          <w:sz w:val="28"/>
          <w:szCs w:val="28"/>
        </w:rPr>
        <w:t>Государственная программа «Развитие жилищного строительства в Чукотском автономном округе»</w:t>
      </w:r>
      <w:r w:rsidRPr="00467F9C">
        <w:rPr>
          <w:rStyle w:val="ab"/>
          <w:sz w:val="28"/>
          <w:szCs w:val="28"/>
        </w:rPr>
        <w:footnoteReference w:id="106"/>
      </w:r>
      <w:r w:rsidRPr="00467F9C">
        <w:rPr>
          <w:b/>
          <w:sz w:val="28"/>
          <w:szCs w:val="28"/>
        </w:rPr>
        <w:t xml:space="preserve"> </w:t>
      </w:r>
      <w:r w:rsidRPr="00467F9C">
        <w:rPr>
          <w:rFonts w:eastAsia="Calibri"/>
          <w:sz w:val="28"/>
          <w:szCs w:val="28"/>
        </w:rPr>
        <w:t>состоит из 7 подпрограмм, 5 из которых реализовывались в 2021 году</w:t>
      </w:r>
      <w:r w:rsidRPr="00467F9C">
        <w:rPr>
          <w:sz w:val="28"/>
          <w:szCs w:val="28"/>
        </w:rPr>
        <w:t xml:space="preserve">. Ответственным исполнителем </w:t>
      </w:r>
      <w:r w:rsidRPr="00467F9C">
        <w:rPr>
          <w:bCs/>
          <w:sz w:val="28"/>
          <w:szCs w:val="28"/>
        </w:rPr>
        <w:t>является</w:t>
      </w:r>
      <w:r w:rsidRPr="00467F9C">
        <w:rPr>
          <w:sz w:val="28"/>
          <w:szCs w:val="28"/>
        </w:rPr>
        <w:t xml:space="preserve"> Департамент </w:t>
      </w:r>
      <w:r w:rsidRPr="00467F9C">
        <w:rPr>
          <w:sz w:val="28"/>
          <w:szCs w:val="28"/>
        </w:rPr>
        <w:lastRenderedPageBreak/>
        <w:t xml:space="preserve">промышленной политики, участником - </w:t>
      </w:r>
      <w:r w:rsidRPr="00467F9C">
        <w:rPr>
          <w:bCs/>
          <w:sz w:val="28"/>
          <w:szCs w:val="28"/>
        </w:rPr>
        <w:t>Государственное казенное учреждение «Управление капитального строительства Чукотского автономного округа».</w:t>
      </w:r>
    </w:p>
    <w:p w:rsidR="00191861" w:rsidRPr="00467F9C" w:rsidRDefault="00191861" w:rsidP="00191861">
      <w:pPr>
        <w:ind w:firstLine="709"/>
        <w:jc w:val="both"/>
        <w:rPr>
          <w:sz w:val="28"/>
          <w:szCs w:val="28"/>
        </w:rPr>
      </w:pPr>
      <w:r w:rsidRPr="00467F9C">
        <w:rPr>
          <w:sz w:val="28"/>
          <w:szCs w:val="28"/>
        </w:rPr>
        <w:t xml:space="preserve">Целями </w:t>
      </w:r>
      <w:r w:rsidRPr="00467F9C">
        <w:rPr>
          <w:bCs/>
          <w:sz w:val="28"/>
          <w:szCs w:val="28"/>
        </w:rPr>
        <w:t>Государственной программы являются</w:t>
      </w:r>
      <w:r w:rsidRPr="00467F9C">
        <w:rPr>
          <w:sz w:val="28"/>
          <w:szCs w:val="28"/>
        </w:rPr>
        <w:t>: создание безопасных и благоприятных условий проживания граждан; реализация государственной политики в области жилищного строительства; повышение уровня обеспеченности населения жильем; обеспечение устойчивого развития Чукотского автономного округа посредством актуализации документов территориального планирования и градостроительного зонирования.</w:t>
      </w:r>
    </w:p>
    <w:p w:rsidR="00191861" w:rsidRPr="00467F9C" w:rsidRDefault="00191861" w:rsidP="00191861">
      <w:pPr>
        <w:ind w:firstLine="709"/>
        <w:jc w:val="both"/>
        <w:rPr>
          <w:sz w:val="28"/>
          <w:szCs w:val="28"/>
        </w:rPr>
      </w:pPr>
      <w:r w:rsidRPr="00467F9C">
        <w:rPr>
          <w:sz w:val="28"/>
          <w:szCs w:val="28"/>
        </w:rPr>
        <w:t xml:space="preserve">На реализацию мероприятий Государственной программы в отчетном периоде направлено </w:t>
      </w:r>
      <w:r w:rsidRPr="00467F9C">
        <w:rPr>
          <w:bCs/>
          <w:sz w:val="28"/>
          <w:szCs w:val="28"/>
        </w:rPr>
        <w:t>362 345,4</w:t>
      </w:r>
      <w:r w:rsidRPr="00467F9C">
        <w:rPr>
          <w:b/>
          <w:bCs/>
          <w:sz w:val="28"/>
          <w:szCs w:val="28"/>
        </w:rPr>
        <w:t xml:space="preserve"> </w:t>
      </w:r>
      <w:r w:rsidRPr="00467F9C">
        <w:rPr>
          <w:sz w:val="28"/>
          <w:szCs w:val="28"/>
        </w:rPr>
        <w:t xml:space="preserve">тыс. рублей или 72,3% от предусмотренных СБР ассигнований (501 359,0 тыс. рублей). Исполнение составило 174 802,8 тыс. рублей или 48,2 % от полученного финансирования. На уровне 100% от направленного финансирования выполнены мероприятия по трем подпрограммам («Развитие индивидуального жилищного строительства», «Оказание содействия муниципальным образованиям в формировании муниципального жилищного фонда», «Содействие в проведении капитального ремонта в многоквартирных домах на территории Чукотского автономного округа»). </w:t>
      </w:r>
    </w:p>
    <w:p w:rsidR="00191861" w:rsidRPr="00467F9C" w:rsidRDefault="00191861" w:rsidP="00191861">
      <w:pPr>
        <w:ind w:firstLine="709"/>
        <w:jc w:val="both"/>
        <w:rPr>
          <w:sz w:val="28"/>
          <w:szCs w:val="28"/>
        </w:rPr>
      </w:pPr>
      <w:r w:rsidRPr="00467F9C">
        <w:rPr>
          <w:sz w:val="28"/>
          <w:szCs w:val="28"/>
        </w:rPr>
        <w:t>Низкое выполнение подпрограмм «Развитие жилищного строительства» (14,1%) и «Территориальное планирование и градостроительное зонирование» (67,3%) связано с тем, что бюджетные ассигнования в сумме 187 547,2 тыс. рублей были направлены в виде субсидий муниципальным образованиям и авансовых платежей по муниципальным контрактам:</w:t>
      </w:r>
    </w:p>
    <w:p w:rsidR="00191861" w:rsidRPr="00467F9C" w:rsidRDefault="00191861" w:rsidP="00191861">
      <w:pPr>
        <w:ind w:firstLine="709"/>
        <w:jc w:val="both"/>
        <w:rPr>
          <w:sz w:val="28"/>
          <w:szCs w:val="28"/>
        </w:rPr>
      </w:pPr>
      <w:r w:rsidRPr="00467F9C">
        <w:rPr>
          <w:sz w:val="28"/>
          <w:szCs w:val="28"/>
        </w:rPr>
        <w:t xml:space="preserve">- по подпрограмме «Развитие жилищного строительства» в </w:t>
      </w:r>
      <w:proofErr w:type="spellStart"/>
      <w:r w:rsidRPr="00467F9C">
        <w:rPr>
          <w:sz w:val="28"/>
          <w:szCs w:val="28"/>
        </w:rPr>
        <w:t>с.Сиреники</w:t>
      </w:r>
      <w:proofErr w:type="spellEnd"/>
      <w:r w:rsidRPr="00467F9C">
        <w:rPr>
          <w:sz w:val="28"/>
          <w:szCs w:val="28"/>
        </w:rPr>
        <w:t xml:space="preserve"> (68 794,9 тыс. рублей), с. </w:t>
      </w:r>
      <w:proofErr w:type="spellStart"/>
      <w:r w:rsidRPr="00467F9C">
        <w:rPr>
          <w:sz w:val="28"/>
          <w:szCs w:val="28"/>
        </w:rPr>
        <w:t>Конергино</w:t>
      </w:r>
      <w:proofErr w:type="spellEnd"/>
      <w:r w:rsidRPr="00467F9C">
        <w:rPr>
          <w:sz w:val="28"/>
          <w:szCs w:val="28"/>
        </w:rPr>
        <w:t xml:space="preserve"> (18 545,6 тыс. рублей), с. </w:t>
      </w:r>
      <w:proofErr w:type="spellStart"/>
      <w:r w:rsidRPr="00467F9C">
        <w:rPr>
          <w:sz w:val="28"/>
          <w:szCs w:val="28"/>
        </w:rPr>
        <w:t>Янракыннот</w:t>
      </w:r>
      <w:proofErr w:type="spellEnd"/>
      <w:r w:rsidRPr="00467F9C">
        <w:rPr>
          <w:sz w:val="28"/>
          <w:szCs w:val="28"/>
        </w:rPr>
        <w:t xml:space="preserve"> (58 526,9 тыс. рублей) и </w:t>
      </w:r>
      <w:proofErr w:type="spellStart"/>
      <w:r w:rsidRPr="00467F9C">
        <w:rPr>
          <w:sz w:val="28"/>
          <w:szCs w:val="28"/>
        </w:rPr>
        <w:t>с.Уэлен</w:t>
      </w:r>
      <w:proofErr w:type="spellEnd"/>
      <w:r w:rsidRPr="00467F9C">
        <w:rPr>
          <w:sz w:val="28"/>
          <w:szCs w:val="28"/>
        </w:rPr>
        <w:t xml:space="preserve"> (37 026,1 тыс. рублей), из них 95 553 тыс. рублей неиспользованные средства субсидии по состоянию на 1 января 2022 года;</w:t>
      </w:r>
    </w:p>
    <w:p w:rsidR="00191861" w:rsidRPr="00467F9C" w:rsidRDefault="00191861" w:rsidP="00191861">
      <w:pPr>
        <w:ind w:firstLine="709"/>
        <w:jc w:val="both"/>
        <w:rPr>
          <w:sz w:val="28"/>
          <w:szCs w:val="28"/>
        </w:rPr>
      </w:pPr>
      <w:r w:rsidRPr="00467F9C">
        <w:rPr>
          <w:sz w:val="28"/>
          <w:szCs w:val="28"/>
        </w:rPr>
        <w:t xml:space="preserve">- по подпрограмме «Территориальное планирование и градостроительное зонирование» - Администрации Анадырского муниципального района в сумме 4 653,7 тыс. рублей. </w:t>
      </w:r>
    </w:p>
    <w:p w:rsidR="00191861" w:rsidRPr="00467F9C" w:rsidRDefault="00191861" w:rsidP="00191861">
      <w:pPr>
        <w:ind w:left="57" w:right="57"/>
        <w:jc w:val="both"/>
        <w:rPr>
          <w:rStyle w:val="afa"/>
          <w:sz w:val="28"/>
          <w:szCs w:val="28"/>
        </w:rPr>
      </w:pPr>
      <w:r w:rsidRPr="00467F9C">
        <w:rPr>
          <w:sz w:val="28"/>
          <w:szCs w:val="28"/>
        </w:rPr>
        <w:tab/>
        <w:t xml:space="preserve">В 2021 году расторгнуты два муниципальных контракта, заключенные с НАО «Чукотская торговая компания» на приобретение 27 жилых помещений в многоквартирных домах для переселения граждан из аварийного жилищного фонда в </w:t>
      </w:r>
      <w:proofErr w:type="spellStart"/>
      <w:r w:rsidRPr="00467F9C">
        <w:rPr>
          <w:sz w:val="28"/>
          <w:szCs w:val="28"/>
        </w:rPr>
        <w:t>с.Сиреники</w:t>
      </w:r>
      <w:proofErr w:type="spellEnd"/>
      <w:r w:rsidRPr="00467F9C">
        <w:rPr>
          <w:sz w:val="28"/>
          <w:szCs w:val="28"/>
        </w:rPr>
        <w:t>, в связи с невозможностью строительства многоквартирных жилых домов на выделенных земельных участках по причине сложных геологических условий. Перечисленные авансовые платежи по муниципальным контрактам в общей сумме 67 071,3 тыс. рублей (31 981,9 тыс. рублей перечислено в 2020 году, 35 081,4 тыс. рублей – в 2021 году) возвращены в бюджет.</w:t>
      </w:r>
    </w:p>
    <w:p w:rsidR="00191861" w:rsidRPr="00467F9C" w:rsidRDefault="00191861" w:rsidP="00191861">
      <w:pPr>
        <w:ind w:left="57" w:right="57"/>
        <w:jc w:val="both"/>
        <w:rPr>
          <w:rFonts w:eastAsia="Calibri"/>
          <w:b/>
          <w:sz w:val="16"/>
          <w:szCs w:val="16"/>
          <w:highlight w:val="cyan"/>
        </w:rPr>
      </w:pPr>
      <w:r w:rsidRPr="00467F9C">
        <w:rPr>
          <w:sz w:val="28"/>
          <w:szCs w:val="28"/>
        </w:rPr>
        <w:tab/>
        <w:t xml:space="preserve"> </w:t>
      </w:r>
    </w:p>
    <w:p w:rsidR="00191861" w:rsidRPr="00467F9C" w:rsidRDefault="00191861" w:rsidP="00191861">
      <w:pPr>
        <w:tabs>
          <w:tab w:val="left" w:pos="709"/>
        </w:tabs>
        <w:autoSpaceDE w:val="0"/>
        <w:autoSpaceDN w:val="0"/>
        <w:adjustRightInd w:val="0"/>
        <w:ind w:firstLine="709"/>
        <w:jc w:val="both"/>
        <w:rPr>
          <w:rFonts w:eastAsia="Calibri"/>
          <w:sz w:val="28"/>
          <w:szCs w:val="28"/>
        </w:rPr>
      </w:pPr>
      <w:r w:rsidRPr="00467F9C">
        <w:rPr>
          <w:rFonts w:eastAsia="Calibri"/>
          <w:b/>
          <w:sz w:val="28"/>
          <w:szCs w:val="28"/>
        </w:rPr>
        <w:t>Государственная программа «Предупреждение чрезвычайных ситуаций природного и техногенного характера и обеспечение пожарной безопасности в Чукотском автономном округе»</w:t>
      </w:r>
      <w:r w:rsidRPr="00467F9C">
        <w:rPr>
          <w:rStyle w:val="ab"/>
          <w:rFonts w:eastAsia="Calibri"/>
          <w:sz w:val="28"/>
          <w:szCs w:val="28"/>
        </w:rPr>
        <w:footnoteReference w:id="107"/>
      </w:r>
      <w:r w:rsidRPr="00467F9C">
        <w:rPr>
          <w:rFonts w:eastAsia="Calibri"/>
          <w:sz w:val="28"/>
          <w:szCs w:val="28"/>
        </w:rPr>
        <w:t xml:space="preserve"> включает в себя 3 подпрограммы. Ответственный исполнитель Государственной программы – Департамент промышленной политики, участников - 5.</w:t>
      </w:r>
    </w:p>
    <w:p w:rsidR="00191861" w:rsidRPr="00467F9C" w:rsidRDefault="00191861" w:rsidP="00191861">
      <w:pPr>
        <w:tabs>
          <w:tab w:val="left" w:pos="709"/>
        </w:tabs>
        <w:autoSpaceDE w:val="0"/>
        <w:autoSpaceDN w:val="0"/>
        <w:adjustRightInd w:val="0"/>
        <w:ind w:firstLine="709"/>
        <w:jc w:val="both"/>
        <w:rPr>
          <w:rFonts w:eastAsia="Calibri"/>
          <w:sz w:val="28"/>
          <w:szCs w:val="28"/>
        </w:rPr>
      </w:pPr>
      <w:r w:rsidRPr="00467F9C">
        <w:rPr>
          <w:rFonts w:eastAsia="Calibri"/>
          <w:sz w:val="28"/>
          <w:szCs w:val="28"/>
        </w:rPr>
        <w:lastRenderedPageBreak/>
        <w:t>Целями Государственной программы являются: повышение безопасности населения Чукотского автономного округа и минимизация социально-экономического ущерба от чрезвычайных ситуаций природного и техногенного характера, пожаров.</w:t>
      </w:r>
    </w:p>
    <w:p w:rsidR="00191861" w:rsidRPr="00467F9C" w:rsidRDefault="00191861" w:rsidP="00191861">
      <w:pPr>
        <w:pStyle w:val="41"/>
        <w:rPr>
          <w:b/>
          <w:color w:val="auto"/>
          <w:sz w:val="18"/>
          <w:szCs w:val="18"/>
        </w:rPr>
      </w:pPr>
      <w:r w:rsidRPr="00467F9C">
        <w:rPr>
          <w:color w:val="auto"/>
        </w:rPr>
        <w:t xml:space="preserve">На реализацию мероприятий Государственной программы в отчетном периоде направлено </w:t>
      </w:r>
      <w:r w:rsidRPr="00467F9C">
        <w:rPr>
          <w:bCs/>
          <w:color w:val="auto"/>
        </w:rPr>
        <w:t>462 701,6</w:t>
      </w:r>
      <w:r w:rsidRPr="00467F9C">
        <w:rPr>
          <w:b/>
          <w:bCs/>
          <w:color w:val="auto"/>
          <w:sz w:val="18"/>
          <w:szCs w:val="18"/>
        </w:rPr>
        <w:t xml:space="preserve"> </w:t>
      </w:r>
      <w:r w:rsidRPr="00467F9C">
        <w:rPr>
          <w:color w:val="auto"/>
        </w:rPr>
        <w:t>тыс. рублей или 98,2% от предусмотренных СБР ассигнований (471 397,5 тыс. рублей). Фактическое исполнение мероприятий составило 462</w:t>
      </w:r>
      <w:r w:rsidRPr="00467F9C">
        <w:rPr>
          <w:color w:val="auto"/>
          <w:lang w:val="en-US"/>
        </w:rPr>
        <w:t> </w:t>
      </w:r>
      <w:r w:rsidRPr="00467F9C">
        <w:rPr>
          <w:color w:val="auto"/>
        </w:rPr>
        <w:t>643,2 тыс. рублей или 100,0% от направленных бюджетных ассигнований.</w:t>
      </w:r>
    </w:p>
    <w:p w:rsidR="00191861" w:rsidRPr="00467F9C" w:rsidRDefault="00191861" w:rsidP="00191861">
      <w:pPr>
        <w:tabs>
          <w:tab w:val="left" w:pos="709"/>
        </w:tabs>
        <w:autoSpaceDE w:val="0"/>
        <w:autoSpaceDN w:val="0"/>
        <w:adjustRightInd w:val="0"/>
        <w:ind w:firstLine="709"/>
        <w:jc w:val="both"/>
        <w:rPr>
          <w:rFonts w:eastAsia="Calibri"/>
          <w:sz w:val="16"/>
          <w:szCs w:val="16"/>
          <w:highlight w:val="yellow"/>
        </w:rPr>
      </w:pPr>
    </w:p>
    <w:p w:rsidR="00191861" w:rsidRPr="00467F9C" w:rsidRDefault="00191861" w:rsidP="00191861">
      <w:pPr>
        <w:autoSpaceDE w:val="0"/>
        <w:autoSpaceDN w:val="0"/>
        <w:adjustRightInd w:val="0"/>
        <w:ind w:firstLine="708"/>
        <w:jc w:val="both"/>
        <w:rPr>
          <w:sz w:val="28"/>
          <w:szCs w:val="28"/>
          <w:highlight w:val="yellow"/>
        </w:rPr>
      </w:pPr>
      <w:r w:rsidRPr="00467F9C">
        <w:rPr>
          <w:b/>
          <w:sz w:val="28"/>
          <w:szCs w:val="28"/>
        </w:rPr>
        <w:t>Государственная программа «Охрана окружающей среды и обеспечение рационального природопользования в Чукотском автономном округе»</w:t>
      </w:r>
      <w:r w:rsidRPr="00467F9C">
        <w:rPr>
          <w:rStyle w:val="ab"/>
          <w:sz w:val="28"/>
          <w:szCs w:val="28"/>
        </w:rPr>
        <w:footnoteReference w:id="108"/>
      </w:r>
      <w:r w:rsidRPr="00467F9C">
        <w:rPr>
          <w:sz w:val="28"/>
          <w:szCs w:val="28"/>
        </w:rPr>
        <w:t xml:space="preserve"> включает в себя 7 подпрограмм, </w:t>
      </w:r>
      <w:r w:rsidRPr="00467F9C">
        <w:rPr>
          <w:rFonts w:eastAsia="Calibri"/>
          <w:sz w:val="28"/>
          <w:szCs w:val="28"/>
        </w:rPr>
        <w:t>6 из которых реализовывались в 2021 году</w:t>
      </w:r>
      <w:r w:rsidRPr="00467F9C">
        <w:rPr>
          <w:sz w:val="28"/>
          <w:szCs w:val="28"/>
        </w:rPr>
        <w:t xml:space="preserve">. Ответственным исполнителем </w:t>
      </w:r>
      <w:r w:rsidRPr="00467F9C">
        <w:rPr>
          <w:bCs/>
          <w:sz w:val="28"/>
          <w:szCs w:val="28"/>
        </w:rPr>
        <w:t>Государственной программы</w:t>
      </w:r>
      <w:r w:rsidRPr="00467F9C">
        <w:rPr>
          <w:sz w:val="28"/>
          <w:szCs w:val="28"/>
        </w:rPr>
        <w:t xml:space="preserve"> определен Департамент природных ресурсов, участниками – Департамент образования и Государственное казенное учреждение Чукотского автономного округа «Служба охраны животного мира, природопользования и экологического мониторинга».</w:t>
      </w:r>
    </w:p>
    <w:p w:rsidR="00191861" w:rsidRPr="00467F9C" w:rsidRDefault="00191861" w:rsidP="00191861">
      <w:pPr>
        <w:ind w:firstLine="708"/>
        <w:jc w:val="both"/>
        <w:rPr>
          <w:bCs/>
          <w:sz w:val="28"/>
          <w:szCs w:val="28"/>
        </w:rPr>
      </w:pPr>
      <w:r w:rsidRPr="00467F9C">
        <w:rPr>
          <w:bCs/>
          <w:sz w:val="28"/>
          <w:szCs w:val="28"/>
        </w:rPr>
        <w:t>Целями Государственной программы являются: повышение уровня экологической безопасности, сохранение и восстановление природной среды; устойчивое функционирование государственных органов и подведомственных учреждений.</w:t>
      </w:r>
    </w:p>
    <w:p w:rsidR="00191861" w:rsidRPr="00467F9C" w:rsidRDefault="00191861" w:rsidP="00191861">
      <w:pPr>
        <w:pStyle w:val="41"/>
        <w:rPr>
          <w:color w:val="auto"/>
        </w:rPr>
      </w:pPr>
      <w:r w:rsidRPr="00467F9C">
        <w:rPr>
          <w:color w:val="auto"/>
        </w:rPr>
        <w:t xml:space="preserve">На реализацию мероприятий Государственной программы в отчетном периоде направлено </w:t>
      </w:r>
      <w:r w:rsidRPr="00467F9C">
        <w:rPr>
          <w:bCs/>
          <w:color w:val="auto"/>
        </w:rPr>
        <w:t>217 090,3</w:t>
      </w:r>
      <w:r w:rsidRPr="00467F9C">
        <w:rPr>
          <w:b/>
          <w:bCs/>
          <w:color w:val="auto"/>
          <w:sz w:val="18"/>
          <w:szCs w:val="18"/>
        </w:rPr>
        <w:t xml:space="preserve"> </w:t>
      </w:r>
      <w:r w:rsidRPr="00467F9C">
        <w:rPr>
          <w:color w:val="auto"/>
        </w:rPr>
        <w:t>тыс. рублей или 95,4% от предусмотренных сводной бюджетной росписью ассигнований (227 572,5 тыс. рублей).</w:t>
      </w:r>
    </w:p>
    <w:p w:rsidR="00191861" w:rsidRPr="00467F9C" w:rsidRDefault="00191861" w:rsidP="00191861">
      <w:pPr>
        <w:pStyle w:val="41"/>
        <w:rPr>
          <w:color w:val="auto"/>
        </w:rPr>
      </w:pPr>
      <w:r w:rsidRPr="00467F9C">
        <w:rPr>
          <w:color w:val="auto"/>
        </w:rPr>
        <w:t>Фактическое исполнение мероприятий Госпрограммы составило 209 255,5 тыс. рублей (из них 2 498,1 тыс. рублей – реализованы гранты, полученные в 2020 году) или 96,4% от направленных на её реализацию бюджетных ассигнований.</w:t>
      </w:r>
    </w:p>
    <w:p w:rsidR="00191861" w:rsidRPr="00467F9C" w:rsidRDefault="00191861" w:rsidP="00191861">
      <w:pPr>
        <w:ind w:firstLine="709"/>
        <w:jc w:val="both"/>
        <w:rPr>
          <w:sz w:val="28"/>
          <w:szCs w:val="28"/>
          <w:highlight w:val="yellow"/>
        </w:rPr>
      </w:pPr>
      <w:r w:rsidRPr="00467F9C">
        <w:rPr>
          <w:sz w:val="28"/>
          <w:szCs w:val="28"/>
        </w:rPr>
        <w:t>Исполнение на уровне 100% от полученного финансирования сложилось по четырём подпрограммам: «Воспроизводство и использование объектов животного мира», «Мониторинг состояния окружающей среды», «Предотвращение негативного воздействия на окружающую среду и ликвидация его последствий» и «Обеспечение деятельности государственных органов и подведомственных учреждений».</w:t>
      </w:r>
    </w:p>
    <w:p w:rsidR="00191861" w:rsidRPr="00467F9C" w:rsidRDefault="00191861" w:rsidP="00191861">
      <w:pPr>
        <w:ind w:firstLine="709"/>
        <w:contextualSpacing/>
        <w:jc w:val="both"/>
        <w:rPr>
          <w:sz w:val="28"/>
          <w:szCs w:val="28"/>
        </w:rPr>
      </w:pPr>
      <w:r w:rsidRPr="00467F9C">
        <w:rPr>
          <w:sz w:val="28"/>
          <w:szCs w:val="28"/>
        </w:rPr>
        <w:t>Фактическое выполнение подпрограммы «Вселенная белого медведя» в 2021 году составило 2 498,1 тыс. рублей – реализован в рамках основного мероприятия «Профилактика конфликтных ситуаций «Человек - белый медведь»  грант некоммерческим организациям на проведение мероприятий по защите человека от белого медведя в границах населенных пунктов, расположенных в береговой зоне Чукотского автономного округа в сумме, предоставленный в 2020 году. В отчетном периоде по данному мероприятию предоставлен грант в сумме 7 658,3 тыс. рублей со сроком реализации за пределами отчетного периода.</w:t>
      </w:r>
    </w:p>
    <w:p w:rsidR="00191861" w:rsidRPr="00467F9C" w:rsidRDefault="00191861" w:rsidP="00191861">
      <w:pPr>
        <w:ind w:left="57" w:right="57" w:firstLine="652"/>
        <w:jc w:val="both"/>
        <w:rPr>
          <w:sz w:val="28"/>
          <w:szCs w:val="28"/>
        </w:rPr>
      </w:pPr>
      <w:r w:rsidRPr="00467F9C">
        <w:rPr>
          <w:sz w:val="28"/>
          <w:szCs w:val="28"/>
        </w:rPr>
        <w:t xml:space="preserve">В рамках подпрограммы «Реализация комплекса мероприятий по обращению с отходами» реализуется региональный проект «Комплексная система </w:t>
      </w:r>
      <w:r w:rsidRPr="00467F9C">
        <w:rPr>
          <w:sz w:val="28"/>
          <w:szCs w:val="28"/>
        </w:rPr>
        <w:lastRenderedPageBreak/>
        <w:t xml:space="preserve">обращения в твердыми коммунальными отходами». В отчетном периоде направлено 2 674,7 тыс. рублей на оплату выполненных работ по разработке проектной документации на строительство полигона твердых коммунальных отходов в г. Билибино. Однако, в связи с тем, что подрядчик (ООО «Строительная компания «Альянс») не исполнил обязательства, предусмотренные условиями контракта, Администрация </w:t>
      </w:r>
      <w:proofErr w:type="spellStart"/>
      <w:r w:rsidRPr="00467F9C">
        <w:rPr>
          <w:sz w:val="28"/>
          <w:szCs w:val="28"/>
        </w:rPr>
        <w:t>Билибинского</w:t>
      </w:r>
      <w:proofErr w:type="spellEnd"/>
      <w:r w:rsidRPr="00467F9C">
        <w:rPr>
          <w:sz w:val="28"/>
          <w:szCs w:val="28"/>
        </w:rPr>
        <w:t xml:space="preserve"> муниципального района в одностороннем порядке расторгла контракт в феврале 2022 года, средства в полном объеме возвращены в окружной бюджет.</w:t>
      </w:r>
    </w:p>
    <w:p w:rsidR="00191861" w:rsidRPr="00467F9C" w:rsidRDefault="00191861" w:rsidP="00191861">
      <w:pPr>
        <w:ind w:left="57" w:right="57" w:firstLine="651"/>
        <w:jc w:val="both"/>
        <w:rPr>
          <w:sz w:val="28"/>
          <w:szCs w:val="28"/>
        </w:rPr>
      </w:pPr>
      <w:r w:rsidRPr="00467F9C">
        <w:rPr>
          <w:sz w:val="28"/>
          <w:szCs w:val="28"/>
        </w:rPr>
        <w:t xml:space="preserve">Также, Администрацией городского округа </w:t>
      </w:r>
      <w:proofErr w:type="spellStart"/>
      <w:r w:rsidRPr="00467F9C">
        <w:rPr>
          <w:sz w:val="28"/>
          <w:szCs w:val="28"/>
        </w:rPr>
        <w:t>Певек</w:t>
      </w:r>
      <w:proofErr w:type="spellEnd"/>
      <w:r w:rsidRPr="00467F9C">
        <w:rPr>
          <w:sz w:val="28"/>
          <w:szCs w:val="28"/>
        </w:rPr>
        <w:t xml:space="preserve"> в 2021 году было заключено 6 муниципальных контрактов на выполнение работ по разработке проектно-сметной документации на строительство (реконструкцию) полигона ТКО на территории городского округа </w:t>
      </w:r>
      <w:proofErr w:type="spellStart"/>
      <w:r w:rsidRPr="00467F9C">
        <w:rPr>
          <w:sz w:val="28"/>
          <w:szCs w:val="28"/>
        </w:rPr>
        <w:t>Певек</w:t>
      </w:r>
      <w:proofErr w:type="spellEnd"/>
      <w:r w:rsidRPr="00467F9C">
        <w:rPr>
          <w:sz w:val="28"/>
          <w:szCs w:val="28"/>
        </w:rPr>
        <w:t>, которые в ноябре 2021 года были расторгнуты по обоюдному согласию сторон в связи с недобросовестностью подрядчика, заключающегося в нарушении сроков выполнения работ.</w:t>
      </w:r>
    </w:p>
    <w:p w:rsidR="00191861" w:rsidRPr="00467F9C" w:rsidRDefault="00191861" w:rsidP="00191861">
      <w:pPr>
        <w:autoSpaceDE w:val="0"/>
        <w:autoSpaceDN w:val="0"/>
        <w:adjustRightInd w:val="0"/>
        <w:jc w:val="both"/>
        <w:rPr>
          <w:b/>
          <w:bCs/>
          <w:sz w:val="16"/>
          <w:szCs w:val="16"/>
        </w:rPr>
      </w:pPr>
      <w:r w:rsidRPr="00467F9C">
        <w:rPr>
          <w:bCs/>
          <w:sz w:val="28"/>
          <w:szCs w:val="28"/>
        </w:rPr>
        <w:tab/>
      </w:r>
      <w:r w:rsidRPr="00467F9C">
        <w:rPr>
          <w:sz w:val="28"/>
          <w:szCs w:val="28"/>
        </w:rPr>
        <w:tab/>
      </w:r>
      <w:bookmarkEnd w:id="48"/>
    </w:p>
    <w:p w:rsidR="00191861" w:rsidRPr="00467F9C" w:rsidRDefault="00191861" w:rsidP="00191861">
      <w:pPr>
        <w:ind w:firstLine="709"/>
        <w:jc w:val="both"/>
        <w:rPr>
          <w:rFonts w:eastAsia="Calibri"/>
          <w:sz w:val="28"/>
          <w:szCs w:val="28"/>
        </w:rPr>
      </w:pPr>
      <w:r w:rsidRPr="00467F9C">
        <w:rPr>
          <w:b/>
          <w:sz w:val="28"/>
          <w:szCs w:val="28"/>
        </w:rPr>
        <w:t>Государственная программа «Развитие энергетики Чукотского автономного округа»</w:t>
      </w:r>
      <w:r w:rsidRPr="00467F9C">
        <w:rPr>
          <w:rStyle w:val="ab"/>
          <w:sz w:val="28"/>
          <w:szCs w:val="28"/>
        </w:rPr>
        <w:footnoteReference w:id="109"/>
      </w:r>
      <w:r w:rsidRPr="00467F9C">
        <w:rPr>
          <w:rFonts w:eastAsia="Calibri"/>
          <w:sz w:val="28"/>
          <w:szCs w:val="28"/>
        </w:rPr>
        <w:t xml:space="preserve"> </w:t>
      </w:r>
      <w:r w:rsidRPr="00467F9C">
        <w:rPr>
          <w:sz w:val="28"/>
          <w:szCs w:val="28"/>
        </w:rPr>
        <w:t xml:space="preserve">включает в себя 5 подпрограмм, </w:t>
      </w:r>
      <w:r w:rsidRPr="00467F9C">
        <w:rPr>
          <w:rFonts w:eastAsia="Calibri"/>
          <w:sz w:val="28"/>
          <w:szCs w:val="28"/>
        </w:rPr>
        <w:t>4 из которых реализовывались в 2021 году</w:t>
      </w:r>
      <w:r w:rsidRPr="00467F9C">
        <w:rPr>
          <w:sz w:val="28"/>
          <w:szCs w:val="28"/>
        </w:rPr>
        <w:t>.</w:t>
      </w:r>
      <w:r w:rsidRPr="00467F9C">
        <w:rPr>
          <w:rFonts w:eastAsia="Calibri"/>
          <w:sz w:val="28"/>
          <w:szCs w:val="28"/>
        </w:rPr>
        <w:t xml:space="preserve"> Ответственным исполнителем </w:t>
      </w:r>
      <w:r w:rsidRPr="00467F9C">
        <w:rPr>
          <w:sz w:val="28"/>
          <w:szCs w:val="28"/>
        </w:rPr>
        <w:t xml:space="preserve">Государственной программы </w:t>
      </w:r>
      <w:r w:rsidRPr="00467F9C">
        <w:rPr>
          <w:rFonts w:eastAsia="Calibri"/>
          <w:sz w:val="28"/>
          <w:szCs w:val="28"/>
        </w:rPr>
        <w:t xml:space="preserve">определен Департамент промышленной политики, участник – </w:t>
      </w:r>
      <w:r w:rsidRPr="00467F9C">
        <w:rPr>
          <w:bCs/>
          <w:sz w:val="28"/>
          <w:szCs w:val="28"/>
        </w:rPr>
        <w:t>Государственное казенное учреждение «Управление капитального строительства Чукотского автономного округа».</w:t>
      </w:r>
    </w:p>
    <w:p w:rsidR="00191861" w:rsidRPr="00467F9C" w:rsidRDefault="00191861" w:rsidP="00191861">
      <w:pPr>
        <w:autoSpaceDE w:val="0"/>
        <w:autoSpaceDN w:val="0"/>
        <w:adjustRightInd w:val="0"/>
        <w:ind w:firstLine="709"/>
        <w:jc w:val="both"/>
        <w:rPr>
          <w:rFonts w:eastAsia="Calibri"/>
          <w:sz w:val="28"/>
          <w:szCs w:val="28"/>
        </w:rPr>
      </w:pPr>
      <w:r w:rsidRPr="00467F9C">
        <w:rPr>
          <w:rFonts w:eastAsia="Calibri"/>
          <w:sz w:val="28"/>
          <w:szCs w:val="28"/>
        </w:rPr>
        <w:t>Целями Государственной программы являются: п</w:t>
      </w:r>
      <w:r w:rsidRPr="00467F9C">
        <w:rPr>
          <w:rFonts w:eastAsia="Calibri"/>
          <w:bCs/>
          <w:sz w:val="28"/>
          <w:szCs w:val="28"/>
        </w:rPr>
        <w:t>овышение энергетической безопасности Чукотского автономного округа; обеспечение надежного и бесперебойного снабжения потребителей Чукотского автономного округа топливно-энергетическими ресурсами; сдерживание роста тарифов на электро- и теплоэнергию в Чукотском автономном округе.</w:t>
      </w:r>
    </w:p>
    <w:p w:rsidR="00191861" w:rsidRPr="00467F9C" w:rsidRDefault="00191861" w:rsidP="00191861">
      <w:pPr>
        <w:pStyle w:val="41"/>
        <w:rPr>
          <w:rFonts w:eastAsia="Times New Roman"/>
          <w:color w:val="auto"/>
        </w:rPr>
      </w:pPr>
      <w:r w:rsidRPr="00467F9C">
        <w:rPr>
          <w:color w:val="auto"/>
        </w:rPr>
        <w:t xml:space="preserve">На реализацию мероприятий Государственной программы в отчетном периоде направлено </w:t>
      </w:r>
      <w:r w:rsidRPr="00467F9C">
        <w:rPr>
          <w:bCs/>
          <w:color w:val="auto"/>
        </w:rPr>
        <w:t>9 861 302,4</w:t>
      </w:r>
      <w:r w:rsidRPr="00467F9C">
        <w:rPr>
          <w:b/>
          <w:bCs/>
          <w:color w:val="auto"/>
          <w:sz w:val="18"/>
          <w:szCs w:val="18"/>
        </w:rPr>
        <w:t xml:space="preserve"> </w:t>
      </w:r>
      <w:r w:rsidRPr="00467F9C">
        <w:rPr>
          <w:color w:val="auto"/>
        </w:rPr>
        <w:t>тыс. рублей или 95,6% от предусмотренных СБР ассигнований (10 315 862,3 тыс. рублей). Р</w:t>
      </w:r>
      <w:r w:rsidRPr="00467F9C">
        <w:rPr>
          <w:rFonts w:eastAsia="Calibri"/>
          <w:color w:val="auto"/>
        </w:rPr>
        <w:t>асходы по Государственной программе фактически исполнены на 9 835 135,8 тыс. рублей или 99,7% от полученного финансирования на её реализацию.</w:t>
      </w:r>
      <w:r w:rsidRPr="00467F9C">
        <w:rPr>
          <w:color w:val="auto"/>
        </w:rPr>
        <w:t xml:space="preserve"> </w:t>
      </w:r>
    </w:p>
    <w:p w:rsidR="00191861" w:rsidRPr="00467F9C" w:rsidRDefault="00191861" w:rsidP="00191861">
      <w:pPr>
        <w:tabs>
          <w:tab w:val="left" w:pos="709"/>
        </w:tabs>
        <w:ind w:firstLine="709"/>
        <w:jc w:val="both"/>
        <w:rPr>
          <w:sz w:val="28"/>
          <w:szCs w:val="28"/>
        </w:rPr>
      </w:pPr>
      <w:bookmarkStart w:id="49" w:name="_Hlk40097600"/>
      <w:r w:rsidRPr="00467F9C">
        <w:rPr>
          <w:rFonts w:eastAsia="Calibri"/>
          <w:sz w:val="28"/>
          <w:szCs w:val="28"/>
        </w:rPr>
        <w:t xml:space="preserve">В 2021 году принят в собственность Чукотского автономного округа законченный строительством объект «ВЛ 110 </w:t>
      </w:r>
      <w:proofErr w:type="spellStart"/>
      <w:r w:rsidRPr="00467F9C">
        <w:rPr>
          <w:rFonts w:eastAsia="Calibri"/>
          <w:sz w:val="28"/>
          <w:szCs w:val="28"/>
        </w:rPr>
        <w:t>Кв</w:t>
      </w:r>
      <w:proofErr w:type="spellEnd"/>
      <w:r w:rsidRPr="00467F9C">
        <w:rPr>
          <w:rFonts w:eastAsia="Calibri"/>
          <w:sz w:val="28"/>
          <w:szCs w:val="28"/>
        </w:rPr>
        <w:t xml:space="preserve"> </w:t>
      </w:r>
      <w:proofErr w:type="spellStart"/>
      <w:r w:rsidRPr="00467F9C">
        <w:rPr>
          <w:rFonts w:eastAsia="Calibri"/>
          <w:sz w:val="28"/>
          <w:szCs w:val="28"/>
        </w:rPr>
        <w:t>Билибино</w:t>
      </w:r>
      <w:proofErr w:type="spellEnd"/>
      <w:r w:rsidRPr="00467F9C">
        <w:rPr>
          <w:rFonts w:eastAsia="Calibri"/>
          <w:sz w:val="28"/>
          <w:szCs w:val="28"/>
        </w:rPr>
        <w:t xml:space="preserve">-Песчанка </w:t>
      </w:r>
      <w:r w:rsidRPr="00467F9C">
        <w:rPr>
          <w:rFonts w:eastAsia="Calibri"/>
          <w:sz w:val="28"/>
          <w:szCs w:val="28"/>
          <w:lang w:val="en-US"/>
        </w:rPr>
        <w:t>I</w:t>
      </w:r>
      <w:r w:rsidRPr="00467F9C">
        <w:rPr>
          <w:rFonts w:eastAsia="Calibri"/>
          <w:sz w:val="28"/>
          <w:szCs w:val="28"/>
        </w:rPr>
        <w:t xml:space="preserve"> цепь с отпайкой на ПС </w:t>
      </w:r>
      <w:proofErr w:type="spellStart"/>
      <w:r w:rsidRPr="00467F9C">
        <w:rPr>
          <w:rFonts w:eastAsia="Calibri"/>
          <w:sz w:val="28"/>
          <w:szCs w:val="28"/>
        </w:rPr>
        <w:t>Кекура</w:t>
      </w:r>
      <w:proofErr w:type="spellEnd"/>
      <w:r w:rsidRPr="00467F9C">
        <w:rPr>
          <w:rFonts w:eastAsia="Calibri"/>
          <w:sz w:val="28"/>
          <w:szCs w:val="28"/>
        </w:rPr>
        <w:t xml:space="preserve">», общей стоимостью 4 199 928,6 тыс. рублей. Реализация объекта осуществлялась в 2017-2021 годах в рамках подпрограммы </w:t>
      </w:r>
      <w:r w:rsidRPr="00467F9C">
        <w:rPr>
          <w:bCs/>
          <w:sz w:val="28"/>
          <w:szCs w:val="28"/>
        </w:rPr>
        <w:t xml:space="preserve">«Развитие и модернизация электроэнергетики». </w:t>
      </w:r>
    </w:p>
    <w:p w:rsidR="00191861" w:rsidRPr="00467F9C" w:rsidRDefault="00191861" w:rsidP="00191861">
      <w:pPr>
        <w:tabs>
          <w:tab w:val="left" w:pos="709"/>
        </w:tabs>
        <w:ind w:firstLine="709"/>
        <w:jc w:val="both"/>
        <w:rPr>
          <w:sz w:val="28"/>
          <w:szCs w:val="28"/>
        </w:rPr>
      </w:pPr>
      <w:r w:rsidRPr="00467F9C">
        <w:rPr>
          <w:bCs/>
          <w:sz w:val="28"/>
          <w:szCs w:val="28"/>
        </w:rPr>
        <w:t xml:space="preserve">В 2021 году </w:t>
      </w:r>
      <w:r w:rsidRPr="00467F9C">
        <w:rPr>
          <w:rFonts w:eastAsia="Calibri"/>
          <w:sz w:val="28"/>
          <w:szCs w:val="28"/>
        </w:rPr>
        <w:t xml:space="preserve">не исполнялись мероприятия по реализации инвестиционных проектов по организации добычи и переработки многокомпонентных руд, в том числе содержащих цветные и благородные металлы («ВЛ 220 </w:t>
      </w:r>
      <w:proofErr w:type="spellStart"/>
      <w:r w:rsidRPr="00467F9C">
        <w:rPr>
          <w:rFonts w:eastAsia="Calibri"/>
          <w:sz w:val="28"/>
          <w:szCs w:val="28"/>
        </w:rPr>
        <w:t>кВ</w:t>
      </w:r>
      <w:proofErr w:type="spellEnd"/>
      <w:r w:rsidRPr="00467F9C">
        <w:rPr>
          <w:rFonts w:eastAsia="Calibri"/>
          <w:sz w:val="28"/>
          <w:szCs w:val="28"/>
        </w:rPr>
        <w:t xml:space="preserve"> Омсукчан - ПП-– Песчанка»,</w:t>
      </w:r>
      <w:r w:rsidRPr="00467F9C">
        <w:t xml:space="preserve"> «</w:t>
      </w:r>
      <w:r w:rsidRPr="00467F9C">
        <w:rPr>
          <w:rFonts w:eastAsia="Calibri"/>
          <w:sz w:val="28"/>
          <w:szCs w:val="28"/>
        </w:rPr>
        <w:t xml:space="preserve">РП Омсукчан» и «ВЛ 220 </w:t>
      </w:r>
      <w:proofErr w:type="spellStart"/>
      <w:r w:rsidRPr="00467F9C">
        <w:rPr>
          <w:rFonts w:eastAsia="Calibri"/>
          <w:sz w:val="28"/>
          <w:szCs w:val="28"/>
        </w:rPr>
        <w:t>кВ</w:t>
      </w:r>
      <w:proofErr w:type="spellEnd"/>
      <w:r w:rsidRPr="00467F9C">
        <w:rPr>
          <w:rFonts w:eastAsia="Calibri"/>
          <w:sz w:val="28"/>
          <w:szCs w:val="28"/>
        </w:rPr>
        <w:t xml:space="preserve"> Омсукчан – РУ УС ГЭС»), на реализацию которых в 2018-2019 годах направлено финансирование в сумме 11 389 751,4 тыс. рублей в виде субсидии на осуществление капитальных вложений в объекты капитального строительства, входящие в состав инвестиционного проекта </w:t>
      </w:r>
      <w:r w:rsidRPr="00467F9C">
        <w:rPr>
          <w:sz w:val="28"/>
          <w:szCs w:val="28"/>
        </w:rPr>
        <w:t xml:space="preserve"> «Строительство «ВЛ 220 </w:t>
      </w:r>
      <w:proofErr w:type="spellStart"/>
      <w:r w:rsidRPr="00467F9C">
        <w:rPr>
          <w:sz w:val="28"/>
          <w:szCs w:val="28"/>
        </w:rPr>
        <w:t>кВ</w:t>
      </w:r>
      <w:proofErr w:type="spellEnd"/>
      <w:r w:rsidRPr="00467F9C">
        <w:rPr>
          <w:sz w:val="28"/>
          <w:szCs w:val="28"/>
        </w:rPr>
        <w:t xml:space="preserve"> Омсукчан – ПП – Песчанка» и объектов </w:t>
      </w:r>
      <w:r w:rsidRPr="00467F9C">
        <w:rPr>
          <w:sz w:val="28"/>
          <w:szCs w:val="28"/>
        </w:rPr>
        <w:lastRenderedPageBreak/>
        <w:t>технологического присоединения, находящиеся в собственности Акционерного общества «</w:t>
      </w:r>
      <w:proofErr w:type="spellStart"/>
      <w:r w:rsidRPr="00467F9C">
        <w:rPr>
          <w:sz w:val="28"/>
          <w:szCs w:val="28"/>
        </w:rPr>
        <w:t>Дальэнергомост</w:t>
      </w:r>
      <w:proofErr w:type="spellEnd"/>
      <w:r w:rsidRPr="00467F9C">
        <w:rPr>
          <w:sz w:val="28"/>
          <w:szCs w:val="28"/>
        </w:rPr>
        <w:t xml:space="preserve">». </w:t>
      </w:r>
    </w:p>
    <w:bookmarkEnd w:id="49"/>
    <w:p w:rsidR="00191861" w:rsidRPr="00467F9C" w:rsidRDefault="00191861" w:rsidP="00191861">
      <w:pPr>
        <w:tabs>
          <w:tab w:val="left" w:pos="709"/>
        </w:tabs>
        <w:jc w:val="both"/>
        <w:rPr>
          <w:rFonts w:eastAsia="Calibri"/>
          <w:b/>
          <w:sz w:val="16"/>
          <w:szCs w:val="16"/>
          <w:highlight w:val="yellow"/>
        </w:rPr>
      </w:pPr>
      <w:r w:rsidRPr="00467F9C">
        <w:rPr>
          <w:sz w:val="20"/>
          <w:szCs w:val="20"/>
        </w:rPr>
        <w:tab/>
      </w:r>
    </w:p>
    <w:p w:rsidR="00191861" w:rsidRPr="00467F9C" w:rsidRDefault="00191861" w:rsidP="00191861">
      <w:pPr>
        <w:ind w:firstLine="709"/>
        <w:jc w:val="both"/>
        <w:rPr>
          <w:rFonts w:eastAsia="Calibri"/>
          <w:sz w:val="28"/>
          <w:szCs w:val="28"/>
        </w:rPr>
      </w:pPr>
      <w:r w:rsidRPr="00467F9C">
        <w:rPr>
          <w:rFonts w:eastAsia="Calibri"/>
          <w:b/>
          <w:sz w:val="28"/>
          <w:szCs w:val="28"/>
        </w:rPr>
        <w:t>Государственная программа «</w:t>
      </w:r>
      <w:r w:rsidRPr="00467F9C">
        <w:rPr>
          <w:rFonts w:eastAsia="Calibri"/>
          <w:b/>
          <w:bCs/>
          <w:sz w:val="28"/>
          <w:szCs w:val="28"/>
        </w:rPr>
        <w:t>Обеспечение охраны общественного порядка и повышения безопасности дорожного движения в Чукотском автономном округе»</w:t>
      </w:r>
      <w:r w:rsidRPr="00467F9C">
        <w:rPr>
          <w:rStyle w:val="ab"/>
          <w:rFonts w:eastAsia="Calibri"/>
          <w:bCs/>
          <w:sz w:val="28"/>
          <w:szCs w:val="28"/>
        </w:rPr>
        <w:footnoteReference w:id="110"/>
      </w:r>
      <w:r w:rsidRPr="00467F9C">
        <w:rPr>
          <w:rFonts w:eastAsia="Calibri"/>
          <w:sz w:val="28"/>
          <w:szCs w:val="28"/>
        </w:rPr>
        <w:t xml:space="preserve"> состоит из двух подпрограмм. Ответственный исполнитель </w:t>
      </w:r>
      <w:r w:rsidRPr="00467F9C">
        <w:rPr>
          <w:sz w:val="28"/>
          <w:szCs w:val="28"/>
        </w:rPr>
        <w:t>Государственной программы</w:t>
      </w:r>
      <w:r w:rsidRPr="00467F9C">
        <w:rPr>
          <w:rFonts w:eastAsia="Calibri"/>
          <w:sz w:val="28"/>
          <w:szCs w:val="28"/>
        </w:rPr>
        <w:t xml:space="preserve"> - Аппарат Губернатора и Правительства Чукотского автономного округа, соисполнитель – Департамент промышленной политики, участников – 8. </w:t>
      </w:r>
    </w:p>
    <w:p w:rsidR="00191861" w:rsidRPr="00467F9C" w:rsidRDefault="00191861" w:rsidP="00191861">
      <w:pPr>
        <w:tabs>
          <w:tab w:val="left" w:pos="709"/>
        </w:tabs>
        <w:autoSpaceDE w:val="0"/>
        <w:autoSpaceDN w:val="0"/>
        <w:adjustRightInd w:val="0"/>
        <w:ind w:firstLine="709"/>
        <w:jc w:val="both"/>
        <w:rPr>
          <w:rFonts w:eastAsia="Calibri"/>
          <w:sz w:val="28"/>
          <w:szCs w:val="28"/>
        </w:rPr>
      </w:pPr>
      <w:r w:rsidRPr="00467F9C">
        <w:rPr>
          <w:rFonts w:eastAsia="Calibri"/>
          <w:sz w:val="28"/>
          <w:szCs w:val="28"/>
        </w:rPr>
        <w:t xml:space="preserve">Целями </w:t>
      </w:r>
      <w:r w:rsidRPr="00467F9C">
        <w:rPr>
          <w:sz w:val="28"/>
          <w:szCs w:val="28"/>
        </w:rPr>
        <w:t>Государственной программы</w:t>
      </w:r>
      <w:r w:rsidRPr="00467F9C">
        <w:rPr>
          <w:rFonts w:eastAsia="Calibri"/>
          <w:sz w:val="28"/>
          <w:szCs w:val="28"/>
        </w:rPr>
        <w:t xml:space="preserve"> являются: обеспечение безопасности и правопорядка, совершенствование системы профилактики правонарушений, противодействие причинам и условиям, способствующим их совершению; обеспечение безопасности дорожного движения, совершенствование системы профилактики, противодействие причинам и условиям, способствующим их совершению; повышение уровня доверия граждан к органам внутренних дел Российской Федерации со стороны населения.</w:t>
      </w:r>
    </w:p>
    <w:p w:rsidR="00191861" w:rsidRPr="00467F9C" w:rsidRDefault="00191861" w:rsidP="00191861">
      <w:pPr>
        <w:pStyle w:val="41"/>
        <w:rPr>
          <w:color w:val="auto"/>
        </w:rPr>
      </w:pPr>
      <w:r w:rsidRPr="00467F9C">
        <w:rPr>
          <w:color w:val="auto"/>
        </w:rPr>
        <w:t xml:space="preserve">На реализацию мероприятий Государственной программы в отчетном периоде направлено </w:t>
      </w:r>
      <w:r w:rsidRPr="00467F9C">
        <w:rPr>
          <w:bCs/>
          <w:color w:val="auto"/>
        </w:rPr>
        <w:t>510,4</w:t>
      </w:r>
      <w:r w:rsidRPr="00467F9C">
        <w:rPr>
          <w:b/>
          <w:bCs/>
          <w:color w:val="auto"/>
          <w:sz w:val="18"/>
          <w:szCs w:val="18"/>
        </w:rPr>
        <w:t xml:space="preserve"> </w:t>
      </w:r>
      <w:r w:rsidRPr="00467F9C">
        <w:rPr>
          <w:color w:val="auto"/>
        </w:rPr>
        <w:t>тыс. рублей или 49,1% от предусмотренных сводной бюджетной росписью ассигнований (1 040,4 тыс. рублей), исполнение мероприятий Госпрограммы составило 100,0% от полученного финансирования.</w:t>
      </w:r>
    </w:p>
    <w:p w:rsidR="00191861" w:rsidRPr="00467F9C" w:rsidRDefault="00191861" w:rsidP="00191861">
      <w:pPr>
        <w:pStyle w:val="af8"/>
        <w:tabs>
          <w:tab w:val="left" w:pos="709"/>
        </w:tabs>
        <w:ind w:firstLine="709"/>
        <w:jc w:val="both"/>
        <w:rPr>
          <w:sz w:val="16"/>
          <w:szCs w:val="16"/>
          <w:highlight w:val="yellow"/>
        </w:rPr>
      </w:pPr>
    </w:p>
    <w:p w:rsidR="00191861" w:rsidRPr="00467F9C" w:rsidRDefault="00191861" w:rsidP="00191861">
      <w:pPr>
        <w:pStyle w:val="af8"/>
        <w:tabs>
          <w:tab w:val="left" w:pos="709"/>
        </w:tabs>
        <w:ind w:firstLine="709"/>
        <w:jc w:val="both"/>
        <w:rPr>
          <w:sz w:val="28"/>
          <w:szCs w:val="28"/>
        </w:rPr>
      </w:pPr>
      <w:r w:rsidRPr="00467F9C">
        <w:rPr>
          <w:rFonts w:eastAsia="Calibri"/>
          <w:b/>
          <w:sz w:val="28"/>
          <w:szCs w:val="28"/>
        </w:rPr>
        <w:t xml:space="preserve">Государственная программа </w:t>
      </w:r>
      <w:r w:rsidRPr="00467F9C">
        <w:rPr>
          <w:b/>
          <w:sz w:val="28"/>
          <w:szCs w:val="28"/>
        </w:rPr>
        <w:t>«Формирование комфортной городской среды в Чукотском автономном округе»</w:t>
      </w:r>
      <w:r w:rsidRPr="00467F9C">
        <w:rPr>
          <w:rStyle w:val="ab"/>
          <w:szCs w:val="28"/>
        </w:rPr>
        <w:footnoteReference w:id="111"/>
      </w:r>
      <w:r w:rsidRPr="00467F9C">
        <w:rPr>
          <w:sz w:val="28"/>
          <w:szCs w:val="28"/>
        </w:rPr>
        <w:t xml:space="preserve"> включает в себя 2 подпрограммы, </w:t>
      </w:r>
      <w:r w:rsidRPr="00467F9C">
        <w:rPr>
          <w:rFonts w:eastAsia="Calibri"/>
          <w:sz w:val="28"/>
          <w:szCs w:val="28"/>
        </w:rPr>
        <w:t>из которых в 2021 году</w:t>
      </w:r>
      <w:r w:rsidRPr="00467F9C">
        <w:rPr>
          <w:sz w:val="28"/>
          <w:szCs w:val="28"/>
        </w:rPr>
        <w:t xml:space="preserve"> </w:t>
      </w:r>
      <w:r w:rsidRPr="00467F9C">
        <w:rPr>
          <w:rFonts w:eastAsia="Calibri"/>
          <w:sz w:val="28"/>
          <w:szCs w:val="28"/>
        </w:rPr>
        <w:t>реализовывалась</w:t>
      </w:r>
      <w:r w:rsidRPr="00467F9C">
        <w:rPr>
          <w:sz w:val="28"/>
          <w:szCs w:val="28"/>
        </w:rPr>
        <w:t xml:space="preserve"> подпрограмма «Содействие развитию благоустройства населенных пунктов и формирование современной городской среды». </w:t>
      </w:r>
      <w:r w:rsidRPr="00467F9C">
        <w:rPr>
          <w:rFonts w:eastAsia="Calibri"/>
          <w:sz w:val="28"/>
          <w:szCs w:val="28"/>
        </w:rPr>
        <w:t xml:space="preserve">Ответственный исполнитель </w:t>
      </w:r>
      <w:r w:rsidRPr="00467F9C">
        <w:rPr>
          <w:sz w:val="28"/>
          <w:szCs w:val="28"/>
        </w:rPr>
        <w:t>Государственной программы</w:t>
      </w:r>
      <w:r w:rsidRPr="00467F9C">
        <w:rPr>
          <w:rFonts w:eastAsia="Calibri"/>
          <w:sz w:val="28"/>
          <w:szCs w:val="28"/>
        </w:rPr>
        <w:t xml:space="preserve"> - Департамент промышленной политики.</w:t>
      </w:r>
    </w:p>
    <w:p w:rsidR="00191861" w:rsidRPr="00467F9C" w:rsidRDefault="00191861" w:rsidP="00191861">
      <w:pPr>
        <w:autoSpaceDE w:val="0"/>
        <w:autoSpaceDN w:val="0"/>
        <w:adjustRightInd w:val="0"/>
        <w:ind w:firstLine="708"/>
        <w:jc w:val="both"/>
        <w:rPr>
          <w:sz w:val="28"/>
          <w:szCs w:val="28"/>
        </w:rPr>
      </w:pPr>
      <w:r w:rsidRPr="00467F9C">
        <w:rPr>
          <w:sz w:val="28"/>
          <w:szCs w:val="28"/>
        </w:rPr>
        <w:t>Целью Государственной программы является повышение качества и комфорта городской среды на территории Чукотского автономного округа.</w:t>
      </w:r>
    </w:p>
    <w:p w:rsidR="00191861" w:rsidRPr="00467F9C" w:rsidRDefault="00191861" w:rsidP="00191861">
      <w:pPr>
        <w:pStyle w:val="41"/>
        <w:rPr>
          <w:color w:val="auto"/>
        </w:rPr>
      </w:pPr>
      <w:r w:rsidRPr="00467F9C">
        <w:rPr>
          <w:color w:val="auto"/>
        </w:rPr>
        <w:t xml:space="preserve">На реализацию мероприятий Государственной программы в отчетном периоде направлено </w:t>
      </w:r>
      <w:r w:rsidRPr="00467F9C">
        <w:rPr>
          <w:bCs/>
          <w:color w:val="auto"/>
        </w:rPr>
        <w:t>33 571,5</w:t>
      </w:r>
      <w:r w:rsidRPr="00467F9C">
        <w:rPr>
          <w:b/>
          <w:bCs/>
          <w:color w:val="auto"/>
          <w:sz w:val="18"/>
          <w:szCs w:val="18"/>
        </w:rPr>
        <w:t xml:space="preserve"> </w:t>
      </w:r>
      <w:r w:rsidRPr="00467F9C">
        <w:rPr>
          <w:color w:val="auto"/>
        </w:rPr>
        <w:t xml:space="preserve">тыс. рублей, что составило 100% от предусмотренных СБР ассигнований. </w:t>
      </w:r>
    </w:p>
    <w:p w:rsidR="00191861" w:rsidRPr="00467F9C" w:rsidRDefault="00191861" w:rsidP="00191861">
      <w:pPr>
        <w:pStyle w:val="41"/>
        <w:rPr>
          <w:rFonts w:eastAsia="Times New Roman"/>
          <w:color w:val="auto"/>
          <w:lang w:eastAsia="ru-RU"/>
        </w:rPr>
      </w:pPr>
      <w:r w:rsidRPr="00467F9C">
        <w:rPr>
          <w:color w:val="auto"/>
        </w:rPr>
        <w:t>Исполнение Госпрограммы осуществлялось через два мероприятия регионального проекта</w:t>
      </w:r>
      <w:r w:rsidRPr="00467F9C">
        <w:rPr>
          <w:rFonts w:eastAsia="Times New Roman"/>
          <w:b/>
          <w:color w:val="auto"/>
          <w:lang w:eastAsia="ru-RU"/>
        </w:rPr>
        <w:t xml:space="preserve"> </w:t>
      </w:r>
      <w:r w:rsidRPr="00467F9C">
        <w:rPr>
          <w:rFonts w:eastAsia="Times New Roman"/>
          <w:color w:val="auto"/>
          <w:lang w:eastAsia="ru-RU"/>
        </w:rPr>
        <w:t>«Формирование комфортной городской среды», бюджетные средства направлены:</w:t>
      </w:r>
    </w:p>
    <w:p w:rsidR="00191861" w:rsidRPr="00467F9C" w:rsidRDefault="00191861" w:rsidP="00191861">
      <w:pPr>
        <w:ind w:left="57" w:right="57" w:firstLine="651"/>
        <w:jc w:val="both"/>
        <w:rPr>
          <w:sz w:val="28"/>
          <w:szCs w:val="28"/>
        </w:rPr>
      </w:pPr>
      <w:r w:rsidRPr="00467F9C">
        <w:rPr>
          <w:sz w:val="28"/>
          <w:szCs w:val="28"/>
        </w:rPr>
        <w:t xml:space="preserve">13 571,6 тыс. рублей – Администрации ГО Анадырь предоставлена субсидия на реализацию программ формирования современной городской среды на осуществление работ по первому этапу благоустройства парка «Молодежный» в городе Анадырь. Фактические работы в отчетном периоде выполнены на сумму 26 686,3 тыс. рублей, из них 13 114,7 тыс. рублей - по изготовлению и доставке малых архитектурных форм (вазонов, урн) и по обустройству зоны отдыха на Верблюжьей горе в </w:t>
      </w:r>
      <w:proofErr w:type="spellStart"/>
      <w:r w:rsidRPr="00467F9C">
        <w:rPr>
          <w:sz w:val="28"/>
          <w:szCs w:val="28"/>
        </w:rPr>
        <w:t>г.Анадыре</w:t>
      </w:r>
      <w:proofErr w:type="spellEnd"/>
      <w:r w:rsidRPr="00467F9C">
        <w:rPr>
          <w:sz w:val="28"/>
          <w:szCs w:val="28"/>
        </w:rPr>
        <w:t xml:space="preserve"> за счет авансирования в 2020 году;</w:t>
      </w:r>
    </w:p>
    <w:p w:rsidR="00191861" w:rsidRPr="00467F9C" w:rsidRDefault="00191861" w:rsidP="00191861">
      <w:pPr>
        <w:ind w:left="57" w:right="57" w:firstLine="651"/>
        <w:jc w:val="both"/>
        <w:rPr>
          <w:sz w:val="28"/>
          <w:szCs w:val="28"/>
        </w:rPr>
      </w:pPr>
      <w:r w:rsidRPr="00467F9C">
        <w:rPr>
          <w:sz w:val="28"/>
          <w:szCs w:val="28"/>
        </w:rPr>
        <w:t xml:space="preserve">20 000,0 тыс. рублей - Администрации городского округа </w:t>
      </w:r>
      <w:proofErr w:type="spellStart"/>
      <w:r w:rsidRPr="00467F9C">
        <w:rPr>
          <w:sz w:val="28"/>
          <w:szCs w:val="28"/>
        </w:rPr>
        <w:t>Певек</w:t>
      </w:r>
      <w:proofErr w:type="spellEnd"/>
      <w:r w:rsidRPr="00467F9C">
        <w:rPr>
          <w:sz w:val="28"/>
          <w:szCs w:val="28"/>
        </w:rPr>
        <w:t xml:space="preserve"> предоставлен иной межбюджетный трансферт, имеющий целевое назначение, на </w:t>
      </w:r>
      <w:r w:rsidRPr="00467F9C">
        <w:rPr>
          <w:sz w:val="28"/>
          <w:szCs w:val="28"/>
        </w:rPr>
        <w:lastRenderedPageBreak/>
        <w:t xml:space="preserve">создание комфортной городской среды в малых городах и исторических поселениях – победителю Всероссийского конкурса лучших проектов создания комфортной городской среды. Администрацией ГО </w:t>
      </w:r>
      <w:proofErr w:type="spellStart"/>
      <w:r w:rsidRPr="00467F9C">
        <w:rPr>
          <w:sz w:val="28"/>
          <w:szCs w:val="28"/>
        </w:rPr>
        <w:t>Певек</w:t>
      </w:r>
      <w:proofErr w:type="spellEnd"/>
      <w:r w:rsidRPr="00467F9C">
        <w:rPr>
          <w:sz w:val="28"/>
          <w:szCs w:val="28"/>
        </w:rPr>
        <w:t xml:space="preserve"> заключен муниципальный контракт на выполнение работ по благоустройству городской набережной в </w:t>
      </w:r>
      <w:proofErr w:type="spellStart"/>
      <w:r w:rsidRPr="00467F9C">
        <w:rPr>
          <w:sz w:val="28"/>
          <w:szCs w:val="28"/>
        </w:rPr>
        <w:t>г.Певек</w:t>
      </w:r>
      <w:proofErr w:type="spellEnd"/>
      <w:r w:rsidRPr="00467F9C">
        <w:rPr>
          <w:sz w:val="28"/>
          <w:szCs w:val="28"/>
        </w:rPr>
        <w:t xml:space="preserve">, который не исполнен в установленный срок из-за сложной навигационной ситуации (не доставлены стройматериалы). Счетная палата отмечает, что в 2020 году из окружного бюджета направлены бюджетные средства в виде авансовых платежей на выполнение работ по благоустройству городской Набережной ГО </w:t>
      </w:r>
      <w:proofErr w:type="spellStart"/>
      <w:r w:rsidRPr="00467F9C">
        <w:rPr>
          <w:sz w:val="28"/>
          <w:szCs w:val="28"/>
        </w:rPr>
        <w:t>Певек</w:t>
      </w:r>
      <w:proofErr w:type="spellEnd"/>
      <w:r w:rsidRPr="00467F9C">
        <w:rPr>
          <w:sz w:val="28"/>
          <w:szCs w:val="28"/>
        </w:rPr>
        <w:t xml:space="preserve"> в размере 45 000,0 тыс. рублей – в 2021 году работы по благоустройству Набережной не выполнялись. По состоянию на 1 января 2022 года не выполнены мероприятия Госпрограммы, на которые в 2020 и 2021 годах были направлены бюджетные средства в общей сумме 65 000,0 тыс. рублей.</w:t>
      </w:r>
    </w:p>
    <w:bookmarkEnd w:id="47"/>
    <w:p w:rsidR="00191861" w:rsidRPr="00467F9C" w:rsidRDefault="00191861" w:rsidP="00191861">
      <w:pPr>
        <w:tabs>
          <w:tab w:val="left" w:pos="709"/>
        </w:tabs>
        <w:autoSpaceDE w:val="0"/>
        <w:autoSpaceDN w:val="0"/>
        <w:adjustRightInd w:val="0"/>
        <w:spacing w:before="120"/>
        <w:jc w:val="both"/>
        <w:rPr>
          <w:sz w:val="28"/>
          <w:szCs w:val="28"/>
        </w:rPr>
      </w:pPr>
      <w:r w:rsidRPr="00467F9C">
        <w:rPr>
          <w:b/>
          <w:sz w:val="28"/>
          <w:szCs w:val="28"/>
        </w:rPr>
        <w:tab/>
        <w:t>Государственная программа «Обеспечение устойчивого сокращения непригодного для проживания жилищного фонда в Чукотском автономном округе»</w:t>
      </w:r>
      <w:r w:rsidRPr="00467F9C">
        <w:rPr>
          <w:rStyle w:val="ab"/>
          <w:sz w:val="28"/>
          <w:szCs w:val="28"/>
        </w:rPr>
        <w:footnoteReference w:id="112"/>
      </w:r>
      <w:r w:rsidRPr="00467F9C">
        <w:rPr>
          <w:b/>
          <w:sz w:val="28"/>
          <w:szCs w:val="28"/>
        </w:rPr>
        <w:t xml:space="preserve"> </w:t>
      </w:r>
      <w:r w:rsidRPr="00467F9C">
        <w:rPr>
          <w:bCs/>
          <w:sz w:val="28"/>
          <w:szCs w:val="28"/>
        </w:rPr>
        <w:t>реализуется в рамках подпрограммы «Переселение граждан из аварийного жилищного фонда»</w:t>
      </w:r>
      <w:r w:rsidRPr="00467F9C">
        <w:rPr>
          <w:sz w:val="28"/>
          <w:szCs w:val="28"/>
        </w:rPr>
        <w:t>. Ответственным исполнителем Государственной программы является Департамент промышленной политики.</w:t>
      </w:r>
    </w:p>
    <w:p w:rsidR="00191861" w:rsidRPr="00467F9C" w:rsidRDefault="00191861" w:rsidP="00191861">
      <w:pPr>
        <w:autoSpaceDE w:val="0"/>
        <w:autoSpaceDN w:val="0"/>
        <w:adjustRightInd w:val="0"/>
        <w:ind w:firstLine="709"/>
        <w:jc w:val="both"/>
        <w:rPr>
          <w:sz w:val="28"/>
          <w:szCs w:val="28"/>
        </w:rPr>
      </w:pPr>
      <w:r w:rsidRPr="00467F9C">
        <w:rPr>
          <w:sz w:val="28"/>
          <w:szCs w:val="28"/>
        </w:rPr>
        <w:t>Целями Государственной программы являются: обеспечение устойчивого сокращения непригодного для проживания аварийного жилищного фонда, признанного таковым до 1 января 2017 года; создание безопасных и благоприятных условий проживания граждан. Мероприятия Госпрограммы исполняются в рамках регионального проекта «Обеспечение устойчивого сокращения непригодного для проживания жилищного фонда».</w:t>
      </w:r>
    </w:p>
    <w:p w:rsidR="00191861" w:rsidRPr="00467F9C" w:rsidRDefault="00191861" w:rsidP="00191861">
      <w:pPr>
        <w:ind w:left="57" w:right="57" w:firstLine="652"/>
        <w:jc w:val="both"/>
        <w:rPr>
          <w:sz w:val="28"/>
          <w:szCs w:val="28"/>
        </w:rPr>
      </w:pPr>
      <w:r w:rsidRPr="00467F9C">
        <w:rPr>
          <w:sz w:val="28"/>
          <w:szCs w:val="28"/>
        </w:rPr>
        <w:t xml:space="preserve">На реализацию мероприятий Государственной программы в отчетном периоде направлено </w:t>
      </w:r>
      <w:r w:rsidRPr="00467F9C">
        <w:rPr>
          <w:bCs/>
          <w:sz w:val="28"/>
          <w:szCs w:val="28"/>
        </w:rPr>
        <w:t>649 141,6</w:t>
      </w:r>
      <w:r w:rsidRPr="00467F9C">
        <w:rPr>
          <w:b/>
          <w:bCs/>
          <w:sz w:val="28"/>
          <w:szCs w:val="28"/>
        </w:rPr>
        <w:t xml:space="preserve"> </w:t>
      </w:r>
      <w:r w:rsidRPr="00467F9C">
        <w:rPr>
          <w:sz w:val="28"/>
          <w:szCs w:val="28"/>
        </w:rPr>
        <w:t>тыс. рублей (в том числе средства ГК «Фонд содействия реформированию жилищно-коммунального хозяйства» в размере 185</w:t>
      </w:r>
      <w:r w:rsidRPr="00467F9C">
        <w:rPr>
          <w:sz w:val="28"/>
          <w:szCs w:val="28"/>
          <w:lang w:val="en-US"/>
        </w:rPr>
        <w:t> </w:t>
      </w:r>
      <w:r w:rsidRPr="00467F9C">
        <w:rPr>
          <w:sz w:val="28"/>
          <w:szCs w:val="28"/>
        </w:rPr>
        <w:t xml:space="preserve">426,3 тыс. рублей) или 98,3% от предусмотренных сводной бюджетной росписью ассигнований (660 340,7 тыс. рублей) на приобретение жилых помещений у застройщика: </w:t>
      </w:r>
    </w:p>
    <w:p w:rsidR="00191861" w:rsidRPr="00467F9C" w:rsidRDefault="00191861" w:rsidP="00191861">
      <w:pPr>
        <w:ind w:left="57" w:right="57" w:firstLine="651"/>
        <w:jc w:val="both"/>
        <w:rPr>
          <w:sz w:val="28"/>
          <w:szCs w:val="28"/>
        </w:rPr>
      </w:pPr>
      <w:r w:rsidRPr="00467F9C">
        <w:rPr>
          <w:sz w:val="28"/>
          <w:szCs w:val="28"/>
        </w:rPr>
        <w:t xml:space="preserve">1. Перечислены авансовые платежи по муниципальным контрактам в общей сумме 181 567,9 на приобретение 48 квартир в </w:t>
      </w:r>
      <w:proofErr w:type="spellStart"/>
      <w:r w:rsidRPr="00467F9C">
        <w:rPr>
          <w:sz w:val="28"/>
          <w:szCs w:val="28"/>
        </w:rPr>
        <w:t>с.Снежное</w:t>
      </w:r>
      <w:proofErr w:type="spellEnd"/>
      <w:r w:rsidRPr="00467F9C">
        <w:rPr>
          <w:sz w:val="28"/>
          <w:szCs w:val="28"/>
        </w:rPr>
        <w:t xml:space="preserve"> (117 685,9 тыс. рублей), 26 жилых помещений с. </w:t>
      </w:r>
      <w:proofErr w:type="spellStart"/>
      <w:r w:rsidRPr="00467F9C">
        <w:rPr>
          <w:sz w:val="28"/>
          <w:szCs w:val="28"/>
        </w:rPr>
        <w:t>Нешкан</w:t>
      </w:r>
      <w:proofErr w:type="spellEnd"/>
      <w:r w:rsidRPr="00467F9C">
        <w:rPr>
          <w:sz w:val="28"/>
          <w:szCs w:val="28"/>
        </w:rPr>
        <w:t xml:space="preserve"> (63 882,0 тыс. рублей).</w:t>
      </w:r>
    </w:p>
    <w:p w:rsidR="00191861" w:rsidRPr="00467F9C" w:rsidRDefault="00191861" w:rsidP="00191861">
      <w:pPr>
        <w:ind w:left="57" w:right="57" w:firstLine="651"/>
        <w:jc w:val="both"/>
        <w:rPr>
          <w:sz w:val="28"/>
          <w:szCs w:val="28"/>
        </w:rPr>
      </w:pPr>
      <w:r w:rsidRPr="00467F9C">
        <w:rPr>
          <w:sz w:val="28"/>
          <w:szCs w:val="28"/>
        </w:rPr>
        <w:t>2. Перечислены субсидии администрациям муниципальных образований для оплаты муниципальных контрактов на приобретение жилых помещений на общую сумму 467 573,7 тыс. рублей, в том числе:</w:t>
      </w:r>
    </w:p>
    <w:p w:rsidR="00191861" w:rsidRPr="00467F9C" w:rsidRDefault="00191861" w:rsidP="00191861">
      <w:pPr>
        <w:ind w:left="57" w:right="57" w:firstLine="651"/>
        <w:jc w:val="both"/>
        <w:rPr>
          <w:sz w:val="28"/>
          <w:szCs w:val="28"/>
        </w:rPr>
      </w:pPr>
      <w:r w:rsidRPr="00467F9C">
        <w:rPr>
          <w:sz w:val="28"/>
          <w:szCs w:val="28"/>
        </w:rPr>
        <w:t>- </w:t>
      </w:r>
      <w:proofErr w:type="spellStart"/>
      <w:r w:rsidRPr="00467F9C">
        <w:rPr>
          <w:sz w:val="28"/>
          <w:szCs w:val="28"/>
        </w:rPr>
        <w:t>с.Усть</w:t>
      </w:r>
      <w:proofErr w:type="spellEnd"/>
      <w:r w:rsidRPr="00467F9C">
        <w:rPr>
          <w:sz w:val="28"/>
          <w:szCs w:val="28"/>
        </w:rPr>
        <w:t>-Белая в сумме 131 954,6 тыс. рублей. При этом, в 2020 году на реализацию муниципального контракта были перечислены авансовые платежи в сумме 55 000,0 тыс. рублей. По состоянию на 1 января 2022 года средства субсидии не использованы (131 954,6 тыс. рублей);</w:t>
      </w:r>
    </w:p>
    <w:p w:rsidR="00191861" w:rsidRPr="00467F9C" w:rsidRDefault="00191861" w:rsidP="00191861">
      <w:pPr>
        <w:ind w:left="57" w:right="57" w:firstLine="651"/>
        <w:jc w:val="both"/>
        <w:rPr>
          <w:sz w:val="28"/>
          <w:szCs w:val="28"/>
        </w:rPr>
      </w:pPr>
      <w:r w:rsidRPr="00467F9C">
        <w:rPr>
          <w:sz w:val="28"/>
          <w:szCs w:val="28"/>
        </w:rPr>
        <w:t>- с. </w:t>
      </w:r>
      <w:proofErr w:type="spellStart"/>
      <w:r w:rsidRPr="00467F9C">
        <w:rPr>
          <w:sz w:val="28"/>
          <w:szCs w:val="28"/>
        </w:rPr>
        <w:t>Анюйск</w:t>
      </w:r>
      <w:proofErr w:type="spellEnd"/>
      <w:r w:rsidRPr="00467F9C">
        <w:rPr>
          <w:sz w:val="28"/>
          <w:szCs w:val="28"/>
        </w:rPr>
        <w:t xml:space="preserve"> в сумме 127 580,7 тыс. рублей. По состоянию на 1 января 2022 года средства субсидии не использованы (127 580,7 тыс. рублей);</w:t>
      </w:r>
    </w:p>
    <w:p w:rsidR="00191861" w:rsidRPr="00467F9C" w:rsidRDefault="00191861" w:rsidP="00191861">
      <w:pPr>
        <w:pStyle w:val="af8"/>
        <w:ind w:firstLine="708"/>
        <w:jc w:val="both"/>
        <w:rPr>
          <w:sz w:val="28"/>
          <w:szCs w:val="28"/>
        </w:rPr>
      </w:pPr>
      <w:r w:rsidRPr="00467F9C">
        <w:rPr>
          <w:sz w:val="28"/>
          <w:szCs w:val="28"/>
        </w:rPr>
        <w:t xml:space="preserve">- с. Лаврентия в сумме 160 419,4 тыс. рублей, из них направлено 71 081,3 тыс. рублей на оплату двух муниципальных контрактов. </w:t>
      </w:r>
      <w:r w:rsidRPr="00467F9C">
        <w:rPr>
          <w:rFonts w:eastAsia="Calibri"/>
          <w:sz w:val="28"/>
          <w:szCs w:val="28"/>
        </w:rPr>
        <w:t xml:space="preserve">По состоянию на 01.01.2022г. фактическое выполнение Подрядчиком работ по муниципальному контракту </w:t>
      </w:r>
      <w:r w:rsidRPr="00467F9C">
        <w:rPr>
          <w:rFonts w:eastAsia="Calibri"/>
          <w:sz w:val="28"/>
          <w:szCs w:val="28"/>
        </w:rPr>
        <w:lastRenderedPageBreak/>
        <w:t xml:space="preserve">составило 87 973,8 тыс. рублей (из них </w:t>
      </w:r>
      <w:r w:rsidRPr="00467F9C">
        <w:rPr>
          <w:bCs/>
          <w:sz w:val="28"/>
          <w:szCs w:val="28"/>
        </w:rPr>
        <w:t xml:space="preserve">26 524,8 тыс. </w:t>
      </w:r>
      <w:r w:rsidRPr="00467F9C">
        <w:rPr>
          <w:rFonts w:eastAsia="Calibri"/>
          <w:sz w:val="28"/>
          <w:szCs w:val="28"/>
        </w:rPr>
        <w:t xml:space="preserve">рублей – зачтен аванс 2020 года), расселено 37 человек (12 семей), проживающих на 505,7 </w:t>
      </w:r>
      <w:proofErr w:type="spellStart"/>
      <w:r w:rsidRPr="00467F9C">
        <w:rPr>
          <w:rFonts w:eastAsia="Calibri"/>
          <w:sz w:val="28"/>
          <w:szCs w:val="28"/>
        </w:rPr>
        <w:t>кв.м</w:t>
      </w:r>
      <w:proofErr w:type="spellEnd"/>
      <w:r w:rsidRPr="00467F9C">
        <w:rPr>
          <w:rFonts w:eastAsia="Calibri"/>
          <w:sz w:val="28"/>
          <w:szCs w:val="28"/>
        </w:rPr>
        <w:t>. аварийного жилья, контракт исполнен частично. П</w:t>
      </w:r>
      <w:r w:rsidRPr="00467F9C">
        <w:rPr>
          <w:sz w:val="28"/>
          <w:szCs w:val="28"/>
        </w:rPr>
        <w:t>о состоянию на 1 января 2022 года не использованные средства субсидии составили 89 338,1 тыс. рублей</w:t>
      </w:r>
      <w:r w:rsidRPr="00467F9C">
        <w:rPr>
          <w:rFonts w:eastAsia="Calibri"/>
          <w:sz w:val="28"/>
          <w:szCs w:val="28"/>
        </w:rPr>
        <w:t>;</w:t>
      </w:r>
    </w:p>
    <w:p w:rsidR="00191861" w:rsidRPr="00467F9C" w:rsidRDefault="00191861" w:rsidP="00191861">
      <w:pPr>
        <w:ind w:left="57" w:right="57" w:firstLine="652"/>
        <w:jc w:val="both"/>
        <w:rPr>
          <w:sz w:val="28"/>
          <w:szCs w:val="28"/>
        </w:rPr>
      </w:pPr>
      <w:r w:rsidRPr="00467F9C">
        <w:rPr>
          <w:sz w:val="28"/>
          <w:szCs w:val="28"/>
        </w:rPr>
        <w:t>- с. Уэлен в сумме 47 619,0 тыс. рублей. По состоянию на 1 января 2022 года средства субсидии не использованы (47 619,0 тыс. рублей).</w:t>
      </w:r>
    </w:p>
    <w:p w:rsidR="00191861" w:rsidRPr="00467F9C" w:rsidRDefault="00191861" w:rsidP="00191861">
      <w:pPr>
        <w:ind w:left="57" w:right="57" w:firstLine="651"/>
        <w:jc w:val="both"/>
        <w:rPr>
          <w:sz w:val="28"/>
          <w:szCs w:val="28"/>
        </w:rPr>
      </w:pPr>
      <w:r w:rsidRPr="00467F9C">
        <w:rPr>
          <w:sz w:val="28"/>
          <w:szCs w:val="28"/>
        </w:rPr>
        <w:t xml:space="preserve">Таким образом, фактическое выполнение мероприятий Госпрограммы в отчетном периоде составило </w:t>
      </w:r>
      <w:r w:rsidRPr="00467F9C">
        <w:rPr>
          <w:rFonts w:eastAsia="Calibri"/>
          <w:sz w:val="28"/>
          <w:szCs w:val="28"/>
        </w:rPr>
        <w:t xml:space="preserve">87 973,8 тыс. рублей (из них </w:t>
      </w:r>
      <w:r w:rsidRPr="00467F9C">
        <w:rPr>
          <w:bCs/>
          <w:sz w:val="28"/>
          <w:szCs w:val="28"/>
        </w:rPr>
        <w:t xml:space="preserve">26 524,8 тыс. </w:t>
      </w:r>
      <w:r w:rsidRPr="00467F9C">
        <w:rPr>
          <w:rFonts w:eastAsia="Calibri"/>
          <w:sz w:val="28"/>
          <w:szCs w:val="28"/>
        </w:rPr>
        <w:t>рублей – зачтен аванс 2020 года)</w:t>
      </w:r>
      <w:r w:rsidRPr="00467F9C">
        <w:rPr>
          <w:sz w:val="28"/>
          <w:szCs w:val="28"/>
        </w:rPr>
        <w:t xml:space="preserve">. По состоянию на 01.01.2022 года объем направленных муниципальными образованиями авансовых платежей по муниципальным контрактам составил 190 758,2 тыс. рублей. Неиспользованные средства субсидии составили 396 492,4 тыс. рублей или 61,1 % от полученного финансирования. </w:t>
      </w:r>
    </w:p>
    <w:p w:rsidR="00191861" w:rsidRPr="00467F9C" w:rsidRDefault="00191861" w:rsidP="00191861">
      <w:pPr>
        <w:pStyle w:val="19"/>
        <w:spacing w:before="120" w:after="120"/>
        <w:ind w:firstLine="709"/>
        <w:rPr>
          <w:b/>
          <w:color w:val="auto"/>
        </w:rPr>
      </w:pPr>
      <w:r w:rsidRPr="00467F9C">
        <w:rPr>
          <w:b/>
          <w:color w:val="auto"/>
        </w:rPr>
        <w:t>Анализ реализации  государственных контрактов заключенных в рамках государственных программ для обеспечения государственных нужд на срок, не превышающий  срок действия утвержденных лимитов бюджетных обязательств (до двух лет с момента заключения),  и на срок, превышающий  срок действия утвержденных лимитов бюджетных обязательств (свыше двух лет с момента заключения) за 2021 год</w:t>
      </w:r>
    </w:p>
    <w:p w:rsidR="00191861" w:rsidRPr="00467F9C" w:rsidRDefault="00191861" w:rsidP="00191861">
      <w:pPr>
        <w:pStyle w:val="19"/>
        <w:ind w:firstLine="709"/>
        <w:rPr>
          <w:color w:val="auto"/>
        </w:rPr>
      </w:pPr>
      <w:r w:rsidRPr="00467F9C">
        <w:rPr>
          <w:color w:val="auto"/>
        </w:rPr>
        <w:t>По состоянию на 1 января 2022 года действуют 58 государственных контрактов для обеспечения государственных нужд, заключенных в рамках 10 государственных программ, в том числе:</w:t>
      </w:r>
    </w:p>
    <w:p w:rsidR="00191861" w:rsidRPr="00467F9C" w:rsidRDefault="00191861" w:rsidP="00191861">
      <w:pPr>
        <w:pStyle w:val="19"/>
        <w:ind w:firstLine="709"/>
        <w:rPr>
          <w:color w:val="auto"/>
        </w:rPr>
      </w:pPr>
      <w:r w:rsidRPr="00467F9C">
        <w:rPr>
          <w:color w:val="auto"/>
        </w:rPr>
        <w:t>- 22 государственных контракта общей стоимостью 1 492 102,1 тыс. рублей заключены на срок, не превышающий срок действия утвержденных лимитов бюджетных обязательств (до двух лет с момента заключения);</w:t>
      </w:r>
    </w:p>
    <w:p w:rsidR="00191861" w:rsidRPr="00467F9C" w:rsidRDefault="00191861" w:rsidP="00191861">
      <w:pPr>
        <w:pStyle w:val="19"/>
        <w:ind w:firstLine="709"/>
        <w:rPr>
          <w:color w:val="auto"/>
        </w:rPr>
      </w:pPr>
      <w:r w:rsidRPr="00467F9C">
        <w:rPr>
          <w:color w:val="auto"/>
        </w:rPr>
        <w:t xml:space="preserve">- 36 государственных контрактов общей стоимостью 18 487 748,1 тыс. рублей заключены на срок, превышающий срок действия утвержденных лимитов бюджетных обязательств (свыше двух лет с момента заключения). </w:t>
      </w:r>
    </w:p>
    <w:p w:rsidR="00191861" w:rsidRPr="00467F9C" w:rsidRDefault="00191861" w:rsidP="00191861">
      <w:pPr>
        <w:pStyle w:val="19"/>
        <w:ind w:firstLine="709"/>
        <w:rPr>
          <w:color w:val="auto"/>
        </w:rPr>
      </w:pPr>
      <w:r w:rsidRPr="00467F9C">
        <w:rPr>
          <w:color w:val="auto"/>
        </w:rPr>
        <w:t>Общая сумма государственных контрактов составляет 19 979 850,2 тыс. рублей. С начала реализации государственных контрактов на их исполнение направлено бюджетных ассигнований в сумме 8 875 868,5 тыс. рублей (из них в 2021 году – 6 178 950,6 тыс. рублей), выполнено работ на сумму 7 367 524,2 тыс. рублей (из них в 2021 году – 4 884 334,0 тыс. рублей).</w:t>
      </w:r>
    </w:p>
    <w:p w:rsidR="00191861" w:rsidRPr="00467F9C" w:rsidRDefault="00191861" w:rsidP="00191861">
      <w:pPr>
        <w:pStyle w:val="19"/>
        <w:ind w:firstLine="709"/>
        <w:rPr>
          <w:color w:val="auto"/>
        </w:rPr>
      </w:pPr>
      <w:r w:rsidRPr="00467F9C">
        <w:rPr>
          <w:color w:val="auto"/>
        </w:rPr>
        <w:t>Информация о ходе реализации государственных контрактов, заключенных в рамках государственных программ, за январь-декабрь 2021 года приведена в таблице №3.</w:t>
      </w:r>
    </w:p>
    <w:p w:rsidR="00191861" w:rsidRPr="00467F9C" w:rsidRDefault="00191861" w:rsidP="00191861">
      <w:pPr>
        <w:pStyle w:val="19"/>
        <w:ind w:firstLine="709"/>
        <w:rPr>
          <w:color w:val="auto"/>
        </w:rPr>
      </w:pPr>
      <w:r w:rsidRPr="00467F9C">
        <w:rPr>
          <w:b/>
          <w:color w:val="auto"/>
        </w:rPr>
        <w:tab/>
      </w:r>
      <w:r w:rsidRPr="00467F9C">
        <w:rPr>
          <w:b/>
          <w:color w:val="auto"/>
        </w:rPr>
        <w:tab/>
      </w:r>
      <w:r w:rsidRPr="00467F9C">
        <w:rPr>
          <w:b/>
          <w:color w:val="auto"/>
        </w:rPr>
        <w:tab/>
      </w:r>
      <w:r w:rsidRPr="00467F9C">
        <w:rPr>
          <w:b/>
          <w:color w:val="auto"/>
        </w:rPr>
        <w:tab/>
      </w:r>
      <w:r w:rsidRPr="00467F9C">
        <w:rPr>
          <w:b/>
          <w:color w:val="auto"/>
        </w:rPr>
        <w:tab/>
      </w:r>
      <w:r w:rsidRPr="00467F9C">
        <w:rPr>
          <w:b/>
          <w:color w:val="auto"/>
        </w:rPr>
        <w:tab/>
      </w:r>
      <w:r w:rsidRPr="00467F9C">
        <w:rPr>
          <w:b/>
          <w:color w:val="auto"/>
        </w:rPr>
        <w:tab/>
      </w:r>
      <w:r w:rsidRPr="00467F9C">
        <w:rPr>
          <w:b/>
          <w:color w:val="auto"/>
        </w:rPr>
        <w:tab/>
      </w:r>
      <w:r w:rsidRPr="00467F9C">
        <w:rPr>
          <w:b/>
          <w:color w:val="auto"/>
        </w:rPr>
        <w:tab/>
      </w:r>
      <w:r w:rsidRPr="00467F9C">
        <w:rPr>
          <w:b/>
          <w:color w:val="auto"/>
        </w:rPr>
        <w:tab/>
        <w:t xml:space="preserve">    </w:t>
      </w:r>
      <w:r w:rsidRPr="00467F9C">
        <w:rPr>
          <w:color w:val="auto"/>
        </w:rPr>
        <w:t>Таблица №3</w:t>
      </w:r>
    </w:p>
    <w:p w:rsidR="00191861" w:rsidRPr="00467F9C" w:rsidRDefault="00191861" w:rsidP="00191861">
      <w:pPr>
        <w:pStyle w:val="19"/>
        <w:ind w:firstLine="709"/>
        <w:jc w:val="right"/>
        <w:rPr>
          <w:color w:val="auto"/>
        </w:rPr>
      </w:pPr>
      <w:r w:rsidRPr="00467F9C">
        <w:rPr>
          <w:color w:val="auto"/>
        </w:rPr>
        <w:tab/>
      </w:r>
      <w:r w:rsidRPr="00467F9C">
        <w:rPr>
          <w:color w:val="auto"/>
        </w:rPr>
        <w:tab/>
      </w:r>
      <w:r w:rsidRPr="00467F9C">
        <w:rPr>
          <w:color w:val="auto"/>
        </w:rPr>
        <w:tab/>
      </w:r>
      <w:r w:rsidRPr="00467F9C">
        <w:rPr>
          <w:color w:val="auto"/>
        </w:rPr>
        <w:tab/>
      </w:r>
      <w:r w:rsidRPr="00467F9C">
        <w:rPr>
          <w:color w:val="auto"/>
        </w:rPr>
        <w:tab/>
      </w:r>
      <w:r w:rsidRPr="00467F9C">
        <w:rPr>
          <w:color w:val="auto"/>
        </w:rPr>
        <w:tab/>
      </w:r>
      <w:r w:rsidRPr="00467F9C">
        <w:rPr>
          <w:color w:val="auto"/>
        </w:rPr>
        <w:tab/>
      </w:r>
      <w:r w:rsidRPr="00467F9C">
        <w:rPr>
          <w:color w:val="auto"/>
        </w:rPr>
        <w:tab/>
      </w:r>
      <w:r w:rsidRPr="00467F9C">
        <w:rPr>
          <w:color w:val="auto"/>
        </w:rPr>
        <w:tab/>
        <w:t xml:space="preserve">          (тыс. рублей)</w:t>
      </w:r>
    </w:p>
    <w:tbl>
      <w:tblPr>
        <w:tblW w:w="9927" w:type="dxa"/>
        <w:tblLook w:val="04A0" w:firstRow="1" w:lastRow="0" w:firstColumn="1" w:lastColumn="0" w:noHBand="0" w:noVBand="1"/>
      </w:tblPr>
      <w:tblGrid>
        <w:gridCol w:w="2547"/>
        <w:gridCol w:w="1073"/>
        <w:gridCol w:w="1000"/>
        <w:gridCol w:w="1110"/>
        <w:gridCol w:w="1086"/>
        <w:gridCol w:w="1048"/>
        <w:gridCol w:w="1025"/>
        <w:gridCol w:w="1029"/>
        <w:gridCol w:w="9"/>
      </w:tblGrid>
      <w:tr w:rsidR="007B6520" w:rsidRPr="00467F9C" w:rsidTr="00D56CB5">
        <w:trPr>
          <w:trHeight w:val="295"/>
          <w:tblHeader/>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6520" w:rsidRPr="00467F9C" w:rsidRDefault="007B6520" w:rsidP="00191861">
            <w:pPr>
              <w:jc w:val="center"/>
              <w:rPr>
                <w:bCs/>
                <w:sz w:val="16"/>
                <w:szCs w:val="16"/>
              </w:rPr>
            </w:pPr>
            <w:r w:rsidRPr="00467F9C">
              <w:rPr>
                <w:bCs/>
                <w:sz w:val="16"/>
                <w:szCs w:val="16"/>
              </w:rPr>
              <w:t>Наименование ГП</w:t>
            </w:r>
          </w:p>
        </w:tc>
        <w:tc>
          <w:tcPr>
            <w:tcW w:w="207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6520" w:rsidRDefault="007B6520" w:rsidP="00810A30">
            <w:pPr>
              <w:ind w:left="-170" w:right="-123"/>
              <w:jc w:val="center"/>
              <w:rPr>
                <w:bCs/>
                <w:sz w:val="16"/>
                <w:szCs w:val="16"/>
              </w:rPr>
            </w:pPr>
            <w:r w:rsidRPr="00467F9C">
              <w:rPr>
                <w:bCs/>
                <w:sz w:val="16"/>
                <w:szCs w:val="16"/>
              </w:rPr>
              <w:t xml:space="preserve">Заключено контрактов (единиц) со сроком действия </w:t>
            </w:r>
          </w:p>
          <w:p w:rsidR="007B6520" w:rsidRPr="00E52634" w:rsidRDefault="007B6520" w:rsidP="00191861">
            <w:pPr>
              <w:jc w:val="center"/>
              <w:rPr>
                <w:bCs/>
                <w:sz w:val="4"/>
                <w:szCs w:val="4"/>
              </w:rPr>
            </w:pPr>
          </w:p>
        </w:tc>
        <w:tc>
          <w:tcPr>
            <w:tcW w:w="1110" w:type="dxa"/>
            <w:vMerge w:val="restart"/>
            <w:tcBorders>
              <w:top w:val="single" w:sz="4" w:space="0" w:color="auto"/>
              <w:left w:val="single" w:sz="4" w:space="0" w:color="auto"/>
              <w:right w:val="single" w:sz="4" w:space="0" w:color="auto"/>
            </w:tcBorders>
            <w:shd w:val="clear" w:color="auto" w:fill="auto"/>
            <w:vAlign w:val="center"/>
            <w:hideMark/>
          </w:tcPr>
          <w:p w:rsidR="007B6520" w:rsidRPr="00467F9C" w:rsidRDefault="007B6520" w:rsidP="00191861">
            <w:pPr>
              <w:jc w:val="center"/>
              <w:rPr>
                <w:bCs/>
                <w:sz w:val="16"/>
                <w:szCs w:val="16"/>
              </w:rPr>
            </w:pPr>
            <w:r w:rsidRPr="00467F9C">
              <w:rPr>
                <w:bCs/>
                <w:sz w:val="16"/>
                <w:szCs w:val="16"/>
              </w:rPr>
              <w:t>Общая сумма контрактов</w:t>
            </w:r>
          </w:p>
        </w:tc>
        <w:tc>
          <w:tcPr>
            <w:tcW w:w="4197" w:type="dxa"/>
            <w:gridSpan w:val="5"/>
            <w:tcBorders>
              <w:top w:val="single" w:sz="4" w:space="0" w:color="auto"/>
              <w:left w:val="nil"/>
              <w:bottom w:val="single" w:sz="4" w:space="0" w:color="auto"/>
              <w:right w:val="single" w:sz="4" w:space="0" w:color="auto"/>
            </w:tcBorders>
            <w:shd w:val="clear" w:color="auto" w:fill="auto"/>
            <w:vAlign w:val="center"/>
            <w:hideMark/>
          </w:tcPr>
          <w:p w:rsidR="007B6520" w:rsidRPr="00467F9C" w:rsidRDefault="007B6520" w:rsidP="00191861">
            <w:pPr>
              <w:jc w:val="center"/>
              <w:rPr>
                <w:bCs/>
                <w:sz w:val="16"/>
                <w:szCs w:val="16"/>
              </w:rPr>
            </w:pPr>
            <w:r w:rsidRPr="00467F9C">
              <w:rPr>
                <w:bCs/>
                <w:sz w:val="16"/>
                <w:szCs w:val="16"/>
              </w:rPr>
              <w:t>По состоянию на 01.01.2022г.</w:t>
            </w:r>
          </w:p>
        </w:tc>
      </w:tr>
      <w:tr w:rsidR="007B6520" w:rsidRPr="00467F9C" w:rsidTr="00D56CB5">
        <w:trPr>
          <w:trHeight w:val="273"/>
          <w:tblHead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7B6520" w:rsidRPr="00467F9C" w:rsidRDefault="007B6520" w:rsidP="00191861">
            <w:pPr>
              <w:rPr>
                <w:bCs/>
                <w:sz w:val="16"/>
                <w:szCs w:val="16"/>
              </w:rPr>
            </w:pPr>
          </w:p>
        </w:tc>
        <w:tc>
          <w:tcPr>
            <w:tcW w:w="2073" w:type="dxa"/>
            <w:gridSpan w:val="2"/>
            <w:vMerge/>
            <w:tcBorders>
              <w:top w:val="single" w:sz="4" w:space="0" w:color="auto"/>
              <w:left w:val="single" w:sz="4" w:space="0" w:color="auto"/>
              <w:bottom w:val="single" w:sz="4" w:space="0" w:color="auto"/>
              <w:right w:val="single" w:sz="4" w:space="0" w:color="auto"/>
            </w:tcBorders>
            <w:vAlign w:val="center"/>
            <w:hideMark/>
          </w:tcPr>
          <w:p w:rsidR="007B6520" w:rsidRPr="00467F9C" w:rsidRDefault="007B6520" w:rsidP="00191861">
            <w:pPr>
              <w:rPr>
                <w:bCs/>
                <w:sz w:val="16"/>
                <w:szCs w:val="16"/>
              </w:rPr>
            </w:pPr>
          </w:p>
        </w:tc>
        <w:tc>
          <w:tcPr>
            <w:tcW w:w="1110" w:type="dxa"/>
            <w:vMerge/>
            <w:tcBorders>
              <w:left w:val="single" w:sz="4" w:space="0" w:color="auto"/>
              <w:right w:val="single" w:sz="4" w:space="0" w:color="auto"/>
            </w:tcBorders>
            <w:vAlign w:val="center"/>
            <w:hideMark/>
          </w:tcPr>
          <w:p w:rsidR="007B6520" w:rsidRPr="00467F9C" w:rsidRDefault="007B6520" w:rsidP="00191861">
            <w:pPr>
              <w:rPr>
                <w:bCs/>
                <w:sz w:val="16"/>
                <w:szCs w:val="16"/>
              </w:rPr>
            </w:pPr>
          </w:p>
        </w:tc>
        <w:tc>
          <w:tcPr>
            <w:tcW w:w="2134" w:type="dxa"/>
            <w:gridSpan w:val="2"/>
            <w:tcBorders>
              <w:top w:val="single" w:sz="4" w:space="0" w:color="auto"/>
              <w:left w:val="nil"/>
              <w:bottom w:val="single" w:sz="4" w:space="0" w:color="auto"/>
              <w:right w:val="single" w:sz="4" w:space="0" w:color="auto"/>
            </w:tcBorders>
            <w:shd w:val="clear" w:color="auto" w:fill="auto"/>
            <w:vAlign w:val="center"/>
            <w:hideMark/>
          </w:tcPr>
          <w:p w:rsidR="007B6520" w:rsidRPr="00467F9C" w:rsidRDefault="007B6520" w:rsidP="00191861">
            <w:pPr>
              <w:jc w:val="center"/>
              <w:rPr>
                <w:bCs/>
                <w:sz w:val="16"/>
                <w:szCs w:val="16"/>
              </w:rPr>
            </w:pPr>
            <w:r w:rsidRPr="00467F9C">
              <w:rPr>
                <w:bCs/>
                <w:sz w:val="16"/>
                <w:szCs w:val="16"/>
              </w:rPr>
              <w:t>Профинансировано</w:t>
            </w:r>
          </w:p>
        </w:tc>
        <w:tc>
          <w:tcPr>
            <w:tcW w:w="2063" w:type="dxa"/>
            <w:gridSpan w:val="3"/>
            <w:tcBorders>
              <w:top w:val="single" w:sz="4" w:space="0" w:color="auto"/>
              <w:left w:val="nil"/>
              <w:bottom w:val="single" w:sz="4" w:space="0" w:color="auto"/>
              <w:right w:val="single" w:sz="4" w:space="0" w:color="auto"/>
            </w:tcBorders>
            <w:shd w:val="clear" w:color="auto" w:fill="auto"/>
            <w:vAlign w:val="center"/>
            <w:hideMark/>
          </w:tcPr>
          <w:p w:rsidR="007B6520" w:rsidRPr="00467F9C" w:rsidRDefault="007B6520" w:rsidP="00191861">
            <w:pPr>
              <w:jc w:val="center"/>
              <w:rPr>
                <w:bCs/>
                <w:sz w:val="16"/>
                <w:szCs w:val="16"/>
              </w:rPr>
            </w:pPr>
            <w:r w:rsidRPr="00467F9C">
              <w:rPr>
                <w:bCs/>
                <w:sz w:val="16"/>
                <w:szCs w:val="16"/>
              </w:rPr>
              <w:t>Выполнено</w:t>
            </w:r>
          </w:p>
        </w:tc>
      </w:tr>
      <w:tr w:rsidR="007B6520" w:rsidRPr="00467F9C" w:rsidTr="00D56CB5">
        <w:trPr>
          <w:gridAfter w:val="1"/>
          <w:wAfter w:w="9" w:type="dxa"/>
          <w:trHeight w:val="419"/>
          <w:tblHead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7B6520" w:rsidRPr="00467F9C" w:rsidRDefault="007B6520" w:rsidP="00191861">
            <w:pPr>
              <w:rPr>
                <w:b/>
                <w:bCs/>
                <w:sz w:val="16"/>
                <w:szCs w:val="16"/>
              </w:rPr>
            </w:pPr>
          </w:p>
        </w:tc>
        <w:tc>
          <w:tcPr>
            <w:tcW w:w="1073" w:type="dxa"/>
            <w:tcBorders>
              <w:top w:val="nil"/>
              <w:left w:val="nil"/>
              <w:bottom w:val="single" w:sz="4" w:space="0" w:color="auto"/>
              <w:right w:val="single" w:sz="4" w:space="0" w:color="auto"/>
            </w:tcBorders>
            <w:shd w:val="clear" w:color="auto" w:fill="auto"/>
            <w:vAlign w:val="center"/>
            <w:hideMark/>
          </w:tcPr>
          <w:p w:rsidR="007B6520" w:rsidRDefault="007B6520" w:rsidP="00A142E0">
            <w:pPr>
              <w:ind w:left="-106" w:right="-186"/>
              <w:jc w:val="center"/>
              <w:rPr>
                <w:sz w:val="16"/>
                <w:szCs w:val="16"/>
              </w:rPr>
            </w:pPr>
            <w:r w:rsidRPr="00A142E0">
              <w:rPr>
                <w:sz w:val="16"/>
                <w:szCs w:val="16"/>
              </w:rPr>
              <w:t xml:space="preserve">менее 2-х лет </w:t>
            </w:r>
          </w:p>
          <w:p w:rsidR="007B6520" w:rsidRPr="00A142E0" w:rsidRDefault="007B6520" w:rsidP="00A142E0">
            <w:pPr>
              <w:ind w:left="-106" w:right="-186"/>
              <w:jc w:val="center"/>
              <w:rPr>
                <w:sz w:val="16"/>
                <w:szCs w:val="16"/>
              </w:rPr>
            </w:pPr>
            <w:r w:rsidRPr="00A142E0">
              <w:rPr>
                <w:sz w:val="16"/>
                <w:szCs w:val="16"/>
              </w:rPr>
              <w:t>с момента заключения</w:t>
            </w:r>
          </w:p>
        </w:tc>
        <w:tc>
          <w:tcPr>
            <w:tcW w:w="1000" w:type="dxa"/>
            <w:tcBorders>
              <w:top w:val="nil"/>
              <w:left w:val="nil"/>
              <w:bottom w:val="single" w:sz="4" w:space="0" w:color="auto"/>
              <w:right w:val="single" w:sz="4" w:space="0" w:color="auto"/>
            </w:tcBorders>
            <w:shd w:val="clear" w:color="auto" w:fill="auto"/>
            <w:vAlign w:val="center"/>
            <w:hideMark/>
          </w:tcPr>
          <w:p w:rsidR="00881AFF" w:rsidRDefault="007B6520" w:rsidP="00A142E0">
            <w:pPr>
              <w:ind w:left="-160" w:right="-169"/>
              <w:jc w:val="center"/>
              <w:rPr>
                <w:sz w:val="16"/>
                <w:szCs w:val="16"/>
              </w:rPr>
            </w:pPr>
            <w:r>
              <w:rPr>
                <w:sz w:val="16"/>
                <w:szCs w:val="16"/>
              </w:rPr>
              <w:t xml:space="preserve"> </w:t>
            </w:r>
            <w:r w:rsidRPr="00A142E0">
              <w:rPr>
                <w:sz w:val="16"/>
                <w:szCs w:val="16"/>
              </w:rPr>
              <w:t xml:space="preserve">более 2-х лет </w:t>
            </w:r>
          </w:p>
          <w:p w:rsidR="007B6520" w:rsidRPr="00A142E0" w:rsidRDefault="007B6520" w:rsidP="00A142E0">
            <w:pPr>
              <w:ind w:left="-160" w:right="-169"/>
              <w:jc w:val="center"/>
              <w:rPr>
                <w:sz w:val="16"/>
                <w:szCs w:val="16"/>
              </w:rPr>
            </w:pPr>
            <w:r w:rsidRPr="00A142E0">
              <w:rPr>
                <w:sz w:val="16"/>
                <w:szCs w:val="16"/>
              </w:rPr>
              <w:t>с момента заключения</w:t>
            </w:r>
          </w:p>
        </w:tc>
        <w:tc>
          <w:tcPr>
            <w:tcW w:w="1110" w:type="dxa"/>
            <w:vMerge/>
            <w:tcBorders>
              <w:left w:val="single" w:sz="4" w:space="0" w:color="auto"/>
              <w:bottom w:val="single" w:sz="4" w:space="0" w:color="auto"/>
              <w:right w:val="single" w:sz="4" w:space="0" w:color="auto"/>
            </w:tcBorders>
            <w:vAlign w:val="center"/>
            <w:hideMark/>
          </w:tcPr>
          <w:p w:rsidR="007B6520" w:rsidRPr="00467F9C" w:rsidRDefault="007B6520" w:rsidP="00191861">
            <w:pPr>
              <w:rPr>
                <w:b/>
                <w:bCs/>
                <w:sz w:val="16"/>
                <w:szCs w:val="16"/>
              </w:rPr>
            </w:pPr>
          </w:p>
        </w:tc>
        <w:tc>
          <w:tcPr>
            <w:tcW w:w="1086" w:type="dxa"/>
            <w:tcBorders>
              <w:top w:val="nil"/>
              <w:left w:val="nil"/>
              <w:bottom w:val="single" w:sz="4" w:space="0" w:color="auto"/>
              <w:right w:val="single" w:sz="4" w:space="0" w:color="auto"/>
            </w:tcBorders>
            <w:shd w:val="clear" w:color="auto" w:fill="auto"/>
            <w:vAlign w:val="center"/>
            <w:hideMark/>
          </w:tcPr>
          <w:p w:rsidR="007B6520" w:rsidRDefault="007B6520" w:rsidP="00724DFC">
            <w:pPr>
              <w:ind w:left="-33"/>
              <w:jc w:val="center"/>
              <w:rPr>
                <w:sz w:val="16"/>
                <w:szCs w:val="16"/>
              </w:rPr>
            </w:pPr>
            <w:r w:rsidRPr="00A142E0">
              <w:rPr>
                <w:sz w:val="16"/>
                <w:szCs w:val="16"/>
              </w:rPr>
              <w:t>с начала реализации контрактов</w:t>
            </w:r>
          </w:p>
          <w:p w:rsidR="007B6520" w:rsidRPr="00E52634" w:rsidRDefault="007B6520" w:rsidP="00724DFC">
            <w:pPr>
              <w:ind w:left="-33"/>
              <w:jc w:val="center"/>
              <w:rPr>
                <w:sz w:val="4"/>
                <w:szCs w:val="4"/>
              </w:rPr>
            </w:pPr>
          </w:p>
        </w:tc>
        <w:tc>
          <w:tcPr>
            <w:tcW w:w="1048" w:type="dxa"/>
            <w:tcBorders>
              <w:top w:val="nil"/>
              <w:left w:val="nil"/>
              <w:bottom w:val="single" w:sz="4" w:space="0" w:color="auto"/>
              <w:right w:val="single" w:sz="4" w:space="0" w:color="auto"/>
            </w:tcBorders>
            <w:shd w:val="clear" w:color="auto" w:fill="auto"/>
            <w:vAlign w:val="center"/>
            <w:hideMark/>
          </w:tcPr>
          <w:p w:rsidR="007B6520" w:rsidRPr="00A142E0" w:rsidRDefault="007B6520" w:rsidP="00724DFC">
            <w:pPr>
              <w:ind w:left="-143" w:right="-25" w:firstLine="72"/>
              <w:jc w:val="center"/>
              <w:rPr>
                <w:sz w:val="16"/>
                <w:szCs w:val="16"/>
              </w:rPr>
            </w:pPr>
            <w:r w:rsidRPr="00A142E0">
              <w:rPr>
                <w:sz w:val="16"/>
                <w:szCs w:val="16"/>
              </w:rPr>
              <w:t>из них за 2021 год</w:t>
            </w:r>
          </w:p>
        </w:tc>
        <w:tc>
          <w:tcPr>
            <w:tcW w:w="1025" w:type="dxa"/>
            <w:tcBorders>
              <w:top w:val="nil"/>
              <w:left w:val="nil"/>
              <w:bottom w:val="single" w:sz="4" w:space="0" w:color="auto"/>
              <w:right w:val="single" w:sz="4" w:space="0" w:color="auto"/>
            </w:tcBorders>
            <w:shd w:val="clear" w:color="auto" w:fill="auto"/>
            <w:vAlign w:val="center"/>
            <w:hideMark/>
          </w:tcPr>
          <w:p w:rsidR="007B6520" w:rsidRPr="00A142E0" w:rsidRDefault="007B6520" w:rsidP="00D56CB5">
            <w:pPr>
              <w:ind w:left="-94"/>
              <w:jc w:val="center"/>
              <w:rPr>
                <w:sz w:val="16"/>
                <w:szCs w:val="16"/>
              </w:rPr>
            </w:pPr>
            <w:r w:rsidRPr="00A142E0">
              <w:rPr>
                <w:sz w:val="16"/>
                <w:szCs w:val="16"/>
              </w:rPr>
              <w:t>с начала реализации контрактов</w:t>
            </w:r>
          </w:p>
        </w:tc>
        <w:tc>
          <w:tcPr>
            <w:tcW w:w="1029" w:type="dxa"/>
            <w:tcBorders>
              <w:top w:val="nil"/>
              <w:left w:val="nil"/>
              <w:bottom w:val="single" w:sz="4" w:space="0" w:color="auto"/>
              <w:right w:val="single" w:sz="4" w:space="0" w:color="auto"/>
            </w:tcBorders>
            <w:shd w:val="clear" w:color="auto" w:fill="auto"/>
            <w:vAlign w:val="center"/>
            <w:hideMark/>
          </w:tcPr>
          <w:p w:rsidR="007B6520" w:rsidRPr="00A142E0" w:rsidRDefault="007B6520" w:rsidP="00724DFC">
            <w:pPr>
              <w:ind w:left="-187" w:firstLine="94"/>
              <w:jc w:val="center"/>
              <w:rPr>
                <w:sz w:val="16"/>
                <w:szCs w:val="16"/>
              </w:rPr>
            </w:pPr>
            <w:r w:rsidRPr="00A142E0">
              <w:rPr>
                <w:sz w:val="16"/>
                <w:szCs w:val="16"/>
              </w:rPr>
              <w:t>из них за 2021 год</w:t>
            </w:r>
          </w:p>
        </w:tc>
      </w:tr>
      <w:tr w:rsidR="00467F9C" w:rsidRPr="00467F9C" w:rsidTr="00D56CB5">
        <w:trPr>
          <w:gridAfter w:val="1"/>
          <w:wAfter w:w="9" w:type="dxa"/>
          <w:trHeight w:val="280"/>
          <w:tblHeader/>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191861" w:rsidRPr="00A142E0" w:rsidRDefault="00191861" w:rsidP="00191861">
            <w:pPr>
              <w:jc w:val="center"/>
              <w:rPr>
                <w:bCs/>
                <w:sz w:val="19"/>
                <w:szCs w:val="19"/>
              </w:rPr>
            </w:pPr>
            <w:r w:rsidRPr="00A142E0">
              <w:rPr>
                <w:bCs/>
                <w:sz w:val="19"/>
                <w:szCs w:val="19"/>
              </w:rPr>
              <w:t>1</w:t>
            </w:r>
          </w:p>
        </w:tc>
        <w:tc>
          <w:tcPr>
            <w:tcW w:w="1073"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bCs/>
                <w:sz w:val="19"/>
                <w:szCs w:val="19"/>
              </w:rPr>
            </w:pPr>
            <w:r w:rsidRPr="00A142E0">
              <w:rPr>
                <w:bCs/>
                <w:sz w:val="19"/>
                <w:szCs w:val="19"/>
              </w:rPr>
              <w:t>2</w:t>
            </w:r>
          </w:p>
        </w:tc>
        <w:tc>
          <w:tcPr>
            <w:tcW w:w="100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bCs/>
                <w:sz w:val="19"/>
                <w:szCs w:val="19"/>
              </w:rPr>
            </w:pPr>
            <w:r w:rsidRPr="00A142E0">
              <w:rPr>
                <w:bCs/>
                <w:sz w:val="19"/>
                <w:szCs w:val="19"/>
              </w:rPr>
              <w:t>3</w:t>
            </w:r>
          </w:p>
        </w:tc>
        <w:tc>
          <w:tcPr>
            <w:tcW w:w="111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bCs/>
                <w:sz w:val="19"/>
                <w:szCs w:val="19"/>
              </w:rPr>
            </w:pPr>
            <w:r w:rsidRPr="00A142E0">
              <w:rPr>
                <w:bCs/>
                <w:sz w:val="19"/>
                <w:szCs w:val="19"/>
              </w:rPr>
              <w:t>4</w:t>
            </w:r>
          </w:p>
        </w:tc>
        <w:tc>
          <w:tcPr>
            <w:tcW w:w="1086"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33"/>
              <w:jc w:val="center"/>
              <w:rPr>
                <w:bCs/>
                <w:sz w:val="19"/>
                <w:szCs w:val="19"/>
              </w:rPr>
            </w:pPr>
            <w:r w:rsidRPr="00A142E0">
              <w:rPr>
                <w:bCs/>
                <w:sz w:val="19"/>
                <w:szCs w:val="19"/>
              </w:rPr>
              <w:t>5</w:t>
            </w:r>
          </w:p>
        </w:tc>
        <w:tc>
          <w:tcPr>
            <w:tcW w:w="1048"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43" w:right="-25" w:firstLine="72"/>
              <w:jc w:val="center"/>
              <w:rPr>
                <w:bCs/>
                <w:sz w:val="19"/>
                <w:szCs w:val="19"/>
              </w:rPr>
            </w:pPr>
            <w:r w:rsidRPr="00A142E0">
              <w:rPr>
                <w:bCs/>
                <w:sz w:val="19"/>
                <w:szCs w:val="19"/>
              </w:rPr>
              <w:t>6</w:t>
            </w:r>
          </w:p>
        </w:tc>
        <w:tc>
          <w:tcPr>
            <w:tcW w:w="1025"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D56CB5">
            <w:pPr>
              <w:ind w:left="-94"/>
              <w:jc w:val="center"/>
              <w:rPr>
                <w:bCs/>
                <w:sz w:val="19"/>
                <w:szCs w:val="19"/>
              </w:rPr>
            </w:pPr>
            <w:r w:rsidRPr="00A142E0">
              <w:rPr>
                <w:bCs/>
                <w:sz w:val="19"/>
                <w:szCs w:val="19"/>
              </w:rPr>
              <w:t>7</w:t>
            </w:r>
          </w:p>
        </w:tc>
        <w:tc>
          <w:tcPr>
            <w:tcW w:w="1029"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87" w:firstLine="94"/>
              <w:jc w:val="center"/>
              <w:rPr>
                <w:bCs/>
                <w:sz w:val="19"/>
                <w:szCs w:val="19"/>
              </w:rPr>
            </w:pPr>
            <w:r w:rsidRPr="00A142E0">
              <w:rPr>
                <w:bCs/>
                <w:sz w:val="19"/>
                <w:szCs w:val="19"/>
              </w:rPr>
              <w:t>8</w:t>
            </w:r>
          </w:p>
        </w:tc>
      </w:tr>
      <w:tr w:rsidR="00467F9C" w:rsidRPr="00467F9C" w:rsidTr="00D56CB5">
        <w:trPr>
          <w:gridAfter w:val="1"/>
          <w:wAfter w:w="9" w:type="dxa"/>
          <w:trHeight w:val="280"/>
        </w:trPr>
        <w:tc>
          <w:tcPr>
            <w:tcW w:w="2547" w:type="dxa"/>
            <w:vMerge w:val="restart"/>
            <w:tcBorders>
              <w:top w:val="nil"/>
              <w:left w:val="single" w:sz="4" w:space="0" w:color="auto"/>
              <w:bottom w:val="single" w:sz="4" w:space="0" w:color="000000"/>
              <w:right w:val="single" w:sz="4" w:space="0" w:color="auto"/>
            </w:tcBorders>
            <w:shd w:val="clear" w:color="auto" w:fill="auto"/>
            <w:vAlign w:val="center"/>
            <w:hideMark/>
          </w:tcPr>
          <w:p w:rsidR="00191861" w:rsidRPr="00A142E0" w:rsidRDefault="00191861" w:rsidP="00191861">
            <w:pPr>
              <w:rPr>
                <w:sz w:val="19"/>
                <w:szCs w:val="19"/>
              </w:rPr>
            </w:pPr>
            <w:r w:rsidRPr="00A142E0">
              <w:rPr>
                <w:sz w:val="19"/>
                <w:szCs w:val="19"/>
              </w:rPr>
              <w:t xml:space="preserve">Развитие транспортной инфраструктуры </w:t>
            </w:r>
          </w:p>
        </w:tc>
        <w:tc>
          <w:tcPr>
            <w:tcW w:w="1073"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5</w:t>
            </w:r>
          </w:p>
        </w:tc>
        <w:tc>
          <w:tcPr>
            <w:tcW w:w="100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w:t>
            </w:r>
          </w:p>
        </w:tc>
        <w:tc>
          <w:tcPr>
            <w:tcW w:w="111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A142E0">
            <w:pPr>
              <w:ind w:left="-171"/>
              <w:jc w:val="right"/>
              <w:rPr>
                <w:sz w:val="19"/>
                <w:szCs w:val="19"/>
              </w:rPr>
            </w:pPr>
            <w:r w:rsidRPr="00A142E0">
              <w:rPr>
                <w:sz w:val="19"/>
                <w:szCs w:val="19"/>
              </w:rPr>
              <w:t>218 104,6</w:t>
            </w:r>
          </w:p>
        </w:tc>
        <w:tc>
          <w:tcPr>
            <w:tcW w:w="1086"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33"/>
              <w:jc w:val="right"/>
              <w:rPr>
                <w:sz w:val="19"/>
                <w:szCs w:val="19"/>
              </w:rPr>
            </w:pPr>
            <w:r w:rsidRPr="00A142E0">
              <w:rPr>
                <w:sz w:val="19"/>
                <w:szCs w:val="19"/>
              </w:rPr>
              <w:t>108 917,7</w:t>
            </w:r>
          </w:p>
        </w:tc>
        <w:tc>
          <w:tcPr>
            <w:tcW w:w="1048"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43" w:right="-25" w:firstLine="72"/>
              <w:jc w:val="right"/>
              <w:rPr>
                <w:sz w:val="19"/>
                <w:szCs w:val="19"/>
              </w:rPr>
            </w:pPr>
            <w:r w:rsidRPr="00A142E0">
              <w:rPr>
                <w:sz w:val="19"/>
                <w:szCs w:val="19"/>
              </w:rPr>
              <w:t>36 305,9</w:t>
            </w:r>
          </w:p>
        </w:tc>
        <w:tc>
          <w:tcPr>
            <w:tcW w:w="1025"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D56CB5">
            <w:pPr>
              <w:ind w:left="-94"/>
              <w:jc w:val="right"/>
              <w:rPr>
                <w:sz w:val="19"/>
                <w:szCs w:val="19"/>
              </w:rPr>
            </w:pPr>
            <w:r w:rsidRPr="00A142E0">
              <w:rPr>
                <w:sz w:val="19"/>
                <w:szCs w:val="19"/>
              </w:rPr>
              <w:t>306 305,9</w:t>
            </w:r>
          </w:p>
        </w:tc>
        <w:tc>
          <w:tcPr>
            <w:tcW w:w="1029"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87" w:firstLine="94"/>
              <w:jc w:val="right"/>
              <w:rPr>
                <w:sz w:val="19"/>
                <w:szCs w:val="19"/>
              </w:rPr>
            </w:pPr>
            <w:r w:rsidRPr="00A142E0">
              <w:rPr>
                <w:sz w:val="19"/>
                <w:szCs w:val="19"/>
              </w:rPr>
              <w:t>36 305,9</w:t>
            </w:r>
          </w:p>
        </w:tc>
      </w:tr>
      <w:tr w:rsidR="00467F9C" w:rsidRPr="00467F9C" w:rsidTr="00D56CB5">
        <w:trPr>
          <w:gridAfter w:val="1"/>
          <w:wAfter w:w="9" w:type="dxa"/>
          <w:trHeight w:val="280"/>
        </w:trPr>
        <w:tc>
          <w:tcPr>
            <w:tcW w:w="2547" w:type="dxa"/>
            <w:vMerge/>
            <w:tcBorders>
              <w:top w:val="nil"/>
              <w:left w:val="single" w:sz="4" w:space="0" w:color="auto"/>
              <w:bottom w:val="single" w:sz="4" w:space="0" w:color="000000"/>
              <w:right w:val="single" w:sz="4" w:space="0" w:color="auto"/>
            </w:tcBorders>
            <w:vAlign w:val="center"/>
            <w:hideMark/>
          </w:tcPr>
          <w:p w:rsidR="00191861" w:rsidRPr="00A142E0" w:rsidRDefault="00191861" w:rsidP="00191861">
            <w:pPr>
              <w:rPr>
                <w:sz w:val="19"/>
                <w:szCs w:val="19"/>
              </w:rPr>
            </w:pPr>
          </w:p>
        </w:tc>
        <w:tc>
          <w:tcPr>
            <w:tcW w:w="1073"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w:t>
            </w:r>
          </w:p>
        </w:tc>
        <w:tc>
          <w:tcPr>
            <w:tcW w:w="100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22</w:t>
            </w:r>
          </w:p>
        </w:tc>
        <w:tc>
          <w:tcPr>
            <w:tcW w:w="111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A142E0">
            <w:pPr>
              <w:ind w:left="-171"/>
              <w:jc w:val="right"/>
              <w:rPr>
                <w:sz w:val="19"/>
                <w:szCs w:val="19"/>
              </w:rPr>
            </w:pPr>
            <w:r w:rsidRPr="00A142E0">
              <w:rPr>
                <w:sz w:val="19"/>
                <w:szCs w:val="19"/>
              </w:rPr>
              <w:t>8 414 688,9</w:t>
            </w:r>
          </w:p>
        </w:tc>
        <w:tc>
          <w:tcPr>
            <w:tcW w:w="1086"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33"/>
              <w:jc w:val="right"/>
              <w:rPr>
                <w:sz w:val="19"/>
                <w:szCs w:val="19"/>
              </w:rPr>
            </w:pPr>
            <w:r w:rsidRPr="00A142E0">
              <w:rPr>
                <w:sz w:val="19"/>
                <w:szCs w:val="19"/>
              </w:rPr>
              <w:t>5 465 008,1</w:t>
            </w:r>
          </w:p>
        </w:tc>
        <w:tc>
          <w:tcPr>
            <w:tcW w:w="1048"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43" w:right="-25" w:firstLine="72"/>
              <w:jc w:val="right"/>
              <w:rPr>
                <w:sz w:val="19"/>
                <w:szCs w:val="19"/>
              </w:rPr>
            </w:pPr>
            <w:r w:rsidRPr="00A142E0">
              <w:rPr>
                <w:sz w:val="19"/>
                <w:szCs w:val="19"/>
              </w:rPr>
              <w:t>4 106 047,5</w:t>
            </w:r>
          </w:p>
        </w:tc>
        <w:tc>
          <w:tcPr>
            <w:tcW w:w="1025"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D56CB5">
            <w:pPr>
              <w:ind w:left="-94"/>
              <w:jc w:val="right"/>
              <w:rPr>
                <w:sz w:val="19"/>
                <w:szCs w:val="19"/>
              </w:rPr>
            </w:pPr>
            <w:r w:rsidRPr="00A142E0">
              <w:rPr>
                <w:sz w:val="19"/>
                <w:szCs w:val="19"/>
              </w:rPr>
              <w:t>5 465 008,1</w:t>
            </w:r>
          </w:p>
        </w:tc>
        <w:tc>
          <w:tcPr>
            <w:tcW w:w="1029"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87" w:firstLine="94"/>
              <w:jc w:val="right"/>
              <w:rPr>
                <w:sz w:val="19"/>
                <w:szCs w:val="19"/>
              </w:rPr>
            </w:pPr>
            <w:r w:rsidRPr="00A142E0">
              <w:rPr>
                <w:sz w:val="19"/>
                <w:szCs w:val="19"/>
              </w:rPr>
              <w:t>4 106 047,5</w:t>
            </w:r>
          </w:p>
        </w:tc>
      </w:tr>
      <w:tr w:rsidR="00467F9C" w:rsidRPr="00467F9C" w:rsidTr="00D56CB5">
        <w:trPr>
          <w:gridAfter w:val="1"/>
          <w:wAfter w:w="9" w:type="dxa"/>
          <w:trHeight w:val="421"/>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191861" w:rsidRPr="00A142E0" w:rsidRDefault="00191861" w:rsidP="00D56CB5">
            <w:pPr>
              <w:ind w:right="-102"/>
              <w:rPr>
                <w:sz w:val="19"/>
                <w:szCs w:val="19"/>
              </w:rPr>
            </w:pPr>
            <w:r w:rsidRPr="00A142E0">
              <w:rPr>
                <w:sz w:val="19"/>
                <w:szCs w:val="19"/>
              </w:rPr>
              <w:lastRenderedPageBreak/>
              <w:t xml:space="preserve">Развитие ЖКХ и водохозяйственного комплекса </w:t>
            </w:r>
          </w:p>
        </w:tc>
        <w:tc>
          <w:tcPr>
            <w:tcW w:w="1073"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w:t>
            </w:r>
          </w:p>
        </w:tc>
        <w:tc>
          <w:tcPr>
            <w:tcW w:w="100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2</w:t>
            </w:r>
          </w:p>
        </w:tc>
        <w:tc>
          <w:tcPr>
            <w:tcW w:w="111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A142E0">
            <w:pPr>
              <w:ind w:left="-171"/>
              <w:jc w:val="right"/>
              <w:rPr>
                <w:sz w:val="19"/>
                <w:szCs w:val="19"/>
              </w:rPr>
            </w:pPr>
            <w:r w:rsidRPr="00A142E0">
              <w:rPr>
                <w:sz w:val="19"/>
                <w:szCs w:val="19"/>
              </w:rPr>
              <w:t>4 560 368,5</w:t>
            </w:r>
          </w:p>
        </w:tc>
        <w:tc>
          <w:tcPr>
            <w:tcW w:w="1086"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33"/>
              <w:jc w:val="right"/>
              <w:rPr>
                <w:sz w:val="19"/>
                <w:szCs w:val="19"/>
              </w:rPr>
            </w:pPr>
            <w:r w:rsidRPr="00A142E0">
              <w:rPr>
                <w:sz w:val="19"/>
                <w:szCs w:val="19"/>
              </w:rPr>
              <w:t>1 535 723,1</w:t>
            </w:r>
          </w:p>
        </w:tc>
        <w:tc>
          <w:tcPr>
            <w:tcW w:w="1048"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43" w:right="-25" w:firstLine="72"/>
              <w:jc w:val="right"/>
              <w:rPr>
                <w:sz w:val="19"/>
                <w:szCs w:val="19"/>
              </w:rPr>
            </w:pPr>
            <w:r w:rsidRPr="00A142E0">
              <w:rPr>
                <w:sz w:val="19"/>
                <w:szCs w:val="19"/>
              </w:rPr>
              <w:t>470 057,7</w:t>
            </w:r>
          </w:p>
        </w:tc>
        <w:tc>
          <w:tcPr>
            <w:tcW w:w="1025"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D56CB5">
            <w:pPr>
              <w:ind w:left="-94"/>
              <w:jc w:val="right"/>
              <w:rPr>
                <w:sz w:val="19"/>
                <w:szCs w:val="19"/>
              </w:rPr>
            </w:pPr>
            <w:r w:rsidRPr="00A142E0">
              <w:rPr>
                <w:sz w:val="19"/>
                <w:szCs w:val="19"/>
              </w:rPr>
              <w:t>1 535 723,1</w:t>
            </w:r>
          </w:p>
        </w:tc>
        <w:tc>
          <w:tcPr>
            <w:tcW w:w="1029"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87" w:firstLine="94"/>
              <w:jc w:val="right"/>
              <w:rPr>
                <w:sz w:val="19"/>
                <w:szCs w:val="19"/>
              </w:rPr>
            </w:pPr>
            <w:r w:rsidRPr="00A142E0">
              <w:rPr>
                <w:sz w:val="19"/>
                <w:szCs w:val="19"/>
              </w:rPr>
              <w:t>470 057,7</w:t>
            </w:r>
          </w:p>
        </w:tc>
      </w:tr>
      <w:tr w:rsidR="00467F9C" w:rsidRPr="00467F9C" w:rsidTr="00D56CB5">
        <w:trPr>
          <w:gridAfter w:val="1"/>
          <w:wAfter w:w="9" w:type="dxa"/>
          <w:trHeight w:val="280"/>
        </w:trPr>
        <w:tc>
          <w:tcPr>
            <w:tcW w:w="2547" w:type="dxa"/>
            <w:vMerge w:val="restart"/>
            <w:tcBorders>
              <w:top w:val="nil"/>
              <w:left w:val="single" w:sz="4" w:space="0" w:color="auto"/>
              <w:bottom w:val="single" w:sz="4" w:space="0" w:color="000000"/>
              <w:right w:val="single" w:sz="4" w:space="0" w:color="auto"/>
            </w:tcBorders>
            <w:shd w:val="clear" w:color="auto" w:fill="auto"/>
            <w:vAlign w:val="center"/>
            <w:hideMark/>
          </w:tcPr>
          <w:p w:rsidR="00191861" w:rsidRPr="00A142E0" w:rsidRDefault="00191861" w:rsidP="00D56CB5">
            <w:pPr>
              <w:ind w:right="-102"/>
              <w:rPr>
                <w:sz w:val="19"/>
                <w:szCs w:val="19"/>
              </w:rPr>
            </w:pPr>
            <w:r w:rsidRPr="00A142E0">
              <w:rPr>
                <w:sz w:val="19"/>
                <w:szCs w:val="19"/>
              </w:rPr>
              <w:t xml:space="preserve">Развитие образования и науки </w:t>
            </w:r>
          </w:p>
        </w:tc>
        <w:tc>
          <w:tcPr>
            <w:tcW w:w="1073"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3</w:t>
            </w:r>
          </w:p>
        </w:tc>
        <w:tc>
          <w:tcPr>
            <w:tcW w:w="100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w:t>
            </w:r>
          </w:p>
        </w:tc>
        <w:tc>
          <w:tcPr>
            <w:tcW w:w="111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A142E0">
            <w:pPr>
              <w:ind w:left="-171"/>
              <w:jc w:val="right"/>
              <w:rPr>
                <w:sz w:val="19"/>
                <w:szCs w:val="19"/>
              </w:rPr>
            </w:pPr>
            <w:r w:rsidRPr="00A142E0">
              <w:rPr>
                <w:sz w:val="19"/>
                <w:szCs w:val="19"/>
              </w:rPr>
              <w:t>133 681,1</w:t>
            </w:r>
          </w:p>
        </w:tc>
        <w:tc>
          <w:tcPr>
            <w:tcW w:w="1086"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33"/>
              <w:jc w:val="right"/>
              <w:rPr>
                <w:sz w:val="19"/>
                <w:szCs w:val="19"/>
              </w:rPr>
            </w:pPr>
            <w:r w:rsidRPr="00A142E0">
              <w:rPr>
                <w:sz w:val="19"/>
                <w:szCs w:val="19"/>
              </w:rPr>
              <w:t>43 033,6</w:t>
            </w:r>
          </w:p>
        </w:tc>
        <w:tc>
          <w:tcPr>
            <w:tcW w:w="1048"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43" w:right="-25" w:firstLine="72"/>
              <w:jc w:val="right"/>
              <w:rPr>
                <w:sz w:val="19"/>
                <w:szCs w:val="19"/>
              </w:rPr>
            </w:pPr>
            <w:r w:rsidRPr="00A142E0">
              <w:rPr>
                <w:sz w:val="19"/>
                <w:szCs w:val="19"/>
              </w:rPr>
              <w:t>43 033,6</w:t>
            </w:r>
          </w:p>
        </w:tc>
        <w:tc>
          <w:tcPr>
            <w:tcW w:w="1025"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D56CB5">
            <w:pPr>
              <w:ind w:left="-94"/>
              <w:jc w:val="right"/>
              <w:rPr>
                <w:sz w:val="19"/>
                <w:szCs w:val="19"/>
              </w:rPr>
            </w:pPr>
            <w:r w:rsidRPr="00A142E0">
              <w:rPr>
                <w:sz w:val="19"/>
                <w:szCs w:val="19"/>
              </w:rPr>
              <w:t>141,9</w:t>
            </w:r>
          </w:p>
        </w:tc>
        <w:tc>
          <w:tcPr>
            <w:tcW w:w="1029"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87" w:firstLine="94"/>
              <w:jc w:val="right"/>
              <w:rPr>
                <w:sz w:val="19"/>
                <w:szCs w:val="19"/>
              </w:rPr>
            </w:pPr>
            <w:r w:rsidRPr="00A142E0">
              <w:rPr>
                <w:sz w:val="19"/>
                <w:szCs w:val="19"/>
              </w:rPr>
              <w:t>141,9</w:t>
            </w:r>
          </w:p>
        </w:tc>
      </w:tr>
      <w:tr w:rsidR="00467F9C" w:rsidRPr="00467F9C" w:rsidTr="00D56CB5">
        <w:trPr>
          <w:gridAfter w:val="1"/>
          <w:wAfter w:w="9" w:type="dxa"/>
          <w:trHeight w:val="280"/>
        </w:trPr>
        <w:tc>
          <w:tcPr>
            <w:tcW w:w="2547" w:type="dxa"/>
            <w:vMerge/>
            <w:tcBorders>
              <w:top w:val="nil"/>
              <w:left w:val="single" w:sz="4" w:space="0" w:color="auto"/>
              <w:bottom w:val="single" w:sz="4" w:space="0" w:color="000000"/>
              <w:right w:val="single" w:sz="4" w:space="0" w:color="auto"/>
            </w:tcBorders>
            <w:vAlign w:val="center"/>
            <w:hideMark/>
          </w:tcPr>
          <w:p w:rsidR="00191861" w:rsidRPr="00A142E0" w:rsidRDefault="00191861" w:rsidP="00D56CB5">
            <w:pPr>
              <w:ind w:right="-102"/>
              <w:rPr>
                <w:sz w:val="19"/>
                <w:szCs w:val="19"/>
              </w:rPr>
            </w:pPr>
          </w:p>
        </w:tc>
        <w:tc>
          <w:tcPr>
            <w:tcW w:w="1073"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w:t>
            </w:r>
          </w:p>
        </w:tc>
        <w:tc>
          <w:tcPr>
            <w:tcW w:w="100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4</w:t>
            </w:r>
          </w:p>
        </w:tc>
        <w:tc>
          <w:tcPr>
            <w:tcW w:w="111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A142E0">
            <w:pPr>
              <w:ind w:left="-171"/>
              <w:jc w:val="right"/>
              <w:rPr>
                <w:sz w:val="19"/>
                <w:szCs w:val="19"/>
              </w:rPr>
            </w:pPr>
            <w:r w:rsidRPr="00A142E0">
              <w:rPr>
                <w:sz w:val="19"/>
                <w:szCs w:val="19"/>
              </w:rPr>
              <w:t>3 026 590,0</w:t>
            </w:r>
          </w:p>
        </w:tc>
        <w:tc>
          <w:tcPr>
            <w:tcW w:w="1086"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33"/>
              <w:jc w:val="right"/>
              <w:rPr>
                <w:sz w:val="19"/>
                <w:szCs w:val="19"/>
              </w:rPr>
            </w:pPr>
            <w:r w:rsidRPr="00A142E0">
              <w:rPr>
                <w:sz w:val="19"/>
                <w:szCs w:val="19"/>
              </w:rPr>
              <w:t>708 729,1</w:t>
            </w:r>
          </w:p>
        </w:tc>
        <w:tc>
          <w:tcPr>
            <w:tcW w:w="1048"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43" w:right="-25" w:firstLine="72"/>
              <w:jc w:val="right"/>
              <w:rPr>
                <w:sz w:val="19"/>
                <w:szCs w:val="19"/>
              </w:rPr>
            </w:pPr>
            <w:r w:rsidRPr="00A142E0">
              <w:rPr>
                <w:sz w:val="19"/>
                <w:szCs w:val="19"/>
              </w:rPr>
              <w:t>495 001,4</w:t>
            </w:r>
          </w:p>
        </w:tc>
        <w:tc>
          <w:tcPr>
            <w:tcW w:w="1025"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D56CB5">
            <w:pPr>
              <w:ind w:left="-94"/>
              <w:jc w:val="right"/>
              <w:rPr>
                <w:sz w:val="19"/>
                <w:szCs w:val="19"/>
              </w:rPr>
            </w:pPr>
            <w:r w:rsidRPr="00A142E0">
              <w:rPr>
                <w:sz w:val="19"/>
                <w:szCs w:val="19"/>
              </w:rPr>
              <w:t>68 154,0</w:t>
            </w:r>
          </w:p>
        </w:tc>
        <w:tc>
          <w:tcPr>
            <w:tcW w:w="1029"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87" w:firstLine="94"/>
              <w:jc w:val="right"/>
              <w:rPr>
                <w:sz w:val="19"/>
                <w:szCs w:val="19"/>
              </w:rPr>
            </w:pPr>
            <w:r w:rsidRPr="00A142E0">
              <w:rPr>
                <w:sz w:val="19"/>
                <w:szCs w:val="19"/>
              </w:rPr>
              <w:t>68 154,0</w:t>
            </w:r>
          </w:p>
        </w:tc>
      </w:tr>
      <w:tr w:rsidR="00467F9C" w:rsidRPr="00467F9C" w:rsidTr="00D56CB5">
        <w:trPr>
          <w:gridAfter w:val="1"/>
          <w:wAfter w:w="9" w:type="dxa"/>
          <w:trHeight w:val="280"/>
        </w:trPr>
        <w:tc>
          <w:tcPr>
            <w:tcW w:w="2547" w:type="dxa"/>
            <w:vMerge w:val="restart"/>
            <w:tcBorders>
              <w:top w:val="nil"/>
              <w:left w:val="single" w:sz="4" w:space="0" w:color="auto"/>
              <w:bottom w:val="single" w:sz="4" w:space="0" w:color="000000"/>
              <w:right w:val="single" w:sz="4" w:space="0" w:color="auto"/>
            </w:tcBorders>
            <w:shd w:val="clear" w:color="auto" w:fill="auto"/>
            <w:vAlign w:val="center"/>
            <w:hideMark/>
          </w:tcPr>
          <w:p w:rsidR="00191861" w:rsidRPr="00A142E0" w:rsidRDefault="00191861" w:rsidP="00D56CB5">
            <w:pPr>
              <w:ind w:right="-102"/>
              <w:rPr>
                <w:sz w:val="19"/>
                <w:szCs w:val="19"/>
              </w:rPr>
            </w:pPr>
            <w:r w:rsidRPr="00A142E0">
              <w:rPr>
                <w:sz w:val="19"/>
                <w:szCs w:val="19"/>
              </w:rPr>
              <w:t xml:space="preserve">Информационное общество </w:t>
            </w:r>
          </w:p>
        </w:tc>
        <w:tc>
          <w:tcPr>
            <w:tcW w:w="1073"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3</w:t>
            </w:r>
          </w:p>
        </w:tc>
        <w:tc>
          <w:tcPr>
            <w:tcW w:w="100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w:t>
            </w:r>
          </w:p>
        </w:tc>
        <w:tc>
          <w:tcPr>
            <w:tcW w:w="111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A142E0">
            <w:pPr>
              <w:ind w:left="-171"/>
              <w:jc w:val="right"/>
              <w:rPr>
                <w:sz w:val="19"/>
                <w:szCs w:val="19"/>
              </w:rPr>
            </w:pPr>
            <w:r w:rsidRPr="00A142E0">
              <w:rPr>
                <w:sz w:val="19"/>
                <w:szCs w:val="19"/>
              </w:rPr>
              <w:t>242 696,8</w:t>
            </w:r>
          </w:p>
        </w:tc>
        <w:tc>
          <w:tcPr>
            <w:tcW w:w="1086"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33"/>
              <w:jc w:val="right"/>
              <w:rPr>
                <w:sz w:val="19"/>
                <w:szCs w:val="19"/>
              </w:rPr>
            </w:pPr>
            <w:r w:rsidRPr="00A142E0">
              <w:rPr>
                <w:sz w:val="19"/>
                <w:szCs w:val="19"/>
              </w:rPr>
              <w:t>120 495,6</w:t>
            </w:r>
          </w:p>
        </w:tc>
        <w:tc>
          <w:tcPr>
            <w:tcW w:w="1048"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43" w:right="-25" w:firstLine="72"/>
              <w:jc w:val="right"/>
              <w:rPr>
                <w:sz w:val="19"/>
                <w:szCs w:val="19"/>
              </w:rPr>
            </w:pPr>
            <w:r w:rsidRPr="00A142E0">
              <w:rPr>
                <w:sz w:val="19"/>
                <w:szCs w:val="19"/>
              </w:rPr>
              <w:t>120 495,6</w:t>
            </w:r>
          </w:p>
        </w:tc>
        <w:tc>
          <w:tcPr>
            <w:tcW w:w="1025"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D56CB5">
            <w:pPr>
              <w:ind w:left="-94"/>
              <w:jc w:val="right"/>
              <w:rPr>
                <w:sz w:val="19"/>
                <w:szCs w:val="19"/>
              </w:rPr>
            </w:pPr>
            <w:r w:rsidRPr="00A142E0">
              <w:rPr>
                <w:sz w:val="19"/>
                <w:szCs w:val="19"/>
              </w:rPr>
              <w:t>120 867,0</w:t>
            </w:r>
          </w:p>
        </w:tc>
        <w:tc>
          <w:tcPr>
            <w:tcW w:w="1029"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87" w:firstLine="94"/>
              <w:jc w:val="right"/>
              <w:rPr>
                <w:sz w:val="19"/>
                <w:szCs w:val="19"/>
              </w:rPr>
            </w:pPr>
            <w:r w:rsidRPr="00A142E0">
              <w:rPr>
                <w:sz w:val="19"/>
                <w:szCs w:val="19"/>
              </w:rPr>
              <w:t>120 867,0</w:t>
            </w:r>
          </w:p>
        </w:tc>
      </w:tr>
      <w:tr w:rsidR="00467F9C" w:rsidRPr="00467F9C" w:rsidTr="00D56CB5">
        <w:trPr>
          <w:gridAfter w:val="1"/>
          <w:wAfter w:w="9" w:type="dxa"/>
          <w:trHeight w:val="280"/>
        </w:trPr>
        <w:tc>
          <w:tcPr>
            <w:tcW w:w="2547" w:type="dxa"/>
            <w:vMerge/>
            <w:tcBorders>
              <w:top w:val="nil"/>
              <w:left w:val="single" w:sz="4" w:space="0" w:color="auto"/>
              <w:bottom w:val="single" w:sz="4" w:space="0" w:color="000000"/>
              <w:right w:val="single" w:sz="4" w:space="0" w:color="auto"/>
            </w:tcBorders>
            <w:vAlign w:val="center"/>
            <w:hideMark/>
          </w:tcPr>
          <w:p w:rsidR="00191861" w:rsidRPr="00A142E0" w:rsidRDefault="00191861" w:rsidP="00D56CB5">
            <w:pPr>
              <w:ind w:right="-102"/>
              <w:rPr>
                <w:sz w:val="19"/>
                <w:szCs w:val="19"/>
              </w:rPr>
            </w:pPr>
          </w:p>
        </w:tc>
        <w:tc>
          <w:tcPr>
            <w:tcW w:w="1073"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w:t>
            </w:r>
          </w:p>
        </w:tc>
        <w:tc>
          <w:tcPr>
            <w:tcW w:w="100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1</w:t>
            </w:r>
          </w:p>
        </w:tc>
        <w:tc>
          <w:tcPr>
            <w:tcW w:w="111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A142E0">
            <w:pPr>
              <w:ind w:left="-171"/>
              <w:jc w:val="right"/>
              <w:rPr>
                <w:sz w:val="19"/>
                <w:szCs w:val="19"/>
              </w:rPr>
            </w:pPr>
            <w:r w:rsidRPr="00A142E0">
              <w:rPr>
                <w:sz w:val="19"/>
                <w:szCs w:val="19"/>
              </w:rPr>
              <w:t>65 988,0</w:t>
            </w:r>
          </w:p>
        </w:tc>
        <w:tc>
          <w:tcPr>
            <w:tcW w:w="1086"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33"/>
              <w:jc w:val="right"/>
              <w:rPr>
                <w:sz w:val="19"/>
                <w:szCs w:val="19"/>
              </w:rPr>
            </w:pPr>
            <w:r w:rsidRPr="00A142E0">
              <w:rPr>
                <w:sz w:val="19"/>
                <w:szCs w:val="19"/>
              </w:rPr>
              <w:t>21 996,0</w:t>
            </w:r>
          </w:p>
        </w:tc>
        <w:tc>
          <w:tcPr>
            <w:tcW w:w="1048"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43" w:right="-25" w:firstLine="72"/>
              <w:jc w:val="right"/>
              <w:rPr>
                <w:sz w:val="19"/>
                <w:szCs w:val="19"/>
              </w:rPr>
            </w:pPr>
            <w:r w:rsidRPr="00A142E0">
              <w:rPr>
                <w:sz w:val="19"/>
                <w:szCs w:val="19"/>
              </w:rPr>
              <w:t>21 996,0</w:t>
            </w:r>
          </w:p>
        </w:tc>
        <w:tc>
          <w:tcPr>
            <w:tcW w:w="1025"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D56CB5">
            <w:pPr>
              <w:ind w:left="-94"/>
              <w:jc w:val="right"/>
              <w:rPr>
                <w:sz w:val="19"/>
                <w:szCs w:val="19"/>
              </w:rPr>
            </w:pPr>
            <w:r w:rsidRPr="00A142E0">
              <w:rPr>
                <w:sz w:val="19"/>
                <w:szCs w:val="19"/>
              </w:rPr>
              <w:t>21 996,0</w:t>
            </w:r>
          </w:p>
        </w:tc>
        <w:tc>
          <w:tcPr>
            <w:tcW w:w="1029"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87" w:firstLine="94"/>
              <w:jc w:val="right"/>
              <w:rPr>
                <w:sz w:val="19"/>
                <w:szCs w:val="19"/>
              </w:rPr>
            </w:pPr>
            <w:r w:rsidRPr="00A142E0">
              <w:rPr>
                <w:sz w:val="19"/>
                <w:szCs w:val="19"/>
              </w:rPr>
              <w:t>21 996,0</w:t>
            </w:r>
          </w:p>
        </w:tc>
      </w:tr>
      <w:tr w:rsidR="00467F9C" w:rsidRPr="00467F9C" w:rsidTr="00D56CB5">
        <w:trPr>
          <w:gridAfter w:val="1"/>
          <w:wAfter w:w="9" w:type="dxa"/>
          <w:trHeight w:val="280"/>
        </w:trPr>
        <w:tc>
          <w:tcPr>
            <w:tcW w:w="2547" w:type="dxa"/>
            <w:vMerge w:val="restart"/>
            <w:tcBorders>
              <w:top w:val="nil"/>
              <w:left w:val="single" w:sz="4" w:space="0" w:color="auto"/>
              <w:bottom w:val="single" w:sz="4" w:space="0" w:color="000000"/>
              <w:right w:val="single" w:sz="4" w:space="0" w:color="auto"/>
            </w:tcBorders>
            <w:shd w:val="clear" w:color="auto" w:fill="auto"/>
            <w:vAlign w:val="center"/>
            <w:hideMark/>
          </w:tcPr>
          <w:p w:rsidR="00191861" w:rsidRPr="00A142E0" w:rsidRDefault="00191861" w:rsidP="00D56CB5">
            <w:pPr>
              <w:ind w:right="-102"/>
              <w:rPr>
                <w:sz w:val="19"/>
                <w:szCs w:val="19"/>
              </w:rPr>
            </w:pPr>
            <w:r w:rsidRPr="00A142E0">
              <w:rPr>
                <w:sz w:val="19"/>
                <w:szCs w:val="19"/>
              </w:rPr>
              <w:t>Развитие культуры, спорта и туризма</w:t>
            </w:r>
          </w:p>
        </w:tc>
        <w:tc>
          <w:tcPr>
            <w:tcW w:w="1073"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5</w:t>
            </w:r>
          </w:p>
        </w:tc>
        <w:tc>
          <w:tcPr>
            <w:tcW w:w="100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w:t>
            </w:r>
          </w:p>
        </w:tc>
        <w:tc>
          <w:tcPr>
            <w:tcW w:w="111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A142E0">
            <w:pPr>
              <w:ind w:left="-171"/>
              <w:jc w:val="right"/>
              <w:rPr>
                <w:sz w:val="19"/>
                <w:szCs w:val="19"/>
              </w:rPr>
            </w:pPr>
            <w:r w:rsidRPr="00A142E0">
              <w:rPr>
                <w:sz w:val="19"/>
                <w:szCs w:val="19"/>
              </w:rPr>
              <w:t>196 611,2</w:t>
            </w:r>
          </w:p>
        </w:tc>
        <w:tc>
          <w:tcPr>
            <w:tcW w:w="1086"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33"/>
              <w:jc w:val="right"/>
              <w:rPr>
                <w:sz w:val="19"/>
                <w:szCs w:val="19"/>
              </w:rPr>
            </w:pPr>
            <w:r w:rsidRPr="00A142E0">
              <w:rPr>
                <w:sz w:val="19"/>
                <w:szCs w:val="19"/>
              </w:rPr>
              <w:t>104 710,2</w:t>
            </w:r>
          </w:p>
        </w:tc>
        <w:tc>
          <w:tcPr>
            <w:tcW w:w="1048"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43" w:right="-25" w:firstLine="72"/>
              <w:jc w:val="right"/>
              <w:rPr>
                <w:sz w:val="19"/>
                <w:szCs w:val="19"/>
              </w:rPr>
            </w:pPr>
            <w:r w:rsidRPr="00A142E0">
              <w:rPr>
                <w:sz w:val="19"/>
                <w:szCs w:val="19"/>
              </w:rPr>
              <w:t>101 603,5</w:t>
            </w:r>
          </w:p>
        </w:tc>
        <w:tc>
          <w:tcPr>
            <w:tcW w:w="1025"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D56CB5">
            <w:pPr>
              <w:ind w:left="-94"/>
              <w:jc w:val="right"/>
              <w:rPr>
                <w:sz w:val="19"/>
                <w:szCs w:val="19"/>
              </w:rPr>
            </w:pPr>
            <w:r w:rsidRPr="00A142E0">
              <w:rPr>
                <w:sz w:val="19"/>
                <w:szCs w:val="19"/>
              </w:rPr>
              <w:t>56 247,6</w:t>
            </w:r>
          </w:p>
        </w:tc>
        <w:tc>
          <w:tcPr>
            <w:tcW w:w="1029"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87" w:firstLine="94"/>
              <w:jc w:val="right"/>
              <w:rPr>
                <w:sz w:val="19"/>
                <w:szCs w:val="19"/>
              </w:rPr>
            </w:pPr>
            <w:r w:rsidRPr="00A142E0">
              <w:rPr>
                <w:sz w:val="19"/>
                <w:szCs w:val="19"/>
              </w:rPr>
              <w:t>53 140,9</w:t>
            </w:r>
          </w:p>
        </w:tc>
      </w:tr>
      <w:tr w:rsidR="00467F9C" w:rsidRPr="00467F9C" w:rsidTr="00D56CB5">
        <w:trPr>
          <w:gridAfter w:val="1"/>
          <w:wAfter w:w="9" w:type="dxa"/>
          <w:trHeight w:val="280"/>
        </w:trPr>
        <w:tc>
          <w:tcPr>
            <w:tcW w:w="2547" w:type="dxa"/>
            <w:vMerge/>
            <w:tcBorders>
              <w:top w:val="nil"/>
              <w:left w:val="single" w:sz="4" w:space="0" w:color="auto"/>
              <w:bottom w:val="single" w:sz="4" w:space="0" w:color="000000"/>
              <w:right w:val="single" w:sz="4" w:space="0" w:color="auto"/>
            </w:tcBorders>
            <w:vAlign w:val="center"/>
            <w:hideMark/>
          </w:tcPr>
          <w:p w:rsidR="00191861" w:rsidRPr="00A142E0" w:rsidRDefault="00191861" w:rsidP="00D56CB5">
            <w:pPr>
              <w:ind w:right="-102"/>
              <w:rPr>
                <w:sz w:val="19"/>
                <w:szCs w:val="19"/>
              </w:rPr>
            </w:pPr>
          </w:p>
        </w:tc>
        <w:tc>
          <w:tcPr>
            <w:tcW w:w="1073"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w:t>
            </w:r>
          </w:p>
        </w:tc>
        <w:tc>
          <w:tcPr>
            <w:tcW w:w="100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1</w:t>
            </w:r>
          </w:p>
        </w:tc>
        <w:tc>
          <w:tcPr>
            <w:tcW w:w="111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A142E0">
            <w:pPr>
              <w:ind w:left="-171"/>
              <w:jc w:val="right"/>
              <w:rPr>
                <w:sz w:val="19"/>
                <w:szCs w:val="19"/>
              </w:rPr>
            </w:pPr>
            <w:r w:rsidRPr="00A142E0">
              <w:rPr>
                <w:sz w:val="19"/>
                <w:szCs w:val="19"/>
              </w:rPr>
              <w:t>524 923,0</w:t>
            </w:r>
          </w:p>
        </w:tc>
        <w:tc>
          <w:tcPr>
            <w:tcW w:w="1086"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33"/>
              <w:jc w:val="right"/>
              <w:rPr>
                <w:sz w:val="19"/>
                <w:szCs w:val="19"/>
              </w:rPr>
            </w:pPr>
            <w:r w:rsidRPr="00A142E0">
              <w:rPr>
                <w:sz w:val="19"/>
                <w:szCs w:val="19"/>
              </w:rPr>
              <w:t>172 334,8</w:t>
            </w:r>
          </w:p>
        </w:tc>
        <w:tc>
          <w:tcPr>
            <w:tcW w:w="1048"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43" w:right="-25" w:firstLine="72"/>
              <w:jc w:val="right"/>
              <w:rPr>
                <w:sz w:val="19"/>
                <w:szCs w:val="19"/>
              </w:rPr>
            </w:pPr>
            <w:r w:rsidRPr="00A142E0">
              <w:rPr>
                <w:sz w:val="19"/>
                <w:szCs w:val="19"/>
              </w:rPr>
              <w:t>172 334,8</w:t>
            </w:r>
          </w:p>
        </w:tc>
        <w:tc>
          <w:tcPr>
            <w:tcW w:w="1025"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D56CB5">
            <w:pPr>
              <w:ind w:left="-94"/>
              <w:jc w:val="center"/>
              <w:rPr>
                <w:sz w:val="19"/>
                <w:szCs w:val="19"/>
              </w:rPr>
            </w:pPr>
            <w:r w:rsidRPr="00A142E0">
              <w:rPr>
                <w:sz w:val="19"/>
                <w:szCs w:val="19"/>
              </w:rPr>
              <w:t>-</w:t>
            </w:r>
          </w:p>
        </w:tc>
        <w:tc>
          <w:tcPr>
            <w:tcW w:w="1029"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87" w:firstLine="94"/>
              <w:jc w:val="center"/>
              <w:rPr>
                <w:sz w:val="19"/>
                <w:szCs w:val="19"/>
              </w:rPr>
            </w:pPr>
            <w:r w:rsidRPr="00A142E0">
              <w:rPr>
                <w:sz w:val="19"/>
                <w:szCs w:val="19"/>
              </w:rPr>
              <w:t>-</w:t>
            </w:r>
          </w:p>
        </w:tc>
      </w:tr>
      <w:tr w:rsidR="00467F9C" w:rsidRPr="00467F9C" w:rsidTr="00D56CB5">
        <w:trPr>
          <w:gridAfter w:val="1"/>
          <w:wAfter w:w="9" w:type="dxa"/>
          <w:trHeight w:val="295"/>
        </w:trPr>
        <w:tc>
          <w:tcPr>
            <w:tcW w:w="2547" w:type="dxa"/>
            <w:vMerge w:val="restart"/>
            <w:tcBorders>
              <w:top w:val="nil"/>
              <w:left w:val="single" w:sz="4" w:space="0" w:color="auto"/>
              <w:bottom w:val="single" w:sz="4" w:space="0" w:color="000000"/>
              <w:right w:val="single" w:sz="4" w:space="0" w:color="auto"/>
            </w:tcBorders>
            <w:shd w:val="clear" w:color="auto" w:fill="auto"/>
            <w:vAlign w:val="center"/>
            <w:hideMark/>
          </w:tcPr>
          <w:p w:rsidR="00191861" w:rsidRPr="00A142E0" w:rsidRDefault="00191861" w:rsidP="00D56CB5">
            <w:pPr>
              <w:ind w:right="-102"/>
              <w:rPr>
                <w:sz w:val="19"/>
                <w:szCs w:val="19"/>
              </w:rPr>
            </w:pPr>
            <w:r w:rsidRPr="00A142E0">
              <w:rPr>
                <w:sz w:val="19"/>
                <w:szCs w:val="19"/>
              </w:rPr>
              <w:t xml:space="preserve">Обеспечение устойчивого сокращения непригодного для проживания жил. фонда </w:t>
            </w:r>
          </w:p>
        </w:tc>
        <w:tc>
          <w:tcPr>
            <w:tcW w:w="1073"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2</w:t>
            </w:r>
          </w:p>
        </w:tc>
        <w:tc>
          <w:tcPr>
            <w:tcW w:w="100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w:t>
            </w:r>
          </w:p>
        </w:tc>
        <w:tc>
          <w:tcPr>
            <w:tcW w:w="111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A142E0">
            <w:pPr>
              <w:ind w:left="-171"/>
              <w:jc w:val="right"/>
              <w:rPr>
                <w:sz w:val="19"/>
                <w:szCs w:val="19"/>
              </w:rPr>
            </w:pPr>
            <w:r w:rsidRPr="00A142E0">
              <w:rPr>
                <w:sz w:val="19"/>
                <w:szCs w:val="19"/>
              </w:rPr>
              <w:t>383 115,9</w:t>
            </w:r>
          </w:p>
        </w:tc>
        <w:tc>
          <w:tcPr>
            <w:tcW w:w="1086"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33"/>
              <w:jc w:val="right"/>
              <w:rPr>
                <w:sz w:val="19"/>
                <w:szCs w:val="19"/>
              </w:rPr>
            </w:pPr>
            <w:r w:rsidRPr="00A142E0">
              <w:rPr>
                <w:sz w:val="19"/>
                <w:szCs w:val="19"/>
              </w:rPr>
              <w:t>243 998,2</w:t>
            </w:r>
          </w:p>
        </w:tc>
        <w:tc>
          <w:tcPr>
            <w:tcW w:w="1048"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43" w:right="-25" w:firstLine="72"/>
              <w:jc w:val="right"/>
              <w:rPr>
                <w:sz w:val="19"/>
                <w:szCs w:val="19"/>
              </w:rPr>
            </w:pPr>
            <w:r w:rsidRPr="00A142E0">
              <w:rPr>
                <w:sz w:val="19"/>
                <w:szCs w:val="19"/>
              </w:rPr>
              <w:t>188 540,7</w:t>
            </w:r>
          </w:p>
        </w:tc>
        <w:tc>
          <w:tcPr>
            <w:tcW w:w="1025"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D56CB5">
            <w:pPr>
              <w:ind w:left="-94"/>
              <w:jc w:val="right"/>
              <w:rPr>
                <w:sz w:val="19"/>
                <w:szCs w:val="19"/>
              </w:rPr>
            </w:pPr>
            <w:r w:rsidRPr="00A142E0">
              <w:rPr>
                <w:sz w:val="19"/>
                <w:szCs w:val="19"/>
              </w:rPr>
              <w:t>61 891,1</w:t>
            </w:r>
          </w:p>
        </w:tc>
        <w:tc>
          <w:tcPr>
            <w:tcW w:w="1029"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87" w:firstLine="94"/>
              <w:jc w:val="right"/>
              <w:rPr>
                <w:sz w:val="19"/>
                <w:szCs w:val="19"/>
              </w:rPr>
            </w:pPr>
            <w:r w:rsidRPr="00A142E0">
              <w:rPr>
                <w:sz w:val="19"/>
                <w:szCs w:val="19"/>
              </w:rPr>
              <w:t>6 433,6</w:t>
            </w:r>
          </w:p>
        </w:tc>
      </w:tr>
      <w:tr w:rsidR="00467F9C" w:rsidRPr="00467F9C" w:rsidTr="00D56CB5">
        <w:trPr>
          <w:gridAfter w:val="1"/>
          <w:wAfter w:w="9" w:type="dxa"/>
          <w:trHeight w:val="296"/>
        </w:trPr>
        <w:tc>
          <w:tcPr>
            <w:tcW w:w="2547" w:type="dxa"/>
            <w:vMerge/>
            <w:tcBorders>
              <w:top w:val="nil"/>
              <w:left w:val="single" w:sz="4" w:space="0" w:color="auto"/>
              <w:bottom w:val="single" w:sz="4" w:space="0" w:color="000000"/>
              <w:right w:val="single" w:sz="4" w:space="0" w:color="auto"/>
            </w:tcBorders>
            <w:vAlign w:val="center"/>
            <w:hideMark/>
          </w:tcPr>
          <w:p w:rsidR="00191861" w:rsidRPr="00A142E0" w:rsidRDefault="00191861" w:rsidP="00D56CB5">
            <w:pPr>
              <w:ind w:right="-102"/>
              <w:rPr>
                <w:sz w:val="19"/>
                <w:szCs w:val="19"/>
              </w:rPr>
            </w:pPr>
          </w:p>
        </w:tc>
        <w:tc>
          <w:tcPr>
            <w:tcW w:w="1073"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w:t>
            </w:r>
          </w:p>
        </w:tc>
        <w:tc>
          <w:tcPr>
            <w:tcW w:w="100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4</w:t>
            </w:r>
          </w:p>
        </w:tc>
        <w:tc>
          <w:tcPr>
            <w:tcW w:w="111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A142E0">
            <w:pPr>
              <w:ind w:left="-171"/>
              <w:jc w:val="right"/>
              <w:rPr>
                <w:sz w:val="19"/>
                <w:szCs w:val="19"/>
              </w:rPr>
            </w:pPr>
            <w:r w:rsidRPr="00A142E0">
              <w:rPr>
                <w:sz w:val="19"/>
                <w:szCs w:val="19"/>
              </w:rPr>
              <w:t>1 010 065,2</w:t>
            </w:r>
          </w:p>
        </w:tc>
        <w:tc>
          <w:tcPr>
            <w:tcW w:w="1086"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33"/>
              <w:jc w:val="right"/>
              <w:rPr>
                <w:sz w:val="19"/>
                <w:szCs w:val="19"/>
              </w:rPr>
            </w:pPr>
            <w:r w:rsidRPr="00A142E0">
              <w:rPr>
                <w:sz w:val="19"/>
                <w:szCs w:val="19"/>
              </w:rPr>
              <w:t>297 889,3</w:t>
            </w:r>
          </w:p>
        </w:tc>
        <w:tc>
          <w:tcPr>
            <w:tcW w:w="1048"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43" w:right="-25" w:firstLine="72"/>
              <w:jc w:val="right"/>
              <w:rPr>
                <w:sz w:val="19"/>
                <w:szCs w:val="19"/>
              </w:rPr>
            </w:pPr>
            <w:r w:rsidRPr="00A142E0">
              <w:rPr>
                <w:sz w:val="19"/>
                <w:szCs w:val="19"/>
              </w:rPr>
              <w:t>297 889,3</w:t>
            </w:r>
          </w:p>
        </w:tc>
        <w:tc>
          <w:tcPr>
            <w:tcW w:w="1025"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D56CB5">
            <w:pPr>
              <w:ind w:left="-94"/>
              <w:jc w:val="center"/>
              <w:rPr>
                <w:sz w:val="19"/>
                <w:szCs w:val="19"/>
              </w:rPr>
            </w:pPr>
            <w:r w:rsidRPr="00A142E0">
              <w:rPr>
                <w:sz w:val="19"/>
                <w:szCs w:val="19"/>
              </w:rPr>
              <w:t>-</w:t>
            </w:r>
          </w:p>
        </w:tc>
        <w:tc>
          <w:tcPr>
            <w:tcW w:w="1029"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87" w:firstLine="94"/>
              <w:jc w:val="center"/>
              <w:rPr>
                <w:sz w:val="19"/>
                <w:szCs w:val="19"/>
              </w:rPr>
            </w:pPr>
            <w:r w:rsidRPr="00A142E0">
              <w:rPr>
                <w:sz w:val="19"/>
                <w:szCs w:val="19"/>
              </w:rPr>
              <w:t>-</w:t>
            </w:r>
          </w:p>
        </w:tc>
      </w:tr>
      <w:tr w:rsidR="00467F9C" w:rsidRPr="00467F9C" w:rsidTr="00D56CB5">
        <w:trPr>
          <w:gridAfter w:val="1"/>
          <w:wAfter w:w="9" w:type="dxa"/>
          <w:trHeight w:val="280"/>
        </w:trPr>
        <w:tc>
          <w:tcPr>
            <w:tcW w:w="2547" w:type="dxa"/>
            <w:vMerge w:val="restart"/>
            <w:tcBorders>
              <w:top w:val="nil"/>
              <w:left w:val="single" w:sz="4" w:space="0" w:color="auto"/>
              <w:bottom w:val="single" w:sz="4" w:space="0" w:color="000000"/>
              <w:right w:val="single" w:sz="4" w:space="0" w:color="auto"/>
            </w:tcBorders>
            <w:shd w:val="clear" w:color="auto" w:fill="auto"/>
            <w:vAlign w:val="center"/>
            <w:hideMark/>
          </w:tcPr>
          <w:p w:rsidR="00191861" w:rsidRPr="00A142E0" w:rsidRDefault="00191861" w:rsidP="00D56CB5">
            <w:pPr>
              <w:ind w:right="-102"/>
              <w:rPr>
                <w:sz w:val="19"/>
                <w:szCs w:val="19"/>
              </w:rPr>
            </w:pPr>
            <w:r w:rsidRPr="00A142E0">
              <w:rPr>
                <w:sz w:val="19"/>
                <w:szCs w:val="19"/>
              </w:rPr>
              <w:t xml:space="preserve">Развитие жилищного строительства </w:t>
            </w:r>
          </w:p>
        </w:tc>
        <w:tc>
          <w:tcPr>
            <w:tcW w:w="1073"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2</w:t>
            </w:r>
          </w:p>
        </w:tc>
        <w:tc>
          <w:tcPr>
            <w:tcW w:w="100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w:t>
            </w:r>
          </w:p>
        </w:tc>
        <w:tc>
          <w:tcPr>
            <w:tcW w:w="111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A142E0">
            <w:pPr>
              <w:ind w:left="-171"/>
              <w:jc w:val="right"/>
              <w:rPr>
                <w:sz w:val="19"/>
                <w:szCs w:val="19"/>
              </w:rPr>
            </w:pPr>
            <w:r w:rsidRPr="00A142E0">
              <w:rPr>
                <w:sz w:val="19"/>
                <w:szCs w:val="19"/>
              </w:rPr>
              <w:t>291 429,8</w:t>
            </w:r>
          </w:p>
        </w:tc>
        <w:tc>
          <w:tcPr>
            <w:tcW w:w="1086"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33"/>
              <w:jc w:val="right"/>
              <w:rPr>
                <w:sz w:val="19"/>
                <w:szCs w:val="19"/>
              </w:rPr>
            </w:pPr>
            <w:r w:rsidRPr="00A142E0">
              <w:rPr>
                <w:sz w:val="19"/>
                <w:szCs w:val="19"/>
              </w:rPr>
              <w:t>87 429,0</w:t>
            </w:r>
          </w:p>
        </w:tc>
        <w:tc>
          <w:tcPr>
            <w:tcW w:w="1048"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43" w:right="-25" w:firstLine="72"/>
              <w:jc w:val="right"/>
              <w:rPr>
                <w:sz w:val="19"/>
                <w:szCs w:val="19"/>
              </w:rPr>
            </w:pPr>
            <w:r w:rsidRPr="00A142E0">
              <w:rPr>
                <w:sz w:val="19"/>
                <w:szCs w:val="19"/>
              </w:rPr>
              <w:t>87 429,0</w:t>
            </w:r>
          </w:p>
        </w:tc>
        <w:tc>
          <w:tcPr>
            <w:tcW w:w="1025"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D56CB5">
            <w:pPr>
              <w:ind w:left="-94"/>
              <w:jc w:val="center"/>
              <w:rPr>
                <w:sz w:val="19"/>
                <w:szCs w:val="19"/>
              </w:rPr>
            </w:pPr>
            <w:r w:rsidRPr="00A142E0">
              <w:rPr>
                <w:sz w:val="19"/>
                <w:szCs w:val="19"/>
              </w:rPr>
              <w:t>-</w:t>
            </w:r>
          </w:p>
        </w:tc>
        <w:tc>
          <w:tcPr>
            <w:tcW w:w="1029"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87" w:firstLine="94"/>
              <w:jc w:val="center"/>
              <w:rPr>
                <w:sz w:val="19"/>
                <w:szCs w:val="19"/>
              </w:rPr>
            </w:pPr>
            <w:r w:rsidRPr="00A142E0">
              <w:rPr>
                <w:sz w:val="19"/>
                <w:szCs w:val="19"/>
              </w:rPr>
              <w:t>-</w:t>
            </w:r>
          </w:p>
        </w:tc>
      </w:tr>
      <w:tr w:rsidR="00467F9C" w:rsidRPr="00467F9C" w:rsidTr="00D56CB5">
        <w:trPr>
          <w:gridAfter w:val="1"/>
          <w:wAfter w:w="9" w:type="dxa"/>
          <w:trHeight w:val="280"/>
        </w:trPr>
        <w:tc>
          <w:tcPr>
            <w:tcW w:w="2547" w:type="dxa"/>
            <w:vMerge/>
            <w:tcBorders>
              <w:top w:val="nil"/>
              <w:left w:val="single" w:sz="4" w:space="0" w:color="auto"/>
              <w:bottom w:val="single" w:sz="4" w:space="0" w:color="auto"/>
              <w:right w:val="single" w:sz="4" w:space="0" w:color="auto"/>
            </w:tcBorders>
            <w:vAlign w:val="center"/>
            <w:hideMark/>
          </w:tcPr>
          <w:p w:rsidR="00191861" w:rsidRPr="00A142E0" w:rsidRDefault="00191861" w:rsidP="00D56CB5">
            <w:pPr>
              <w:ind w:right="-102"/>
              <w:rPr>
                <w:sz w:val="19"/>
                <w:szCs w:val="19"/>
              </w:rPr>
            </w:pPr>
          </w:p>
        </w:tc>
        <w:tc>
          <w:tcPr>
            <w:tcW w:w="1073"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w:t>
            </w:r>
          </w:p>
        </w:tc>
        <w:tc>
          <w:tcPr>
            <w:tcW w:w="100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1</w:t>
            </w:r>
          </w:p>
        </w:tc>
        <w:tc>
          <w:tcPr>
            <w:tcW w:w="111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A142E0">
            <w:pPr>
              <w:ind w:left="-171"/>
              <w:jc w:val="right"/>
              <w:rPr>
                <w:sz w:val="19"/>
                <w:szCs w:val="19"/>
              </w:rPr>
            </w:pPr>
            <w:r w:rsidRPr="00A142E0">
              <w:rPr>
                <w:sz w:val="19"/>
                <w:szCs w:val="19"/>
              </w:rPr>
              <w:t>141 695,6</w:t>
            </w:r>
          </w:p>
        </w:tc>
        <w:tc>
          <w:tcPr>
            <w:tcW w:w="1086"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33"/>
              <w:jc w:val="right"/>
              <w:rPr>
                <w:sz w:val="19"/>
                <w:szCs w:val="19"/>
              </w:rPr>
            </w:pPr>
            <w:r w:rsidRPr="00A142E0">
              <w:rPr>
                <w:sz w:val="19"/>
                <w:szCs w:val="19"/>
              </w:rPr>
              <w:t>37 026,1</w:t>
            </w:r>
          </w:p>
        </w:tc>
        <w:tc>
          <w:tcPr>
            <w:tcW w:w="1048"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43" w:right="-25" w:firstLine="72"/>
              <w:jc w:val="right"/>
              <w:rPr>
                <w:sz w:val="19"/>
                <w:szCs w:val="19"/>
              </w:rPr>
            </w:pPr>
            <w:r w:rsidRPr="00A142E0">
              <w:rPr>
                <w:sz w:val="19"/>
                <w:szCs w:val="19"/>
              </w:rPr>
              <w:t>37 026,1</w:t>
            </w:r>
          </w:p>
        </w:tc>
        <w:tc>
          <w:tcPr>
            <w:tcW w:w="1025"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D56CB5">
            <w:pPr>
              <w:ind w:left="-94"/>
              <w:jc w:val="center"/>
              <w:rPr>
                <w:sz w:val="19"/>
                <w:szCs w:val="19"/>
              </w:rPr>
            </w:pPr>
            <w:r w:rsidRPr="00A142E0">
              <w:rPr>
                <w:sz w:val="19"/>
                <w:szCs w:val="19"/>
              </w:rPr>
              <w:t>-</w:t>
            </w:r>
          </w:p>
        </w:tc>
        <w:tc>
          <w:tcPr>
            <w:tcW w:w="1029"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87" w:firstLine="94"/>
              <w:jc w:val="center"/>
              <w:rPr>
                <w:sz w:val="19"/>
                <w:szCs w:val="19"/>
              </w:rPr>
            </w:pPr>
            <w:r w:rsidRPr="00A142E0">
              <w:rPr>
                <w:sz w:val="19"/>
                <w:szCs w:val="19"/>
              </w:rPr>
              <w:t>-</w:t>
            </w:r>
          </w:p>
        </w:tc>
      </w:tr>
      <w:tr w:rsidR="00467F9C" w:rsidRPr="00467F9C" w:rsidTr="00D56CB5">
        <w:trPr>
          <w:gridAfter w:val="1"/>
          <w:wAfter w:w="9" w:type="dxa"/>
          <w:trHeight w:val="488"/>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A142E0" w:rsidRDefault="00191861" w:rsidP="00D56CB5">
            <w:pPr>
              <w:ind w:right="-102"/>
              <w:rPr>
                <w:sz w:val="19"/>
                <w:szCs w:val="19"/>
              </w:rPr>
            </w:pPr>
            <w:r w:rsidRPr="00A142E0">
              <w:rPr>
                <w:sz w:val="19"/>
                <w:szCs w:val="19"/>
              </w:rPr>
              <w:t>Охрана окружающей среды и обеспечение рационального природопользования</w:t>
            </w:r>
          </w:p>
        </w:tc>
        <w:tc>
          <w:tcPr>
            <w:tcW w:w="1073"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1</w:t>
            </w:r>
          </w:p>
        </w:tc>
        <w:tc>
          <w:tcPr>
            <w:tcW w:w="100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w:t>
            </w:r>
          </w:p>
        </w:tc>
        <w:tc>
          <w:tcPr>
            <w:tcW w:w="111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A142E0">
            <w:pPr>
              <w:ind w:left="-171"/>
              <w:jc w:val="right"/>
              <w:rPr>
                <w:sz w:val="19"/>
                <w:szCs w:val="19"/>
              </w:rPr>
            </w:pPr>
            <w:r w:rsidRPr="00A142E0">
              <w:rPr>
                <w:sz w:val="19"/>
                <w:szCs w:val="19"/>
              </w:rPr>
              <w:t>3 964,9</w:t>
            </w:r>
          </w:p>
        </w:tc>
        <w:tc>
          <w:tcPr>
            <w:tcW w:w="1086"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33"/>
              <w:jc w:val="right"/>
              <w:rPr>
                <w:sz w:val="19"/>
                <w:szCs w:val="19"/>
              </w:rPr>
            </w:pPr>
            <w:r w:rsidRPr="00A142E0">
              <w:rPr>
                <w:sz w:val="19"/>
                <w:szCs w:val="19"/>
              </w:rPr>
              <w:t>1 189,5</w:t>
            </w:r>
          </w:p>
        </w:tc>
        <w:tc>
          <w:tcPr>
            <w:tcW w:w="1048"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43" w:right="-25" w:firstLine="72"/>
              <w:jc w:val="right"/>
              <w:rPr>
                <w:sz w:val="19"/>
                <w:szCs w:val="19"/>
              </w:rPr>
            </w:pPr>
            <w:r w:rsidRPr="00A142E0">
              <w:rPr>
                <w:sz w:val="19"/>
                <w:szCs w:val="19"/>
              </w:rPr>
              <w:t>1 189,5</w:t>
            </w:r>
          </w:p>
        </w:tc>
        <w:tc>
          <w:tcPr>
            <w:tcW w:w="1025"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D56CB5">
            <w:pPr>
              <w:ind w:left="-94"/>
              <w:jc w:val="right"/>
              <w:rPr>
                <w:sz w:val="19"/>
                <w:szCs w:val="19"/>
              </w:rPr>
            </w:pPr>
            <w:r w:rsidRPr="00A142E0">
              <w:rPr>
                <w:sz w:val="19"/>
                <w:szCs w:val="19"/>
              </w:rPr>
              <w:t>1 189,5</w:t>
            </w:r>
          </w:p>
        </w:tc>
        <w:tc>
          <w:tcPr>
            <w:tcW w:w="1029"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87" w:firstLine="94"/>
              <w:jc w:val="right"/>
              <w:rPr>
                <w:sz w:val="19"/>
                <w:szCs w:val="19"/>
              </w:rPr>
            </w:pPr>
            <w:r w:rsidRPr="00A142E0">
              <w:rPr>
                <w:sz w:val="19"/>
                <w:szCs w:val="19"/>
              </w:rPr>
              <w:t>1 189,5</w:t>
            </w:r>
          </w:p>
        </w:tc>
      </w:tr>
      <w:tr w:rsidR="00467F9C" w:rsidRPr="00467F9C" w:rsidTr="00D56CB5">
        <w:trPr>
          <w:gridAfter w:val="1"/>
          <w:wAfter w:w="9" w:type="dxa"/>
          <w:trHeight w:val="262"/>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A142E0" w:rsidRDefault="00191861" w:rsidP="00D56CB5">
            <w:pPr>
              <w:ind w:right="-102"/>
              <w:rPr>
                <w:sz w:val="19"/>
                <w:szCs w:val="19"/>
              </w:rPr>
            </w:pPr>
            <w:r w:rsidRPr="00A142E0">
              <w:rPr>
                <w:sz w:val="19"/>
                <w:szCs w:val="19"/>
              </w:rPr>
              <w:t>Социальная поддержка населения</w:t>
            </w:r>
          </w:p>
        </w:tc>
        <w:tc>
          <w:tcPr>
            <w:tcW w:w="1073"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w:t>
            </w:r>
          </w:p>
        </w:tc>
        <w:tc>
          <w:tcPr>
            <w:tcW w:w="100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1</w:t>
            </w:r>
          </w:p>
        </w:tc>
        <w:tc>
          <w:tcPr>
            <w:tcW w:w="111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A142E0">
            <w:pPr>
              <w:ind w:left="-171"/>
              <w:jc w:val="right"/>
              <w:rPr>
                <w:sz w:val="19"/>
                <w:szCs w:val="19"/>
              </w:rPr>
            </w:pPr>
            <w:r w:rsidRPr="00A142E0">
              <w:rPr>
                <w:sz w:val="19"/>
                <w:szCs w:val="19"/>
              </w:rPr>
              <w:t>743 428,9</w:t>
            </w:r>
          </w:p>
        </w:tc>
        <w:tc>
          <w:tcPr>
            <w:tcW w:w="1086"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33"/>
              <w:jc w:val="center"/>
              <w:rPr>
                <w:sz w:val="19"/>
                <w:szCs w:val="19"/>
              </w:rPr>
            </w:pPr>
            <w:r w:rsidRPr="00A142E0">
              <w:rPr>
                <w:sz w:val="19"/>
                <w:szCs w:val="19"/>
              </w:rPr>
              <w:t>-</w:t>
            </w:r>
          </w:p>
        </w:tc>
        <w:tc>
          <w:tcPr>
            <w:tcW w:w="1048"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43" w:right="-25" w:firstLine="72"/>
              <w:jc w:val="center"/>
              <w:rPr>
                <w:sz w:val="19"/>
                <w:szCs w:val="19"/>
              </w:rPr>
            </w:pPr>
            <w:r w:rsidRPr="00A142E0">
              <w:rPr>
                <w:sz w:val="19"/>
                <w:szCs w:val="19"/>
              </w:rPr>
              <w:t>-</w:t>
            </w:r>
          </w:p>
        </w:tc>
        <w:tc>
          <w:tcPr>
            <w:tcW w:w="1025"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D56CB5">
            <w:pPr>
              <w:ind w:left="-94"/>
              <w:jc w:val="center"/>
              <w:rPr>
                <w:sz w:val="19"/>
                <w:szCs w:val="19"/>
              </w:rPr>
            </w:pPr>
            <w:r w:rsidRPr="00A142E0">
              <w:rPr>
                <w:sz w:val="19"/>
                <w:szCs w:val="19"/>
              </w:rPr>
              <w:t>-</w:t>
            </w:r>
          </w:p>
        </w:tc>
        <w:tc>
          <w:tcPr>
            <w:tcW w:w="1029"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87" w:firstLine="94"/>
              <w:jc w:val="center"/>
              <w:rPr>
                <w:sz w:val="19"/>
                <w:szCs w:val="19"/>
              </w:rPr>
            </w:pPr>
            <w:r w:rsidRPr="00A142E0">
              <w:rPr>
                <w:sz w:val="19"/>
                <w:szCs w:val="19"/>
              </w:rPr>
              <w:t>-</w:t>
            </w:r>
          </w:p>
        </w:tc>
      </w:tr>
      <w:tr w:rsidR="00467F9C" w:rsidRPr="00467F9C" w:rsidTr="00D56CB5">
        <w:trPr>
          <w:gridAfter w:val="1"/>
          <w:wAfter w:w="9" w:type="dxa"/>
          <w:trHeight w:val="280"/>
        </w:trPr>
        <w:tc>
          <w:tcPr>
            <w:tcW w:w="2547" w:type="dxa"/>
            <w:tcBorders>
              <w:top w:val="nil"/>
              <w:left w:val="single" w:sz="4" w:space="0" w:color="auto"/>
              <w:bottom w:val="nil"/>
              <w:right w:val="single" w:sz="4" w:space="0" w:color="auto"/>
            </w:tcBorders>
            <w:shd w:val="clear" w:color="auto" w:fill="auto"/>
            <w:vAlign w:val="center"/>
            <w:hideMark/>
          </w:tcPr>
          <w:p w:rsidR="00191861" w:rsidRPr="00A142E0" w:rsidRDefault="00191861" w:rsidP="00D56CB5">
            <w:pPr>
              <w:ind w:right="-102"/>
              <w:rPr>
                <w:sz w:val="19"/>
                <w:szCs w:val="19"/>
              </w:rPr>
            </w:pPr>
            <w:r w:rsidRPr="00A142E0">
              <w:rPr>
                <w:sz w:val="19"/>
                <w:szCs w:val="19"/>
              </w:rPr>
              <w:t>Развитие здравоохранения</w:t>
            </w:r>
          </w:p>
        </w:tc>
        <w:tc>
          <w:tcPr>
            <w:tcW w:w="1073"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1</w:t>
            </w:r>
          </w:p>
        </w:tc>
        <w:tc>
          <w:tcPr>
            <w:tcW w:w="100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sz w:val="19"/>
                <w:szCs w:val="19"/>
              </w:rPr>
            </w:pPr>
            <w:r w:rsidRPr="00A142E0">
              <w:rPr>
                <w:sz w:val="19"/>
                <w:szCs w:val="19"/>
              </w:rPr>
              <w:t>-</w:t>
            </w:r>
          </w:p>
        </w:tc>
        <w:tc>
          <w:tcPr>
            <w:tcW w:w="111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A142E0">
            <w:pPr>
              <w:ind w:left="-171"/>
              <w:jc w:val="right"/>
              <w:rPr>
                <w:sz w:val="19"/>
                <w:szCs w:val="19"/>
              </w:rPr>
            </w:pPr>
            <w:r w:rsidRPr="00A142E0">
              <w:rPr>
                <w:sz w:val="19"/>
                <w:szCs w:val="19"/>
              </w:rPr>
              <w:t>22 497,8</w:t>
            </w:r>
          </w:p>
        </w:tc>
        <w:tc>
          <w:tcPr>
            <w:tcW w:w="1086"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33"/>
              <w:jc w:val="center"/>
              <w:rPr>
                <w:sz w:val="19"/>
                <w:szCs w:val="19"/>
              </w:rPr>
            </w:pPr>
            <w:r w:rsidRPr="00A142E0">
              <w:rPr>
                <w:sz w:val="19"/>
                <w:szCs w:val="19"/>
              </w:rPr>
              <w:t>-</w:t>
            </w:r>
          </w:p>
        </w:tc>
        <w:tc>
          <w:tcPr>
            <w:tcW w:w="1048"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43" w:right="-25" w:firstLine="72"/>
              <w:jc w:val="center"/>
              <w:rPr>
                <w:sz w:val="19"/>
                <w:szCs w:val="19"/>
              </w:rPr>
            </w:pPr>
            <w:r w:rsidRPr="00A142E0">
              <w:rPr>
                <w:sz w:val="19"/>
                <w:szCs w:val="19"/>
              </w:rPr>
              <w:t>-</w:t>
            </w:r>
          </w:p>
        </w:tc>
        <w:tc>
          <w:tcPr>
            <w:tcW w:w="1025"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D56CB5">
            <w:pPr>
              <w:ind w:left="-94"/>
              <w:jc w:val="center"/>
              <w:rPr>
                <w:sz w:val="19"/>
                <w:szCs w:val="19"/>
              </w:rPr>
            </w:pPr>
            <w:r w:rsidRPr="00A142E0">
              <w:rPr>
                <w:sz w:val="19"/>
                <w:szCs w:val="19"/>
              </w:rPr>
              <w:t>-</w:t>
            </w:r>
          </w:p>
        </w:tc>
        <w:tc>
          <w:tcPr>
            <w:tcW w:w="1029"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87" w:firstLine="94"/>
              <w:jc w:val="center"/>
              <w:rPr>
                <w:sz w:val="19"/>
                <w:szCs w:val="19"/>
              </w:rPr>
            </w:pPr>
            <w:r w:rsidRPr="00A142E0">
              <w:rPr>
                <w:sz w:val="19"/>
                <w:szCs w:val="19"/>
              </w:rPr>
              <w:t>-</w:t>
            </w:r>
          </w:p>
        </w:tc>
      </w:tr>
      <w:tr w:rsidR="00191861" w:rsidRPr="00467F9C" w:rsidTr="00D56CB5">
        <w:trPr>
          <w:gridAfter w:val="1"/>
          <w:wAfter w:w="9" w:type="dxa"/>
          <w:trHeight w:val="28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A142E0" w:rsidRDefault="00191861" w:rsidP="00191861">
            <w:pPr>
              <w:rPr>
                <w:b/>
                <w:bCs/>
                <w:sz w:val="19"/>
                <w:szCs w:val="19"/>
              </w:rPr>
            </w:pPr>
            <w:r w:rsidRPr="00A142E0">
              <w:rPr>
                <w:b/>
                <w:bCs/>
                <w:sz w:val="19"/>
                <w:szCs w:val="19"/>
              </w:rPr>
              <w:t>Всего</w:t>
            </w:r>
          </w:p>
        </w:tc>
        <w:tc>
          <w:tcPr>
            <w:tcW w:w="1073"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b/>
                <w:bCs/>
                <w:sz w:val="19"/>
                <w:szCs w:val="19"/>
              </w:rPr>
            </w:pPr>
            <w:r w:rsidRPr="00A142E0">
              <w:rPr>
                <w:b/>
                <w:bCs/>
                <w:sz w:val="19"/>
                <w:szCs w:val="19"/>
              </w:rPr>
              <w:t>22</w:t>
            </w:r>
          </w:p>
        </w:tc>
        <w:tc>
          <w:tcPr>
            <w:tcW w:w="100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191861">
            <w:pPr>
              <w:jc w:val="center"/>
              <w:rPr>
                <w:b/>
                <w:bCs/>
                <w:sz w:val="19"/>
                <w:szCs w:val="19"/>
              </w:rPr>
            </w:pPr>
            <w:r w:rsidRPr="00A142E0">
              <w:rPr>
                <w:b/>
                <w:bCs/>
                <w:sz w:val="19"/>
                <w:szCs w:val="19"/>
              </w:rPr>
              <w:t>36</w:t>
            </w:r>
          </w:p>
        </w:tc>
        <w:tc>
          <w:tcPr>
            <w:tcW w:w="1110"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A142E0">
            <w:pPr>
              <w:ind w:left="-171" w:right="-76"/>
              <w:jc w:val="right"/>
              <w:rPr>
                <w:b/>
                <w:bCs/>
                <w:sz w:val="19"/>
                <w:szCs w:val="19"/>
              </w:rPr>
            </w:pPr>
            <w:r w:rsidRPr="00A142E0">
              <w:rPr>
                <w:b/>
                <w:bCs/>
                <w:sz w:val="19"/>
                <w:szCs w:val="19"/>
              </w:rPr>
              <w:t>19 979 850,2</w:t>
            </w:r>
          </w:p>
        </w:tc>
        <w:tc>
          <w:tcPr>
            <w:tcW w:w="1086"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33"/>
              <w:jc w:val="right"/>
              <w:rPr>
                <w:b/>
                <w:bCs/>
                <w:sz w:val="19"/>
                <w:szCs w:val="19"/>
              </w:rPr>
            </w:pPr>
            <w:r w:rsidRPr="00A142E0">
              <w:rPr>
                <w:b/>
                <w:bCs/>
                <w:sz w:val="19"/>
                <w:szCs w:val="19"/>
              </w:rPr>
              <w:t>8 875 868,5</w:t>
            </w:r>
          </w:p>
        </w:tc>
        <w:tc>
          <w:tcPr>
            <w:tcW w:w="1048"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43" w:right="-25" w:firstLine="72"/>
              <w:jc w:val="right"/>
              <w:rPr>
                <w:b/>
                <w:bCs/>
                <w:sz w:val="19"/>
                <w:szCs w:val="19"/>
              </w:rPr>
            </w:pPr>
            <w:r w:rsidRPr="00A142E0">
              <w:rPr>
                <w:b/>
                <w:bCs/>
                <w:sz w:val="19"/>
                <w:szCs w:val="19"/>
              </w:rPr>
              <w:t>6 178 950,6</w:t>
            </w:r>
          </w:p>
        </w:tc>
        <w:tc>
          <w:tcPr>
            <w:tcW w:w="1025"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D56CB5">
            <w:pPr>
              <w:ind w:left="-94"/>
              <w:jc w:val="right"/>
              <w:rPr>
                <w:b/>
                <w:bCs/>
                <w:sz w:val="19"/>
                <w:szCs w:val="19"/>
              </w:rPr>
            </w:pPr>
            <w:r w:rsidRPr="00A142E0">
              <w:rPr>
                <w:b/>
                <w:bCs/>
                <w:sz w:val="19"/>
                <w:szCs w:val="19"/>
              </w:rPr>
              <w:t>7 367 524,2</w:t>
            </w:r>
          </w:p>
        </w:tc>
        <w:tc>
          <w:tcPr>
            <w:tcW w:w="1029" w:type="dxa"/>
            <w:tcBorders>
              <w:top w:val="nil"/>
              <w:left w:val="nil"/>
              <w:bottom w:val="single" w:sz="4" w:space="0" w:color="auto"/>
              <w:right w:val="single" w:sz="4" w:space="0" w:color="auto"/>
            </w:tcBorders>
            <w:shd w:val="clear" w:color="auto" w:fill="auto"/>
            <w:vAlign w:val="center"/>
            <w:hideMark/>
          </w:tcPr>
          <w:p w:rsidR="00191861" w:rsidRPr="00A142E0" w:rsidRDefault="00191861" w:rsidP="00724DFC">
            <w:pPr>
              <w:ind w:left="-187" w:firstLine="94"/>
              <w:jc w:val="right"/>
              <w:rPr>
                <w:b/>
                <w:bCs/>
                <w:sz w:val="19"/>
                <w:szCs w:val="19"/>
              </w:rPr>
            </w:pPr>
            <w:r w:rsidRPr="00A142E0">
              <w:rPr>
                <w:b/>
                <w:bCs/>
                <w:sz w:val="19"/>
                <w:szCs w:val="19"/>
              </w:rPr>
              <w:t>4 884 334,0</w:t>
            </w:r>
          </w:p>
        </w:tc>
      </w:tr>
    </w:tbl>
    <w:p w:rsidR="00191861" w:rsidRPr="00467F9C" w:rsidRDefault="00191861" w:rsidP="00191861">
      <w:pPr>
        <w:pStyle w:val="19"/>
        <w:spacing w:before="120"/>
        <w:ind w:firstLine="709"/>
        <w:rPr>
          <w:rFonts w:eastAsia="Times New Roman"/>
          <w:color w:val="auto"/>
          <w:highlight w:val="yellow"/>
          <w:lang w:eastAsia="ru-RU"/>
        </w:rPr>
      </w:pPr>
      <w:r w:rsidRPr="00467F9C">
        <w:rPr>
          <w:color w:val="auto"/>
        </w:rPr>
        <w:t>В структуре государственных контрактов наибольший удельный вес занимают государственные контракты, заключенные в ходе исполнения государственных программ «Развитие транспортной инфраструктуры» (43,2%), «</w:t>
      </w:r>
      <w:r w:rsidRPr="00467F9C">
        <w:rPr>
          <w:rFonts w:eastAsia="Times New Roman"/>
          <w:color w:val="auto"/>
          <w:lang w:eastAsia="ru-RU"/>
        </w:rPr>
        <w:t xml:space="preserve">Развитие жилищно-коммунального хозяйства и водохозяйственного комплекса» (22,8%), </w:t>
      </w:r>
      <w:r w:rsidRPr="00467F9C">
        <w:rPr>
          <w:color w:val="auto"/>
        </w:rPr>
        <w:t xml:space="preserve">«Развитие образования и науки» (15,8%) </w:t>
      </w:r>
      <w:r w:rsidRPr="00467F9C">
        <w:rPr>
          <w:rFonts w:eastAsia="Times New Roman"/>
          <w:color w:val="auto"/>
          <w:lang w:eastAsia="ru-RU"/>
        </w:rPr>
        <w:t>и «Обеспечение устойчивого сокращения непригодного для проживания жилого фонда» (6,9%).</w:t>
      </w:r>
    </w:p>
    <w:p w:rsidR="00191861" w:rsidRPr="00467F9C" w:rsidRDefault="00191861" w:rsidP="00191861">
      <w:pPr>
        <w:pStyle w:val="a9"/>
        <w:ind w:firstLine="708"/>
        <w:jc w:val="both"/>
      </w:pPr>
      <w:r w:rsidRPr="00467F9C">
        <w:rPr>
          <w:sz w:val="28"/>
          <w:szCs w:val="28"/>
        </w:rPr>
        <w:t>Форма отчета о ходе реализации инвестиционных проектов с разбивкой по годам (аналогичная той, что предоставляется о ходе реализации государственных контрактов), Департаментом финансов не установлена, что усложняет процесс контроля над реализацией инвестиционных проектов в последующие периоды.</w:t>
      </w:r>
    </w:p>
    <w:p w:rsidR="00191861" w:rsidRPr="00467F9C" w:rsidRDefault="00191861" w:rsidP="00191861">
      <w:pPr>
        <w:pStyle w:val="19"/>
        <w:spacing w:before="120" w:after="120"/>
        <w:ind w:firstLine="709"/>
        <w:rPr>
          <w:b/>
          <w:iCs/>
          <w:color w:val="auto"/>
        </w:rPr>
      </w:pPr>
      <w:r w:rsidRPr="00467F9C">
        <w:rPr>
          <w:b/>
          <w:color w:val="auto"/>
        </w:rPr>
        <w:t>Оценка</w:t>
      </w:r>
      <w:r w:rsidRPr="00467F9C">
        <w:rPr>
          <w:b/>
          <w:iCs/>
          <w:color w:val="auto"/>
        </w:rPr>
        <w:t xml:space="preserve"> эффективности государственных программ Чукотского автономного округа за 2021 год</w:t>
      </w:r>
    </w:p>
    <w:p w:rsidR="00191861" w:rsidRPr="00467F9C" w:rsidRDefault="00191861" w:rsidP="00191861">
      <w:pPr>
        <w:tabs>
          <w:tab w:val="left" w:pos="709"/>
          <w:tab w:val="left" w:pos="993"/>
        </w:tabs>
        <w:autoSpaceDE w:val="0"/>
        <w:autoSpaceDN w:val="0"/>
        <w:adjustRightInd w:val="0"/>
        <w:jc w:val="both"/>
        <w:rPr>
          <w:sz w:val="28"/>
          <w:szCs w:val="28"/>
        </w:rPr>
      </w:pPr>
      <w:r w:rsidRPr="00467F9C">
        <w:rPr>
          <w:sz w:val="28"/>
          <w:szCs w:val="28"/>
        </w:rPr>
        <w:tab/>
        <w:t>По результатам расчета показателей эффективности реализации государственных программ в 2021 году, произведенным Департаментом финансов, 17 государственных программ оценены с высоким уровнем эффективности и государственная программа «Обеспечение устойчивого сокращения непригодного для проживания жилищного фонда в Чукотском автономном округе» со средним уровнем эффективности ее реализации.</w:t>
      </w:r>
    </w:p>
    <w:p w:rsidR="00191861" w:rsidRPr="00467F9C" w:rsidRDefault="00191861" w:rsidP="00191861">
      <w:pPr>
        <w:tabs>
          <w:tab w:val="left" w:pos="709"/>
          <w:tab w:val="left" w:pos="993"/>
        </w:tabs>
        <w:autoSpaceDE w:val="0"/>
        <w:autoSpaceDN w:val="0"/>
        <w:adjustRightInd w:val="0"/>
        <w:ind w:firstLine="709"/>
        <w:jc w:val="both"/>
        <w:rPr>
          <w:sz w:val="28"/>
          <w:szCs w:val="28"/>
          <w:highlight w:val="yellow"/>
        </w:rPr>
      </w:pPr>
      <w:r w:rsidRPr="00467F9C">
        <w:rPr>
          <w:sz w:val="28"/>
          <w:szCs w:val="28"/>
        </w:rPr>
        <w:t xml:space="preserve">Всего в Паспортах 18 госпрограмм установлено 94 целевых показателя результативности выполнения госпрограмм и 493 показателя результативности реализации их подпрограмм. </w:t>
      </w:r>
    </w:p>
    <w:p w:rsidR="00191861" w:rsidRPr="00467F9C" w:rsidRDefault="00191861" w:rsidP="00191861">
      <w:pPr>
        <w:tabs>
          <w:tab w:val="left" w:pos="709"/>
          <w:tab w:val="left" w:pos="993"/>
        </w:tabs>
        <w:autoSpaceDE w:val="0"/>
        <w:autoSpaceDN w:val="0"/>
        <w:adjustRightInd w:val="0"/>
        <w:ind w:firstLine="709"/>
        <w:jc w:val="both"/>
        <w:rPr>
          <w:sz w:val="28"/>
          <w:szCs w:val="28"/>
        </w:rPr>
      </w:pPr>
      <w:r w:rsidRPr="00467F9C">
        <w:rPr>
          <w:sz w:val="28"/>
          <w:szCs w:val="28"/>
        </w:rPr>
        <w:t xml:space="preserve">По результатам 2021 года из 18 государственных программ установленные целевые показатели результативности достигнуты в полном объеме только по </w:t>
      </w:r>
      <w:r w:rsidRPr="00467F9C">
        <w:rPr>
          <w:sz w:val="28"/>
          <w:szCs w:val="28"/>
        </w:rPr>
        <w:lastRenderedPageBreak/>
        <w:t xml:space="preserve">восьми государственным программам. По 10 госпрограммам не достигнуто 29 целевых показателей (из них 13 – требуют уточнения органами статистической отчетности), по подпрограммам – 98 целевых показателя или 19,8%. </w:t>
      </w:r>
    </w:p>
    <w:p w:rsidR="00191861" w:rsidRPr="00467F9C" w:rsidRDefault="00191861" w:rsidP="00191861">
      <w:pPr>
        <w:ind w:firstLine="709"/>
        <w:contextualSpacing/>
        <w:jc w:val="both"/>
        <w:rPr>
          <w:sz w:val="28"/>
          <w:szCs w:val="28"/>
        </w:rPr>
      </w:pPr>
      <w:r w:rsidRPr="00467F9C">
        <w:rPr>
          <w:sz w:val="28"/>
          <w:szCs w:val="28"/>
        </w:rPr>
        <w:t>Информация о выполнении (достижении) целевых показателей (индикаторов), в разрезе реализации мероприятий подпрограмм, Государственных программ, представлена в Приложении 2 к настоящему отчету.</w:t>
      </w:r>
    </w:p>
    <w:p w:rsidR="00191861" w:rsidRPr="00467F9C" w:rsidRDefault="00191861" w:rsidP="00191861">
      <w:pPr>
        <w:tabs>
          <w:tab w:val="left" w:pos="709"/>
        </w:tabs>
        <w:autoSpaceDE w:val="0"/>
        <w:autoSpaceDN w:val="0"/>
        <w:adjustRightInd w:val="0"/>
        <w:ind w:firstLine="709"/>
        <w:jc w:val="both"/>
        <w:rPr>
          <w:sz w:val="28"/>
          <w:szCs w:val="28"/>
        </w:rPr>
      </w:pPr>
      <w:r w:rsidRPr="00467F9C">
        <w:rPr>
          <w:sz w:val="28"/>
          <w:szCs w:val="28"/>
        </w:rPr>
        <w:t xml:space="preserve">По результатам экспертно-аналитического мероприятия Счетная палата отмечает, что система оценки эффективности реализации государственных программ, установленная Порядком №359, имеет существенные недостатки:  </w:t>
      </w:r>
    </w:p>
    <w:p w:rsidR="00191861" w:rsidRPr="00467F9C" w:rsidRDefault="00191861" w:rsidP="00191861">
      <w:pPr>
        <w:tabs>
          <w:tab w:val="left" w:pos="709"/>
        </w:tabs>
        <w:autoSpaceDE w:val="0"/>
        <w:autoSpaceDN w:val="0"/>
        <w:adjustRightInd w:val="0"/>
        <w:ind w:firstLine="709"/>
        <w:jc w:val="both"/>
        <w:rPr>
          <w:rFonts w:eastAsia="SimSun"/>
          <w:sz w:val="28"/>
          <w:szCs w:val="28"/>
        </w:rPr>
      </w:pPr>
      <w:r w:rsidRPr="00467F9C">
        <w:rPr>
          <w:rFonts w:eastAsia="SimSun"/>
          <w:sz w:val="28"/>
          <w:szCs w:val="28"/>
        </w:rPr>
        <w:t>- анализ хода реализации государственных программ проводится посредством простого подсчета результативности (сопоставление плановых и фактических значений показателей);</w:t>
      </w:r>
    </w:p>
    <w:p w:rsidR="00191861" w:rsidRPr="00467F9C" w:rsidRDefault="00191861" w:rsidP="00191861">
      <w:pPr>
        <w:tabs>
          <w:tab w:val="left" w:pos="709"/>
        </w:tabs>
        <w:autoSpaceDE w:val="0"/>
        <w:autoSpaceDN w:val="0"/>
        <w:adjustRightInd w:val="0"/>
        <w:ind w:firstLine="709"/>
        <w:jc w:val="both"/>
        <w:rPr>
          <w:sz w:val="28"/>
          <w:szCs w:val="28"/>
        </w:rPr>
      </w:pPr>
      <w:r w:rsidRPr="00467F9C">
        <w:rPr>
          <w:rFonts w:eastAsia="SimSun"/>
          <w:sz w:val="28"/>
          <w:szCs w:val="28"/>
        </w:rPr>
        <w:t xml:space="preserve">- действующие показатели эффективности реализации государственных программ и подпрограмм округа </w:t>
      </w:r>
      <w:r w:rsidRPr="00467F9C">
        <w:rPr>
          <w:sz w:val="28"/>
          <w:szCs w:val="28"/>
        </w:rPr>
        <w:t>носят обобщенный характер, применяются единообразно при расчете показателей эффективности всех государственных программ, характеризуют только исполнительскую дисциплину.</w:t>
      </w:r>
    </w:p>
    <w:p w:rsidR="00191861" w:rsidRPr="00467F9C" w:rsidRDefault="00191861" w:rsidP="00191861">
      <w:pPr>
        <w:tabs>
          <w:tab w:val="left" w:pos="709"/>
        </w:tabs>
        <w:autoSpaceDE w:val="0"/>
        <w:autoSpaceDN w:val="0"/>
        <w:adjustRightInd w:val="0"/>
        <w:ind w:firstLine="709"/>
        <w:jc w:val="both"/>
        <w:rPr>
          <w:sz w:val="28"/>
          <w:szCs w:val="28"/>
        </w:rPr>
      </w:pPr>
      <w:r w:rsidRPr="00467F9C">
        <w:rPr>
          <w:sz w:val="28"/>
          <w:szCs w:val="28"/>
        </w:rPr>
        <w:t>Методика оценки эффективности реализации Госпрограмм не учитывает:</w:t>
      </w:r>
    </w:p>
    <w:p w:rsidR="00191861" w:rsidRPr="00467F9C" w:rsidRDefault="00191861" w:rsidP="00C404B9">
      <w:pPr>
        <w:pStyle w:val="af"/>
        <w:numPr>
          <w:ilvl w:val="0"/>
          <w:numId w:val="3"/>
        </w:numPr>
        <w:tabs>
          <w:tab w:val="left" w:pos="709"/>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467F9C">
        <w:rPr>
          <w:rFonts w:ascii="Times New Roman" w:hAnsi="Times New Roman" w:cs="Times New Roman"/>
          <w:sz w:val="28"/>
          <w:szCs w:val="28"/>
        </w:rPr>
        <w:t xml:space="preserve">факты наличия авансовых платежей или задолженности по мероприятиям государственных программ: </w:t>
      </w:r>
    </w:p>
    <w:p w:rsidR="00191861" w:rsidRPr="00467F9C" w:rsidRDefault="00191861" w:rsidP="00191861">
      <w:pPr>
        <w:ind w:right="57" w:firstLine="708"/>
        <w:jc w:val="both"/>
        <w:rPr>
          <w:rFonts w:eastAsia="Calibri"/>
          <w:sz w:val="28"/>
          <w:szCs w:val="28"/>
        </w:rPr>
      </w:pPr>
      <w:r w:rsidRPr="00467F9C">
        <w:rPr>
          <w:sz w:val="28"/>
          <w:szCs w:val="28"/>
        </w:rPr>
        <w:t xml:space="preserve">- на реализацию мероприятий Госпрограммы «Обеспечение устойчивого сокращения непригодного для проживания жилищного фонда в Чукотском автономном округе» в отчетном периоде направлено </w:t>
      </w:r>
      <w:r w:rsidRPr="00467F9C">
        <w:rPr>
          <w:bCs/>
          <w:sz w:val="28"/>
          <w:szCs w:val="28"/>
        </w:rPr>
        <w:t>649 141,6</w:t>
      </w:r>
      <w:r w:rsidRPr="00467F9C">
        <w:rPr>
          <w:b/>
          <w:bCs/>
          <w:sz w:val="28"/>
          <w:szCs w:val="28"/>
        </w:rPr>
        <w:t xml:space="preserve"> </w:t>
      </w:r>
      <w:r w:rsidRPr="00467F9C">
        <w:rPr>
          <w:sz w:val="28"/>
          <w:szCs w:val="28"/>
        </w:rPr>
        <w:t>тыс. рублей, из них 190 758,2 тыс. рублей - авансовые платежи по муниципальным контрактам (по состоянию на 1 января 2022 года),  неиспользованные в 2021 году средства субсидии составили 396 492,4 тыс. рублей или 61,1 % от полученного финансирования. При этом, по подпрограмме д</w:t>
      </w:r>
      <w:r w:rsidRPr="00467F9C">
        <w:rPr>
          <w:rFonts w:eastAsia="Calibri"/>
          <w:sz w:val="28"/>
          <w:szCs w:val="28"/>
        </w:rPr>
        <w:t>остигнуты все целевые индикаторы (показатели) Госпрограммы и подпрограммы;</w:t>
      </w:r>
    </w:p>
    <w:p w:rsidR="00191861" w:rsidRPr="00467F9C" w:rsidRDefault="00191861" w:rsidP="00191861">
      <w:pPr>
        <w:ind w:right="57" w:firstLine="708"/>
        <w:jc w:val="both"/>
        <w:rPr>
          <w:sz w:val="28"/>
          <w:szCs w:val="28"/>
        </w:rPr>
      </w:pPr>
      <w:r w:rsidRPr="00467F9C">
        <w:rPr>
          <w:sz w:val="28"/>
          <w:szCs w:val="28"/>
        </w:rPr>
        <w:t>- Государственная программа «Развитие жилищного строительства в Чукотском автономном округе»</w:t>
      </w:r>
      <w:r w:rsidRPr="00467F9C">
        <w:rPr>
          <w:b/>
          <w:sz w:val="28"/>
          <w:szCs w:val="28"/>
        </w:rPr>
        <w:t xml:space="preserve"> </w:t>
      </w:r>
      <w:r w:rsidRPr="00467F9C">
        <w:rPr>
          <w:sz w:val="28"/>
          <w:szCs w:val="28"/>
        </w:rPr>
        <w:t>признана с высоким уровнем эффективности при фактическом выполнении мероприятий на 48,2% от направленного объема финансирования. На реализацию мероприятий Госпрограммы в 2021 году направлено 362 345,5 тыс. рублей, из них 87 335,9 тыс. рублей - авансовые платежи по муниципальным контрактам (по состоянию на 1 января 2022 года), 95 553,0 тыс. рублей - неиспользованные средства субсидии;</w:t>
      </w:r>
    </w:p>
    <w:p w:rsidR="00191861" w:rsidRPr="00467F9C" w:rsidRDefault="00191861" w:rsidP="00191861">
      <w:pPr>
        <w:tabs>
          <w:tab w:val="left" w:pos="709"/>
        </w:tabs>
        <w:autoSpaceDE w:val="0"/>
        <w:autoSpaceDN w:val="0"/>
        <w:adjustRightInd w:val="0"/>
        <w:jc w:val="both"/>
        <w:rPr>
          <w:sz w:val="28"/>
          <w:szCs w:val="28"/>
        </w:rPr>
      </w:pPr>
      <w:r w:rsidRPr="00467F9C">
        <w:rPr>
          <w:rFonts w:eastAsia="Calibri"/>
          <w:sz w:val="28"/>
          <w:szCs w:val="28"/>
        </w:rPr>
        <w:tab/>
        <w:t xml:space="preserve">- Государственная программа </w:t>
      </w:r>
      <w:r w:rsidRPr="00467F9C">
        <w:rPr>
          <w:sz w:val="28"/>
          <w:szCs w:val="28"/>
        </w:rPr>
        <w:t>«Формирование комфортной городской среды в Чукотском автономном округе» при отсутствии фактически выполненных работ в 2020-2021 годах по одному из двух мероприятий (перечислены в 2020-2021 годах бюджетные средства в сумме 65 000,0 тыс. рублей) госпрограммы признана с высоким уровнем эффективности.</w:t>
      </w:r>
    </w:p>
    <w:p w:rsidR="00191861" w:rsidRPr="00467F9C" w:rsidRDefault="00191861" w:rsidP="00191861">
      <w:pPr>
        <w:ind w:right="57" w:firstLine="708"/>
        <w:jc w:val="both"/>
        <w:rPr>
          <w:rFonts w:eastAsiaTheme="minorEastAsia"/>
          <w:sz w:val="28"/>
          <w:szCs w:val="28"/>
        </w:rPr>
      </w:pPr>
      <w:r w:rsidRPr="00467F9C">
        <w:rPr>
          <w:rFonts w:eastAsia="Calibri"/>
          <w:sz w:val="28"/>
          <w:szCs w:val="28"/>
        </w:rPr>
        <w:t xml:space="preserve"> 2) реализацию долгосрочных инвестиционных проектов:</w:t>
      </w:r>
    </w:p>
    <w:p w:rsidR="00191861" w:rsidRPr="00467F9C" w:rsidRDefault="00191861" w:rsidP="00191861">
      <w:pPr>
        <w:tabs>
          <w:tab w:val="left" w:pos="709"/>
        </w:tabs>
        <w:autoSpaceDE w:val="0"/>
        <w:autoSpaceDN w:val="0"/>
        <w:adjustRightInd w:val="0"/>
        <w:jc w:val="both"/>
        <w:rPr>
          <w:rFonts w:eastAsiaTheme="minorEastAsia"/>
          <w:sz w:val="28"/>
          <w:szCs w:val="28"/>
        </w:rPr>
      </w:pPr>
      <w:r w:rsidRPr="00467F9C">
        <w:rPr>
          <w:sz w:val="28"/>
          <w:szCs w:val="28"/>
        </w:rPr>
        <w:tab/>
        <w:t>- Государственная программа «Развитие энергетики Чукотского автономного округа»</w:t>
      </w:r>
      <w:r w:rsidRPr="00467F9C">
        <w:rPr>
          <w:b/>
          <w:sz w:val="28"/>
          <w:szCs w:val="28"/>
        </w:rPr>
        <w:t xml:space="preserve"> </w:t>
      </w:r>
      <w:r w:rsidRPr="00467F9C">
        <w:rPr>
          <w:rFonts w:eastAsia="Calibri"/>
          <w:sz w:val="28"/>
          <w:szCs w:val="28"/>
        </w:rPr>
        <w:t xml:space="preserve">признана с высоким уровнем эффективности несмотря на то, что </w:t>
      </w:r>
      <w:proofErr w:type="spellStart"/>
      <w:r w:rsidRPr="00467F9C">
        <w:rPr>
          <w:rFonts w:eastAsia="Calibri"/>
          <w:sz w:val="28"/>
          <w:szCs w:val="28"/>
        </w:rPr>
        <w:t>высокостоимостные</w:t>
      </w:r>
      <w:proofErr w:type="spellEnd"/>
      <w:r w:rsidRPr="00467F9C">
        <w:rPr>
          <w:rFonts w:eastAsia="Calibri"/>
          <w:sz w:val="28"/>
          <w:szCs w:val="28"/>
        </w:rPr>
        <w:t xml:space="preserve"> инвестиционные проекты, на реализацию которых в 2018-2019 годах направлено финансирование в сумме 11 389 751,4 тыс. рублей, не исполнялись;</w:t>
      </w:r>
    </w:p>
    <w:p w:rsidR="00191861" w:rsidRPr="00467F9C" w:rsidRDefault="00191861" w:rsidP="00191861">
      <w:pPr>
        <w:tabs>
          <w:tab w:val="left" w:pos="709"/>
        </w:tabs>
        <w:autoSpaceDE w:val="0"/>
        <w:autoSpaceDN w:val="0"/>
        <w:adjustRightInd w:val="0"/>
        <w:jc w:val="both"/>
        <w:rPr>
          <w:sz w:val="28"/>
          <w:szCs w:val="28"/>
        </w:rPr>
      </w:pPr>
      <w:r w:rsidRPr="00467F9C">
        <w:rPr>
          <w:bCs/>
          <w:sz w:val="28"/>
          <w:szCs w:val="28"/>
        </w:rPr>
        <w:lastRenderedPageBreak/>
        <w:tab/>
        <w:t>- Государственная программа «Развитие жилищно-коммунального хозяйства и водохозяйственного комплекса Чукотского автономного округа»</w:t>
      </w:r>
      <w:r w:rsidRPr="00467F9C">
        <w:rPr>
          <w:b/>
          <w:bCs/>
          <w:sz w:val="28"/>
          <w:szCs w:val="28"/>
        </w:rPr>
        <w:t xml:space="preserve"> </w:t>
      </w:r>
      <w:r w:rsidRPr="00467F9C">
        <w:rPr>
          <w:sz w:val="28"/>
          <w:szCs w:val="28"/>
        </w:rPr>
        <w:t>признана с высоким уровнем эффективности. При этом, бюджетные средства в сумме 9 257 981,8 тыс. рублей (из них в 2021 году 760 692,8 тыс. рублей) предоставлены коммерческой организации и результаты реализации проекта на отчетную дату не достигнуты. Одна подпрограмма Госпрограммы имеет нулевой уровень исполнения, одна подпрограмма выполнена на уровне 52,3%;</w:t>
      </w:r>
    </w:p>
    <w:p w:rsidR="00191861" w:rsidRPr="00467F9C" w:rsidRDefault="00191861" w:rsidP="00191861">
      <w:pPr>
        <w:tabs>
          <w:tab w:val="left" w:pos="709"/>
        </w:tabs>
        <w:autoSpaceDE w:val="0"/>
        <w:autoSpaceDN w:val="0"/>
        <w:adjustRightInd w:val="0"/>
        <w:ind w:firstLine="709"/>
        <w:jc w:val="both"/>
        <w:rPr>
          <w:rFonts w:eastAsia="Calibri"/>
          <w:sz w:val="28"/>
          <w:szCs w:val="28"/>
        </w:rPr>
      </w:pPr>
      <w:r w:rsidRPr="00467F9C">
        <w:rPr>
          <w:rFonts w:eastAsia="Calibri"/>
          <w:sz w:val="28"/>
          <w:szCs w:val="28"/>
        </w:rPr>
        <w:t xml:space="preserve">3) показатели качества управления госпрограммой (оценка администраторов, учет количества изменений в госпрограмму, своевременность и полнота отчета об исполнении госпрограммы и т.п.); </w:t>
      </w:r>
    </w:p>
    <w:p w:rsidR="00191861" w:rsidRPr="00467F9C" w:rsidRDefault="00191861" w:rsidP="00191861">
      <w:pPr>
        <w:tabs>
          <w:tab w:val="left" w:pos="709"/>
        </w:tabs>
        <w:autoSpaceDE w:val="0"/>
        <w:autoSpaceDN w:val="0"/>
        <w:adjustRightInd w:val="0"/>
        <w:ind w:firstLine="709"/>
        <w:jc w:val="both"/>
        <w:rPr>
          <w:rFonts w:eastAsia="Calibri"/>
          <w:sz w:val="28"/>
          <w:szCs w:val="28"/>
        </w:rPr>
      </w:pPr>
      <w:r w:rsidRPr="00467F9C">
        <w:rPr>
          <w:rFonts w:eastAsia="Calibri"/>
          <w:sz w:val="28"/>
          <w:szCs w:val="28"/>
        </w:rPr>
        <w:t xml:space="preserve">4) открытость и доступность информации о реализации госпрограмм и их обсуждение на общественных советах. </w:t>
      </w:r>
    </w:p>
    <w:p w:rsidR="00191861" w:rsidRPr="00467F9C" w:rsidRDefault="00191861" w:rsidP="00AC2511">
      <w:pPr>
        <w:autoSpaceDE w:val="0"/>
        <w:autoSpaceDN w:val="0"/>
        <w:adjustRightInd w:val="0"/>
        <w:ind w:firstLine="708"/>
        <w:jc w:val="both"/>
        <w:rPr>
          <w:sz w:val="28"/>
          <w:szCs w:val="28"/>
        </w:rPr>
      </w:pPr>
      <w:r w:rsidRPr="00467F9C">
        <w:rPr>
          <w:sz w:val="28"/>
          <w:szCs w:val="28"/>
        </w:rPr>
        <w:t>Также, необходимо отметить, что 11 из 16 целевых показателей (индикаторов) или 68,8%, установленных для достижения результатов по Государственной программе «Развитие жилищного строительства в Чукотском автономном округе»,  носят количественный характер («Количество выкупленных жилых помещений у лиц, не являющихся застройщиками», «Количество приобретенных у застройщиков квартир», «Количество застройщиков (физических лиц), получивших субсидию на строительство объектов индивидуального жилищного строительства», «Количество квартир, реализованных по цене за один квадратный метр не выше среднерыночной стоимости» и др.) и не позволяют оценить уровень развития конкретной сферы, проблем и основных задач, на решение которых направлена реализация государственной программы, поскольку они имеют исключительно констатирующий характер без возможности установления динамики достижения целей по созданию безопасных и благоприятных условий проживания граждан, повышения уровня обеспеченности населения жильем, отсутствует возможность установления социально-экономического эффекта от реализации мероприятий Государственной программы.</w:t>
      </w:r>
    </w:p>
    <w:p w:rsidR="00191861" w:rsidRPr="00724DFC" w:rsidRDefault="00191861" w:rsidP="00AC2511">
      <w:pPr>
        <w:tabs>
          <w:tab w:val="left" w:pos="709"/>
        </w:tabs>
        <w:ind w:firstLine="708"/>
        <w:jc w:val="both"/>
        <w:rPr>
          <w:rFonts w:eastAsia="Calibri"/>
          <w:sz w:val="20"/>
          <w:szCs w:val="20"/>
        </w:rPr>
      </w:pPr>
      <w:r w:rsidRPr="00467F9C">
        <w:rPr>
          <w:b/>
          <w:bCs/>
          <w:sz w:val="28"/>
          <w:szCs w:val="28"/>
        </w:rPr>
        <w:tab/>
      </w:r>
    </w:p>
    <w:p w:rsidR="00191861" w:rsidRPr="00467F9C" w:rsidRDefault="00191861" w:rsidP="00AC2511">
      <w:pPr>
        <w:autoSpaceDE w:val="0"/>
        <w:autoSpaceDN w:val="0"/>
        <w:adjustRightInd w:val="0"/>
        <w:ind w:firstLine="708"/>
        <w:jc w:val="both"/>
        <w:rPr>
          <w:b/>
          <w:sz w:val="28"/>
          <w:szCs w:val="28"/>
        </w:rPr>
      </w:pPr>
      <w:r w:rsidRPr="00467F9C">
        <w:rPr>
          <w:b/>
          <w:sz w:val="28"/>
          <w:szCs w:val="28"/>
        </w:rPr>
        <w:t>Выводы:</w:t>
      </w:r>
    </w:p>
    <w:p w:rsidR="00191861" w:rsidRPr="00467F9C" w:rsidRDefault="00AC2511" w:rsidP="00AC2511">
      <w:pPr>
        <w:pStyle w:val="affc"/>
      </w:pPr>
      <w:r>
        <w:t xml:space="preserve">1. </w:t>
      </w:r>
      <w:r w:rsidR="00191861" w:rsidRPr="00467F9C">
        <w:t xml:space="preserve">На территории Чукотского автономного округа реализуется восемнадцать государственных программ. </w:t>
      </w:r>
    </w:p>
    <w:p w:rsidR="00191861" w:rsidRPr="00467F9C" w:rsidRDefault="00AC2511" w:rsidP="00AC2511">
      <w:pPr>
        <w:pStyle w:val="affc"/>
        <w:rPr>
          <w:rFonts w:eastAsia="Calibri"/>
        </w:rPr>
      </w:pPr>
      <w:r>
        <w:rPr>
          <w:rFonts w:eastAsia="Calibri"/>
        </w:rPr>
        <w:t xml:space="preserve">2. </w:t>
      </w:r>
      <w:r w:rsidR="00191861" w:rsidRPr="00467F9C">
        <w:rPr>
          <w:rFonts w:eastAsia="Calibri"/>
        </w:rPr>
        <w:t>В рамках трёх государственных программ осуществляется реализация одиннадцати ведомственных целевых программ. </w:t>
      </w:r>
    </w:p>
    <w:p w:rsidR="00191861" w:rsidRPr="00467F9C" w:rsidRDefault="00191861" w:rsidP="00AC2511">
      <w:pPr>
        <w:pStyle w:val="affc"/>
        <w:rPr>
          <w:rFonts w:eastAsia="Calibri"/>
        </w:rPr>
      </w:pPr>
      <w:r w:rsidRPr="00467F9C">
        <w:rPr>
          <w:rFonts w:eastAsia="Calibri"/>
        </w:rPr>
        <w:t xml:space="preserve">Анализ положений, регулирующих порядок разработки, утверждения и реализации ведомственных целевых программ, показал недостаточность их нормативного регулирования Порядком №359, поскольку не содержит положений, касающихся механизма реализации и управления, осуществления контроля ответственными исполнителями. Необходимо отметить отсутствие нормативно утвержденного определения ведомственной целевой программы Чукотского автономного округа, оснований для формирования и принятия решений по утверждению ведомственной целевой программы, требований, предъявляемых к основным целям и задачам ведомственной целевой программы. </w:t>
      </w:r>
    </w:p>
    <w:p w:rsidR="00191861" w:rsidRPr="00467F9C" w:rsidRDefault="00AC2511" w:rsidP="00191861">
      <w:pPr>
        <w:pStyle w:val="af8"/>
        <w:tabs>
          <w:tab w:val="left" w:pos="709"/>
        </w:tabs>
        <w:ind w:firstLine="709"/>
        <w:jc w:val="both"/>
        <w:rPr>
          <w:bCs/>
          <w:sz w:val="28"/>
          <w:szCs w:val="28"/>
        </w:rPr>
      </w:pPr>
      <w:r>
        <w:rPr>
          <w:sz w:val="28"/>
          <w:szCs w:val="28"/>
        </w:rPr>
        <w:t>3</w:t>
      </w:r>
      <w:r w:rsidR="00191861" w:rsidRPr="00467F9C">
        <w:rPr>
          <w:sz w:val="28"/>
          <w:szCs w:val="28"/>
        </w:rPr>
        <w:t>.</w:t>
      </w:r>
      <w:r w:rsidR="00191861" w:rsidRPr="00467F9C">
        <w:rPr>
          <w:sz w:val="28"/>
          <w:szCs w:val="28"/>
          <w:lang w:val="en-US"/>
        </w:rPr>
        <w:t> </w:t>
      </w:r>
      <w:r w:rsidR="00191861" w:rsidRPr="00467F9C">
        <w:rPr>
          <w:sz w:val="28"/>
          <w:szCs w:val="28"/>
        </w:rPr>
        <w:t xml:space="preserve">Объем финансовых ресурсов, предусмотренный паспортами государственных программ на их реализацию в 2021 году, составил 56 821 493,5 тыс. рублей. </w:t>
      </w:r>
    </w:p>
    <w:p w:rsidR="00191861" w:rsidRPr="00467F9C" w:rsidRDefault="00191861" w:rsidP="00191861">
      <w:pPr>
        <w:widowControl w:val="0"/>
        <w:tabs>
          <w:tab w:val="left" w:pos="709"/>
        </w:tabs>
        <w:ind w:firstLine="709"/>
        <w:contextualSpacing/>
        <w:jc w:val="both"/>
        <w:rPr>
          <w:sz w:val="28"/>
          <w:szCs w:val="28"/>
        </w:rPr>
      </w:pPr>
      <w:r w:rsidRPr="00467F9C">
        <w:rPr>
          <w:bCs/>
          <w:sz w:val="28"/>
          <w:szCs w:val="28"/>
        </w:rPr>
        <w:lastRenderedPageBreak/>
        <w:t xml:space="preserve">Законом об окружном бюджете на 2021 год финансирование государственных программ на 2021 год предусмотрено с общим объемом ассигнований 54 062 281,5 тыс. рублей. </w:t>
      </w:r>
      <w:r w:rsidRPr="00467F9C">
        <w:rPr>
          <w:sz w:val="28"/>
          <w:szCs w:val="28"/>
        </w:rPr>
        <w:t>Доля ассигнований, утвержденных на реализацию программ, в общих расходах окружного бюджета на 2021 год составила 96,5%.</w:t>
      </w:r>
    </w:p>
    <w:p w:rsidR="00191861" w:rsidRPr="00467F9C" w:rsidRDefault="00191861" w:rsidP="00191861">
      <w:pPr>
        <w:pStyle w:val="af8"/>
        <w:ind w:firstLine="709"/>
        <w:jc w:val="both"/>
        <w:rPr>
          <w:sz w:val="28"/>
          <w:szCs w:val="28"/>
        </w:rPr>
      </w:pPr>
      <w:r w:rsidRPr="00467F9C">
        <w:rPr>
          <w:sz w:val="28"/>
          <w:szCs w:val="28"/>
        </w:rPr>
        <w:t xml:space="preserve">СБР по состоянию на 31 декабря 2021 года на реализацию госпрограмм утвержден объем ассигнований в общей сумме 54 182 345,5 тыс. рублей. </w:t>
      </w:r>
    </w:p>
    <w:p w:rsidR="00191861" w:rsidRPr="00467F9C" w:rsidRDefault="00AC2511" w:rsidP="00191861">
      <w:pPr>
        <w:pStyle w:val="af8"/>
        <w:ind w:firstLine="709"/>
        <w:jc w:val="both"/>
        <w:rPr>
          <w:sz w:val="28"/>
          <w:szCs w:val="28"/>
        </w:rPr>
      </w:pPr>
      <w:r>
        <w:rPr>
          <w:sz w:val="28"/>
          <w:szCs w:val="28"/>
        </w:rPr>
        <w:t>4</w:t>
      </w:r>
      <w:r w:rsidR="00191861" w:rsidRPr="00467F9C">
        <w:rPr>
          <w:sz w:val="28"/>
          <w:szCs w:val="28"/>
        </w:rPr>
        <w:t>. В 2021 году на реализацию госпрограмм из окружного бюджета направлено 52 677 350,5 тыс. рублей или 97,2 %, из них 760 692,8 тыс. рублей – предоставлены бюджетные инвестиции. По состоянию на 1 января 2022 года:</w:t>
      </w:r>
    </w:p>
    <w:p w:rsidR="00191861" w:rsidRPr="00467F9C" w:rsidRDefault="00191861" w:rsidP="00191861">
      <w:pPr>
        <w:pStyle w:val="af8"/>
        <w:ind w:firstLine="709"/>
        <w:jc w:val="both"/>
        <w:rPr>
          <w:sz w:val="28"/>
          <w:szCs w:val="28"/>
        </w:rPr>
      </w:pPr>
      <w:r w:rsidRPr="00467F9C">
        <w:rPr>
          <w:sz w:val="28"/>
          <w:szCs w:val="28"/>
        </w:rPr>
        <w:t xml:space="preserve">- объем </w:t>
      </w:r>
      <w:r w:rsidRPr="00467F9C">
        <w:rPr>
          <w:rFonts w:eastAsia="Calibri"/>
          <w:sz w:val="28"/>
          <w:szCs w:val="28"/>
        </w:rPr>
        <w:t xml:space="preserve">неиспользованных бюджетных средств по предоставленным субсидиям и грантам (срок реализации за пределами 2021 года) в рамках реализации мероприятий девяти Госпрограмм составил </w:t>
      </w:r>
      <w:r w:rsidRPr="00467F9C">
        <w:rPr>
          <w:sz w:val="28"/>
          <w:szCs w:val="28"/>
        </w:rPr>
        <w:t>834 153,2 тыс. рублей;</w:t>
      </w:r>
    </w:p>
    <w:p w:rsidR="00191861" w:rsidRPr="00467F9C" w:rsidRDefault="00191861" w:rsidP="00191861">
      <w:pPr>
        <w:pStyle w:val="af8"/>
        <w:ind w:firstLine="709"/>
        <w:jc w:val="both"/>
        <w:rPr>
          <w:rFonts w:eastAsia="Calibri"/>
          <w:sz w:val="28"/>
          <w:szCs w:val="28"/>
        </w:rPr>
      </w:pPr>
      <w:r w:rsidRPr="00467F9C">
        <w:rPr>
          <w:sz w:val="28"/>
          <w:szCs w:val="28"/>
        </w:rPr>
        <w:t>- объем авансовых платежей на выполнение мероприятий пяти госпрограмм составил 1 101 005,8 тыс. рублей.</w:t>
      </w:r>
      <w:r w:rsidRPr="00467F9C">
        <w:rPr>
          <w:rFonts w:eastAsia="Calibri"/>
          <w:sz w:val="28"/>
          <w:szCs w:val="28"/>
        </w:rPr>
        <w:t xml:space="preserve"> </w:t>
      </w:r>
    </w:p>
    <w:p w:rsidR="00191861" w:rsidRPr="00467F9C" w:rsidRDefault="00191861" w:rsidP="00191861">
      <w:pPr>
        <w:pStyle w:val="af8"/>
        <w:ind w:firstLine="709"/>
        <w:jc w:val="both"/>
        <w:rPr>
          <w:sz w:val="28"/>
          <w:szCs w:val="28"/>
        </w:rPr>
      </w:pPr>
      <w:r w:rsidRPr="00467F9C">
        <w:rPr>
          <w:sz w:val="28"/>
          <w:szCs w:val="28"/>
        </w:rPr>
        <w:t xml:space="preserve"> Кассовые расходы на уровне от 93% до 100% от предусмотренных бюджетных ассигнований произведены по 16 государственным программам, менее 93% от предусмотренных ассигнований направлено на реализацию двух государственных программ: «Развитие жилищного строительства в Чукотском автономном округе» (72,3%) и «Обеспечение охраны общественного порядка и повышения безопасности дорожного движения в Чукотском автономном округе» (49,1%).</w:t>
      </w:r>
    </w:p>
    <w:p w:rsidR="00191861" w:rsidRPr="00467F9C" w:rsidRDefault="00AC2511" w:rsidP="00191861">
      <w:pPr>
        <w:ind w:firstLine="709"/>
        <w:contextualSpacing/>
        <w:jc w:val="both"/>
        <w:rPr>
          <w:sz w:val="28"/>
          <w:szCs w:val="28"/>
        </w:rPr>
      </w:pPr>
      <w:r>
        <w:rPr>
          <w:sz w:val="28"/>
          <w:szCs w:val="28"/>
        </w:rPr>
        <w:t>5</w:t>
      </w:r>
      <w:r w:rsidR="00191861" w:rsidRPr="00467F9C">
        <w:rPr>
          <w:sz w:val="28"/>
          <w:szCs w:val="28"/>
        </w:rPr>
        <w:t>. Фактическое выполнение мероприятий Госпрограмм составило 49 994 171,6 тыс. рублей или 94,9% от направленных бюджетных ассигнований. Наиболее низкое выполнение произведено по 3 государственным программам:</w:t>
      </w:r>
    </w:p>
    <w:p w:rsidR="00191861" w:rsidRPr="00467F9C" w:rsidRDefault="00191861" w:rsidP="00191861">
      <w:pPr>
        <w:autoSpaceDE w:val="0"/>
        <w:autoSpaceDN w:val="0"/>
        <w:adjustRightInd w:val="0"/>
        <w:ind w:firstLine="709"/>
        <w:jc w:val="both"/>
        <w:rPr>
          <w:sz w:val="28"/>
          <w:szCs w:val="28"/>
        </w:rPr>
      </w:pPr>
      <w:r w:rsidRPr="00467F9C">
        <w:rPr>
          <w:sz w:val="28"/>
          <w:szCs w:val="28"/>
        </w:rPr>
        <w:t>- Развитие культуры, спорта и туризма Чукотского автономного округа (71,4% от полученного финансирования);</w:t>
      </w:r>
    </w:p>
    <w:p w:rsidR="00191861" w:rsidRPr="00467F9C" w:rsidRDefault="00191861" w:rsidP="00191861">
      <w:pPr>
        <w:autoSpaceDE w:val="0"/>
        <w:autoSpaceDN w:val="0"/>
        <w:adjustRightInd w:val="0"/>
        <w:ind w:firstLine="709"/>
        <w:jc w:val="both"/>
        <w:rPr>
          <w:sz w:val="28"/>
          <w:szCs w:val="28"/>
        </w:rPr>
      </w:pPr>
      <w:r w:rsidRPr="00467F9C">
        <w:rPr>
          <w:sz w:val="28"/>
          <w:szCs w:val="28"/>
        </w:rPr>
        <w:t>- Развитие жилищного строительства в Чукотском автономном округе (48,2%);</w:t>
      </w:r>
    </w:p>
    <w:p w:rsidR="00191861" w:rsidRPr="00467F9C" w:rsidRDefault="00191861" w:rsidP="00191861">
      <w:pPr>
        <w:autoSpaceDE w:val="0"/>
        <w:autoSpaceDN w:val="0"/>
        <w:adjustRightInd w:val="0"/>
        <w:ind w:firstLine="709"/>
        <w:jc w:val="both"/>
        <w:rPr>
          <w:sz w:val="28"/>
          <w:szCs w:val="28"/>
        </w:rPr>
      </w:pPr>
      <w:r w:rsidRPr="00467F9C">
        <w:rPr>
          <w:sz w:val="28"/>
          <w:szCs w:val="28"/>
        </w:rPr>
        <w:t>- Обеспечение устойчивого сокращения непригодного для проживания жилищного фонда в Чукотском автономном округе (13,6%).</w:t>
      </w:r>
    </w:p>
    <w:p w:rsidR="00191861" w:rsidRPr="00467F9C" w:rsidRDefault="00191861" w:rsidP="00191861">
      <w:pPr>
        <w:autoSpaceDE w:val="0"/>
        <w:autoSpaceDN w:val="0"/>
        <w:adjustRightInd w:val="0"/>
        <w:ind w:firstLine="709"/>
        <w:jc w:val="both"/>
        <w:rPr>
          <w:sz w:val="28"/>
          <w:szCs w:val="28"/>
          <w:highlight w:val="yellow"/>
        </w:rPr>
      </w:pPr>
      <w:r w:rsidRPr="00467F9C">
        <w:rPr>
          <w:sz w:val="28"/>
          <w:szCs w:val="28"/>
        </w:rPr>
        <w:t xml:space="preserve">По остальным государственным программам выполнение составило от 79,5% до 100,0% от объемов средств, направленных на реализацию государственных программ. </w:t>
      </w:r>
    </w:p>
    <w:p w:rsidR="00191861" w:rsidRPr="00467F9C" w:rsidRDefault="00AC2511" w:rsidP="00191861">
      <w:pPr>
        <w:ind w:firstLine="709"/>
        <w:jc w:val="both"/>
        <w:rPr>
          <w:sz w:val="28"/>
          <w:szCs w:val="28"/>
        </w:rPr>
      </w:pPr>
      <w:r>
        <w:rPr>
          <w:sz w:val="28"/>
          <w:szCs w:val="28"/>
        </w:rPr>
        <w:t>6</w:t>
      </w:r>
      <w:r w:rsidR="00191861" w:rsidRPr="00467F9C">
        <w:rPr>
          <w:sz w:val="28"/>
          <w:szCs w:val="28"/>
        </w:rPr>
        <w:t>. В отчетном периоде восемь главных распорядителей окружного бюджета в ходе исполнения 15 государственных программ принимали участие в реализации 29 региональных проектов Чукотского автономного округа (национальные проекты: Демография, Здравоохранение, Образование,  Культура, Малое и среднее предпринимательство и поддержка индивидуальной предпринимательской инициативы, Жилье и городская среда, Экология, Безопасные и качественные автомобильные дороги, Цифровая экономика).</w:t>
      </w:r>
    </w:p>
    <w:p w:rsidR="00191861" w:rsidRPr="00467F9C" w:rsidRDefault="00191861" w:rsidP="00191861">
      <w:pPr>
        <w:ind w:firstLine="709"/>
        <w:jc w:val="both"/>
        <w:rPr>
          <w:sz w:val="28"/>
          <w:szCs w:val="28"/>
        </w:rPr>
      </w:pPr>
      <w:r w:rsidRPr="00467F9C">
        <w:rPr>
          <w:sz w:val="28"/>
          <w:szCs w:val="28"/>
        </w:rPr>
        <w:t xml:space="preserve">Сводной бюджетной росписью на реализацию региональных проектов утверждены бюджетные ассигнования в объеме 3 392 208,1 тыс. рублей или 6,3% от общего объема бюджетных ассигнований на реализацию госпрограмм на 2021 год. Направлено на реализацию региональных проектов бюджетных средств в </w:t>
      </w:r>
      <w:r w:rsidRPr="00467F9C">
        <w:rPr>
          <w:sz w:val="28"/>
          <w:szCs w:val="28"/>
        </w:rPr>
        <w:lastRenderedPageBreak/>
        <w:t xml:space="preserve">объеме 2 981 844,8 тыс. рублей или 87,9% от утвержденных назначений, исполнены мероприятия региональных проектов на сумму 1 746 987,5 тыс. рублей или 58,6% к полученному финансированию. </w:t>
      </w:r>
    </w:p>
    <w:p w:rsidR="00191861" w:rsidRPr="00467F9C" w:rsidRDefault="00AC2511" w:rsidP="00191861">
      <w:pPr>
        <w:pStyle w:val="19"/>
        <w:ind w:firstLine="709"/>
        <w:rPr>
          <w:color w:val="auto"/>
        </w:rPr>
      </w:pPr>
      <w:r>
        <w:rPr>
          <w:rFonts w:eastAsia="Times New Roman"/>
          <w:color w:val="auto"/>
          <w:lang w:eastAsia="ru-RU"/>
        </w:rPr>
        <w:t>7</w:t>
      </w:r>
      <w:r w:rsidR="00191861" w:rsidRPr="00467F9C">
        <w:rPr>
          <w:rFonts w:eastAsia="Times New Roman"/>
          <w:color w:val="auto"/>
          <w:lang w:eastAsia="ru-RU"/>
        </w:rPr>
        <w:t>. </w:t>
      </w:r>
      <w:r w:rsidR="00191861" w:rsidRPr="00467F9C">
        <w:rPr>
          <w:color w:val="auto"/>
        </w:rPr>
        <w:t xml:space="preserve">По состоянию на 1 января 2022 года действуют 58 государственных контрактов для обеспечения государственных нужд на общую сумму 19 979 850,2 тыс. рублей, заключенных в рамках 10 государственных программ. </w:t>
      </w:r>
    </w:p>
    <w:p w:rsidR="00191861" w:rsidRPr="00467F9C" w:rsidRDefault="00191861" w:rsidP="00191861">
      <w:pPr>
        <w:pStyle w:val="19"/>
        <w:ind w:firstLine="709"/>
        <w:rPr>
          <w:color w:val="auto"/>
        </w:rPr>
      </w:pPr>
      <w:r w:rsidRPr="00467F9C">
        <w:rPr>
          <w:color w:val="auto"/>
        </w:rPr>
        <w:t>С начала реализации государственных контрактов на их исполнение направлено бюджетных ассигнований в сумме 8 875 868,5 тыс. рублей (из них в 2021 году – 6 178 950,6 тыс. рублей), выполнено работ на сумму 7 367 524,2 тыс. рублей (из них в 2021 году – 4 884 334,0 тыс. рублей).</w:t>
      </w:r>
    </w:p>
    <w:p w:rsidR="00191861" w:rsidRPr="00467F9C" w:rsidRDefault="00191861" w:rsidP="00191861">
      <w:pPr>
        <w:pStyle w:val="19"/>
        <w:ind w:firstLine="709"/>
        <w:rPr>
          <w:rFonts w:eastAsia="Times New Roman"/>
          <w:color w:val="auto"/>
          <w:highlight w:val="yellow"/>
          <w:lang w:eastAsia="ru-RU"/>
        </w:rPr>
      </w:pPr>
      <w:r w:rsidRPr="00467F9C">
        <w:rPr>
          <w:color w:val="auto"/>
        </w:rPr>
        <w:t>В структуре государственных контрактов наибольший удельный вес занимают государственные контракты, заключенные в ходе исполнения государственных программ «Развитие транспортной инфраструктуры» (43,2%), «</w:t>
      </w:r>
      <w:r w:rsidRPr="00467F9C">
        <w:rPr>
          <w:rFonts w:eastAsia="Times New Roman"/>
          <w:color w:val="auto"/>
          <w:lang w:eastAsia="ru-RU"/>
        </w:rPr>
        <w:t xml:space="preserve">Развитие жилищно-коммунального хозяйства и водохозяйственного комплекса» (22,8%), </w:t>
      </w:r>
      <w:r w:rsidRPr="00467F9C">
        <w:rPr>
          <w:color w:val="auto"/>
        </w:rPr>
        <w:t xml:space="preserve">«Развитие образования и науки» (15,8%) </w:t>
      </w:r>
      <w:r w:rsidRPr="00467F9C">
        <w:rPr>
          <w:rFonts w:eastAsia="Times New Roman"/>
          <w:color w:val="auto"/>
          <w:lang w:eastAsia="ru-RU"/>
        </w:rPr>
        <w:t>и «Обеспечение устойчивого сокращения непригодного для проживания жилого фонда» (6,9%).</w:t>
      </w:r>
    </w:p>
    <w:p w:rsidR="00191861" w:rsidRPr="00467F9C" w:rsidRDefault="00AC2511" w:rsidP="00191861">
      <w:pPr>
        <w:pStyle w:val="19"/>
        <w:ind w:firstLine="709"/>
        <w:rPr>
          <w:color w:val="auto"/>
        </w:rPr>
      </w:pPr>
      <w:r>
        <w:rPr>
          <w:rFonts w:eastAsia="Times New Roman"/>
          <w:color w:val="auto"/>
          <w:lang w:eastAsia="ru-RU"/>
        </w:rPr>
        <w:t>8</w:t>
      </w:r>
      <w:r w:rsidR="00191861" w:rsidRPr="00467F9C">
        <w:rPr>
          <w:rFonts w:eastAsia="Times New Roman"/>
          <w:color w:val="auto"/>
          <w:lang w:eastAsia="ru-RU"/>
        </w:rPr>
        <w:t>. </w:t>
      </w:r>
      <w:r w:rsidR="00191861" w:rsidRPr="00467F9C">
        <w:rPr>
          <w:color w:val="auto"/>
        </w:rPr>
        <w:t>В рамках реализации мероприятий двух госпрограмм («</w:t>
      </w:r>
      <w:r w:rsidR="00191861" w:rsidRPr="00467F9C">
        <w:rPr>
          <w:rFonts w:eastAsia="Times New Roman"/>
          <w:color w:val="auto"/>
          <w:lang w:eastAsia="ru-RU"/>
        </w:rPr>
        <w:t xml:space="preserve">Развитие жилищно-коммунального хозяйства и водохозяйственного комплекса» и «Развитие энергетики») </w:t>
      </w:r>
      <w:r w:rsidR="00191861" w:rsidRPr="00467F9C">
        <w:rPr>
          <w:color w:val="auto"/>
        </w:rPr>
        <w:t>в 2018-2021 годах осуществлены бюджетные инвестиции на общую сумму 20 647 733,2 тыс. рублей. Форма отчета о ходе реализации инвестиционных проектов с разбивкой по годам, Департаментом финансов не установлена, что усложняет процесс контроля над реализацией инвестиционных проектов в последующие периоды.</w:t>
      </w:r>
    </w:p>
    <w:p w:rsidR="00191861" w:rsidRPr="00467F9C" w:rsidRDefault="00191861" w:rsidP="00191861">
      <w:pPr>
        <w:tabs>
          <w:tab w:val="left" w:pos="709"/>
          <w:tab w:val="left" w:pos="993"/>
        </w:tabs>
        <w:autoSpaceDE w:val="0"/>
        <w:autoSpaceDN w:val="0"/>
        <w:adjustRightInd w:val="0"/>
        <w:jc w:val="both"/>
        <w:rPr>
          <w:sz w:val="28"/>
          <w:szCs w:val="28"/>
        </w:rPr>
      </w:pPr>
      <w:r w:rsidRPr="00467F9C">
        <w:tab/>
      </w:r>
      <w:r w:rsidR="00AC2511">
        <w:rPr>
          <w:sz w:val="28"/>
          <w:szCs w:val="28"/>
        </w:rPr>
        <w:t>9</w:t>
      </w:r>
      <w:r w:rsidRPr="00467F9C">
        <w:rPr>
          <w:sz w:val="28"/>
          <w:szCs w:val="28"/>
        </w:rPr>
        <w:t>.</w:t>
      </w:r>
      <w:r w:rsidRPr="00467F9C">
        <w:t> </w:t>
      </w:r>
      <w:r w:rsidRPr="00467F9C">
        <w:rPr>
          <w:sz w:val="28"/>
          <w:szCs w:val="28"/>
        </w:rPr>
        <w:t>По результатам расчета показателей эффективности реализации государственных программ в 2021 году, произведенным Департаментом финансов, 17 государственных программ оценены с высоким уровнем эффективности и государственная программа «Обеспечение устойчивого сокращения непригодного для проживания жилищного фонда в Чукотском автономном округе» со средним уровнем эффективности ее реализации.</w:t>
      </w:r>
    </w:p>
    <w:p w:rsidR="00191861" w:rsidRPr="00467F9C" w:rsidRDefault="00191861" w:rsidP="00191861">
      <w:pPr>
        <w:tabs>
          <w:tab w:val="left" w:pos="709"/>
          <w:tab w:val="left" w:pos="993"/>
        </w:tabs>
        <w:autoSpaceDE w:val="0"/>
        <w:autoSpaceDN w:val="0"/>
        <w:adjustRightInd w:val="0"/>
        <w:ind w:firstLine="709"/>
        <w:jc w:val="both"/>
        <w:rPr>
          <w:sz w:val="28"/>
          <w:szCs w:val="28"/>
          <w:highlight w:val="yellow"/>
        </w:rPr>
      </w:pPr>
      <w:r w:rsidRPr="00467F9C">
        <w:rPr>
          <w:sz w:val="28"/>
          <w:szCs w:val="28"/>
        </w:rPr>
        <w:t xml:space="preserve">Всего в Паспортах 18 госпрограмм установлено 94 целевых показателя результативности выполнения госпрограмм и 493 показателя результативности реализации их подпрограмм. </w:t>
      </w:r>
    </w:p>
    <w:p w:rsidR="00191861" w:rsidRPr="00467F9C" w:rsidRDefault="00191861" w:rsidP="00191861">
      <w:pPr>
        <w:tabs>
          <w:tab w:val="left" w:pos="709"/>
          <w:tab w:val="left" w:pos="993"/>
        </w:tabs>
        <w:autoSpaceDE w:val="0"/>
        <w:autoSpaceDN w:val="0"/>
        <w:adjustRightInd w:val="0"/>
        <w:ind w:firstLine="709"/>
        <w:jc w:val="both"/>
        <w:rPr>
          <w:sz w:val="28"/>
          <w:szCs w:val="28"/>
        </w:rPr>
      </w:pPr>
      <w:r w:rsidRPr="00467F9C">
        <w:rPr>
          <w:sz w:val="28"/>
          <w:szCs w:val="28"/>
        </w:rPr>
        <w:t xml:space="preserve">По результатам 2021 года из 18 государственных программ установленные целевые показатели результативности достигнуты в полном объеме только по восьми государственным программам. По 10 госпрограммам не достигнуто 29 целевых показателей (из них 13 – требуют уточнения органами статистической отчетности), по подпрограммам – 98 целевых показателя или 19,8%. </w:t>
      </w:r>
    </w:p>
    <w:p w:rsidR="00191861" w:rsidRPr="00467F9C" w:rsidRDefault="00AC2511" w:rsidP="00191861">
      <w:pPr>
        <w:tabs>
          <w:tab w:val="left" w:pos="709"/>
        </w:tabs>
        <w:autoSpaceDE w:val="0"/>
        <w:autoSpaceDN w:val="0"/>
        <w:adjustRightInd w:val="0"/>
        <w:ind w:firstLine="709"/>
        <w:jc w:val="both"/>
        <w:rPr>
          <w:rFonts w:eastAsia="Calibri"/>
          <w:sz w:val="28"/>
          <w:szCs w:val="28"/>
        </w:rPr>
      </w:pPr>
      <w:r>
        <w:rPr>
          <w:sz w:val="28"/>
          <w:szCs w:val="28"/>
        </w:rPr>
        <w:t>10</w:t>
      </w:r>
      <w:r w:rsidR="00191861" w:rsidRPr="00467F9C">
        <w:rPr>
          <w:sz w:val="28"/>
          <w:szCs w:val="28"/>
        </w:rPr>
        <w:t xml:space="preserve">. Счетная палата отмечает, что система оценки эффективности реализации государственных программ, установленная Порядком №359, имеет существенные недостатки. Методика оценки эффективности реализации Госпрограмм не учитывает факты наличия авансовых платежей или задолженности по мероприятиям государственных программ; </w:t>
      </w:r>
      <w:r w:rsidR="00191861" w:rsidRPr="00467F9C">
        <w:rPr>
          <w:rFonts w:eastAsia="Calibri"/>
          <w:sz w:val="28"/>
          <w:szCs w:val="28"/>
        </w:rPr>
        <w:t xml:space="preserve">реализацию долгосрочных инвестиционных проектов; показатели качества управления госпрограммой (оценка администраторов, учет количества изменений в госпрограмму, своевременность и полнота отчета об исполнении госпрограммы и т.п.); </w:t>
      </w:r>
      <w:r w:rsidR="00191861" w:rsidRPr="00467F9C">
        <w:rPr>
          <w:rFonts w:eastAsia="Calibri"/>
          <w:sz w:val="28"/>
          <w:szCs w:val="28"/>
        </w:rPr>
        <w:lastRenderedPageBreak/>
        <w:t xml:space="preserve">открытость и доступность информации о реализации госпрограмм и их обсуждение на общественных советах. </w:t>
      </w:r>
    </w:p>
    <w:p w:rsidR="00191861" w:rsidRPr="00467F9C" w:rsidRDefault="00191861" w:rsidP="00191861">
      <w:pPr>
        <w:tabs>
          <w:tab w:val="left" w:pos="709"/>
          <w:tab w:val="left" w:pos="993"/>
        </w:tabs>
        <w:autoSpaceDE w:val="0"/>
        <w:autoSpaceDN w:val="0"/>
        <w:adjustRightInd w:val="0"/>
        <w:jc w:val="both"/>
        <w:rPr>
          <w:sz w:val="28"/>
          <w:szCs w:val="28"/>
        </w:rPr>
      </w:pPr>
      <w:r w:rsidRPr="00467F9C">
        <w:rPr>
          <w:rFonts w:eastAsia="Calibri"/>
          <w:sz w:val="28"/>
          <w:szCs w:val="28"/>
        </w:rPr>
        <w:tab/>
      </w:r>
      <w:r w:rsidRPr="00467F9C">
        <w:rPr>
          <w:sz w:val="28"/>
          <w:szCs w:val="28"/>
        </w:rPr>
        <w:t>Так, признаны с высоким уровнем эффективности государственные программы:</w:t>
      </w:r>
    </w:p>
    <w:p w:rsidR="00191861" w:rsidRPr="00467F9C" w:rsidRDefault="00191861" w:rsidP="00191861">
      <w:pPr>
        <w:ind w:right="57" w:firstLine="708"/>
        <w:jc w:val="both"/>
        <w:rPr>
          <w:sz w:val="28"/>
          <w:szCs w:val="28"/>
        </w:rPr>
      </w:pPr>
      <w:r w:rsidRPr="00467F9C">
        <w:rPr>
          <w:sz w:val="28"/>
          <w:szCs w:val="28"/>
        </w:rPr>
        <w:t>- «Развитие жилищного строительства в Чукотском автономном округе»</w:t>
      </w:r>
      <w:r w:rsidRPr="00467F9C">
        <w:rPr>
          <w:b/>
          <w:sz w:val="28"/>
          <w:szCs w:val="28"/>
        </w:rPr>
        <w:t xml:space="preserve"> </w:t>
      </w:r>
      <w:r w:rsidRPr="00467F9C">
        <w:rPr>
          <w:sz w:val="28"/>
          <w:szCs w:val="28"/>
        </w:rPr>
        <w:t>при фактическом выполнении мероприятий на 48,2% от направленного объема финансирования;</w:t>
      </w:r>
    </w:p>
    <w:p w:rsidR="00191861" w:rsidRPr="00467F9C" w:rsidRDefault="00191861" w:rsidP="00191861">
      <w:pPr>
        <w:ind w:right="57" w:firstLine="708"/>
        <w:jc w:val="both"/>
        <w:rPr>
          <w:sz w:val="28"/>
          <w:szCs w:val="28"/>
        </w:rPr>
      </w:pPr>
      <w:r w:rsidRPr="00467F9C">
        <w:rPr>
          <w:sz w:val="28"/>
          <w:szCs w:val="28"/>
        </w:rPr>
        <w:t>- «Формирование комфортной городской среды в Чукотском автономном округе» при отсутствии фактически выполненных работ в 2020-2021 годах по одному из двух мероприятий;</w:t>
      </w:r>
    </w:p>
    <w:p w:rsidR="00191861" w:rsidRPr="00467F9C" w:rsidRDefault="00191861" w:rsidP="00191861">
      <w:pPr>
        <w:tabs>
          <w:tab w:val="left" w:pos="709"/>
        </w:tabs>
        <w:autoSpaceDE w:val="0"/>
        <w:autoSpaceDN w:val="0"/>
        <w:adjustRightInd w:val="0"/>
        <w:jc w:val="both"/>
        <w:rPr>
          <w:rFonts w:eastAsiaTheme="minorEastAsia"/>
          <w:sz w:val="28"/>
          <w:szCs w:val="28"/>
        </w:rPr>
      </w:pPr>
      <w:r w:rsidRPr="00467F9C">
        <w:rPr>
          <w:sz w:val="28"/>
          <w:szCs w:val="28"/>
        </w:rPr>
        <w:tab/>
        <w:t>- «Развитие энергетики Чукотского автономного округа»</w:t>
      </w:r>
      <w:r w:rsidRPr="00467F9C">
        <w:rPr>
          <w:b/>
          <w:sz w:val="28"/>
          <w:szCs w:val="28"/>
        </w:rPr>
        <w:t xml:space="preserve"> </w:t>
      </w:r>
      <w:r w:rsidRPr="00467F9C">
        <w:rPr>
          <w:rFonts w:eastAsia="Calibri"/>
          <w:sz w:val="28"/>
          <w:szCs w:val="28"/>
        </w:rPr>
        <w:t xml:space="preserve">при неисполнении </w:t>
      </w:r>
      <w:proofErr w:type="spellStart"/>
      <w:r w:rsidRPr="00467F9C">
        <w:rPr>
          <w:rFonts w:eastAsia="Calibri"/>
          <w:sz w:val="28"/>
          <w:szCs w:val="28"/>
        </w:rPr>
        <w:t>высокостоимостных</w:t>
      </w:r>
      <w:proofErr w:type="spellEnd"/>
      <w:r w:rsidRPr="00467F9C">
        <w:rPr>
          <w:rFonts w:eastAsia="Calibri"/>
          <w:sz w:val="28"/>
          <w:szCs w:val="28"/>
        </w:rPr>
        <w:t xml:space="preserve"> инвестиционных проектов, на реализацию которых в 2018-2019 годах направлено финансирование в сумме 11 389 751,4 тыс. рублей;</w:t>
      </w:r>
    </w:p>
    <w:p w:rsidR="00191861" w:rsidRPr="00467F9C" w:rsidRDefault="00191861" w:rsidP="00191861">
      <w:pPr>
        <w:tabs>
          <w:tab w:val="left" w:pos="709"/>
        </w:tabs>
        <w:autoSpaceDE w:val="0"/>
        <w:autoSpaceDN w:val="0"/>
        <w:adjustRightInd w:val="0"/>
        <w:jc w:val="both"/>
        <w:rPr>
          <w:sz w:val="28"/>
          <w:szCs w:val="28"/>
        </w:rPr>
      </w:pPr>
      <w:r w:rsidRPr="00467F9C">
        <w:rPr>
          <w:bCs/>
          <w:sz w:val="28"/>
          <w:szCs w:val="28"/>
        </w:rPr>
        <w:tab/>
        <w:t>- «Развитие жилищно-коммунального хозяйства и водохозяйственного комплекса Чукотского автономного округа»</w:t>
      </w:r>
      <w:r w:rsidRPr="00467F9C">
        <w:rPr>
          <w:sz w:val="28"/>
          <w:szCs w:val="28"/>
        </w:rPr>
        <w:t>. При этом, бюджетные средства в сумме 9 257 981,8 тыс. рублей предоставлены коммерческой организации (из них в 2021 году 760 692,8 тыс. рублей) и результаты реализации проекта на отчетную дату не достигнуты. Одна подпрограмма Госпрограммы имеет нулевой уровень исполнения, одна подпрограмма выполнена на уровне 52,3%.</w:t>
      </w:r>
    </w:p>
    <w:p w:rsidR="00191861" w:rsidRPr="00467F9C" w:rsidRDefault="00191861" w:rsidP="00191861">
      <w:pPr>
        <w:ind w:right="57" w:firstLine="708"/>
        <w:jc w:val="both"/>
        <w:rPr>
          <w:rFonts w:eastAsia="Calibri"/>
          <w:sz w:val="28"/>
          <w:szCs w:val="28"/>
        </w:rPr>
      </w:pPr>
      <w:r w:rsidRPr="00467F9C">
        <w:rPr>
          <w:sz w:val="28"/>
          <w:szCs w:val="28"/>
        </w:rPr>
        <w:t xml:space="preserve"> Также, на реализацию мероприятий Госпрограммы «Обеспечение устойчивого сокращения непригодного для проживания жилищного фонда в Чукотском автономном округе» (средний уровень эффективности) в отчетном периоде направлено </w:t>
      </w:r>
      <w:r w:rsidRPr="00467F9C">
        <w:rPr>
          <w:bCs/>
          <w:sz w:val="28"/>
          <w:szCs w:val="28"/>
        </w:rPr>
        <w:t>649 141,6</w:t>
      </w:r>
      <w:r w:rsidRPr="00467F9C">
        <w:rPr>
          <w:b/>
          <w:bCs/>
          <w:sz w:val="28"/>
          <w:szCs w:val="28"/>
        </w:rPr>
        <w:t xml:space="preserve"> </w:t>
      </w:r>
      <w:r w:rsidRPr="00467F9C">
        <w:rPr>
          <w:sz w:val="28"/>
          <w:szCs w:val="28"/>
        </w:rPr>
        <w:t>тыс. рублей, из них 190 758,2 тыс. рублей - авансовые платежи по муниципальным контрактам,  396 492,4 тыс. рублей или 61,1 % от полученного финансирования - неиспользованные средства субсидии. При этом, по подпрограмме д</w:t>
      </w:r>
      <w:r w:rsidRPr="00467F9C">
        <w:rPr>
          <w:rFonts w:eastAsia="Calibri"/>
          <w:sz w:val="28"/>
          <w:szCs w:val="28"/>
        </w:rPr>
        <w:t>остигнуты все целевые индикаторы (показатели) Госпрограммы и подпрограммы.</w:t>
      </w:r>
    </w:p>
    <w:p w:rsidR="00191861" w:rsidRPr="00666AD1" w:rsidRDefault="00191861" w:rsidP="00191861">
      <w:pPr>
        <w:tabs>
          <w:tab w:val="left" w:pos="709"/>
        </w:tabs>
        <w:autoSpaceDE w:val="0"/>
        <w:autoSpaceDN w:val="0"/>
        <w:adjustRightInd w:val="0"/>
        <w:jc w:val="both"/>
        <w:rPr>
          <w:rFonts w:eastAsiaTheme="minorEastAsia"/>
          <w:sz w:val="20"/>
          <w:szCs w:val="20"/>
        </w:rPr>
      </w:pPr>
      <w:r w:rsidRPr="00467F9C">
        <w:rPr>
          <w:rFonts w:eastAsia="Calibri"/>
          <w:sz w:val="28"/>
          <w:szCs w:val="28"/>
        </w:rPr>
        <w:tab/>
      </w:r>
    </w:p>
    <w:p w:rsidR="00191861" w:rsidRPr="00467F9C" w:rsidRDefault="00191861" w:rsidP="00191861">
      <w:pPr>
        <w:tabs>
          <w:tab w:val="left" w:pos="709"/>
        </w:tabs>
        <w:autoSpaceDE w:val="0"/>
        <w:autoSpaceDN w:val="0"/>
        <w:adjustRightInd w:val="0"/>
        <w:jc w:val="both"/>
        <w:rPr>
          <w:b/>
          <w:sz w:val="28"/>
          <w:szCs w:val="28"/>
        </w:rPr>
      </w:pPr>
      <w:r w:rsidRPr="00467F9C">
        <w:rPr>
          <w:sz w:val="28"/>
          <w:szCs w:val="28"/>
        </w:rPr>
        <w:tab/>
        <w:t> </w:t>
      </w:r>
      <w:r w:rsidRPr="00467F9C">
        <w:rPr>
          <w:b/>
          <w:sz w:val="28"/>
          <w:szCs w:val="28"/>
        </w:rPr>
        <w:t>9. Предложения:</w:t>
      </w:r>
    </w:p>
    <w:p w:rsidR="00191861" w:rsidRPr="00467F9C" w:rsidRDefault="00191861" w:rsidP="00AC2511">
      <w:pPr>
        <w:pStyle w:val="affc"/>
      </w:pPr>
      <w:r w:rsidRPr="00467F9C">
        <w:t>1. Отчет направить в Думу, Губернатору Чукотского автономного округа, Департамент финансов, экономики и имущественных отношений Чукотского автономного округа.</w:t>
      </w:r>
    </w:p>
    <w:p w:rsidR="00191861" w:rsidRPr="00467F9C" w:rsidRDefault="00191861" w:rsidP="00AC2511">
      <w:pPr>
        <w:pStyle w:val="affc"/>
      </w:pPr>
      <w:r w:rsidRPr="00467F9C">
        <w:t xml:space="preserve">2. Рекомендовать Правительству Чукотского автономного округа внести изменения в Постановление Правительства Чукотского автономного округа от 10.09.2013г. № 359 «Об утверждении Порядка разработки, реализации и оценки эффективности государственных программ Чукотского автономного округа» в части нормативного регулирования </w:t>
      </w:r>
      <w:r w:rsidRPr="00467F9C">
        <w:rPr>
          <w:rFonts w:eastAsia="Calibri"/>
        </w:rPr>
        <w:t xml:space="preserve">порядка разработки, утверждения и реализации ведомственных целевых программ и актуализации </w:t>
      </w:r>
      <w:r w:rsidRPr="00467F9C">
        <w:t xml:space="preserve">методики оценки эффективности государственных программ. </w:t>
      </w:r>
    </w:p>
    <w:p w:rsidR="00191861" w:rsidRPr="00467F9C" w:rsidRDefault="00191861" w:rsidP="00AC2511">
      <w:pPr>
        <w:pStyle w:val="affc"/>
      </w:pPr>
      <w:r w:rsidRPr="00467F9C">
        <w:t>3. Рекомендовать Департаменту финансов, экономики и имущественных Чукотского автономного округа разработать форму отчета о ходе реализации инвестиционных проектов в рамках государственных программ.</w:t>
      </w:r>
    </w:p>
    <w:p w:rsidR="00191861" w:rsidRPr="00467F9C" w:rsidRDefault="00191861" w:rsidP="00AC2511">
      <w:pPr>
        <w:pStyle w:val="affc"/>
      </w:pPr>
      <w:r w:rsidRPr="00467F9C">
        <w:t xml:space="preserve"> 4. Основные результаты экспертно-аналитического мероприятия включить в Заключение Счетной палаты Чукотского автономного округа </w:t>
      </w:r>
      <w:r w:rsidRPr="00467F9C">
        <w:rPr>
          <w:bCs/>
        </w:rPr>
        <w:t xml:space="preserve">по результатам внешней </w:t>
      </w:r>
      <w:r w:rsidRPr="00467F9C">
        <w:t>проверки годового отчета об исполнении окружного бюджета за 2021 год.</w:t>
      </w:r>
    </w:p>
    <w:p w:rsidR="00191861" w:rsidRPr="00467F9C" w:rsidRDefault="00191861" w:rsidP="00AC2511">
      <w:pPr>
        <w:pStyle w:val="affc"/>
      </w:pPr>
    </w:p>
    <w:p w:rsidR="00191861" w:rsidRPr="00467F9C" w:rsidRDefault="00191861" w:rsidP="00666AD1">
      <w:pPr>
        <w:spacing w:after="200"/>
        <w:jc w:val="center"/>
        <w:rPr>
          <w:b/>
          <w:sz w:val="28"/>
          <w:szCs w:val="28"/>
        </w:rPr>
      </w:pPr>
      <w:r w:rsidRPr="00467F9C">
        <w:rPr>
          <w:sz w:val="28"/>
          <w:szCs w:val="28"/>
        </w:rPr>
        <w:br w:type="page"/>
      </w:r>
      <w:r w:rsidRPr="00467F9C">
        <w:rPr>
          <w:b/>
          <w:sz w:val="28"/>
          <w:szCs w:val="28"/>
        </w:rPr>
        <w:lastRenderedPageBreak/>
        <w:t>ОТЧЕТ</w:t>
      </w:r>
    </w:p>
    <w:p w:rsidR="00191861" w:rsidRPr="00467F9C" w:rsidRDefault="00191861" w:rsidP="00191861">
      <w:pPr>
        <w:ind w:left="57" w:right="57"/>
        <w:jc w:val="center"/>
        <w:rPr>
          <w:b/>
          <w:sz w:val="28"/>
          <w:szCs w:val="28"/>
        </w:rPr>
      </w:pPr>
      <w:r w:rsidRPr="00467F9C">
        <w:rPr>
          <w:b/>
          <w:sz w:val="28"/>
          <w:szCs w:val="28"/>
        </w:rPr>
        <w:t xml:space="preserve">по результатам </w:t>
      </w:r>
      <w:bookmarkStart w:id="50" w:name="_Hlk55984026"/>
      <w:r w:rsidRPr="00467F9C">
        <w:rPr>
          <w:b/>
          <w:bCs/>
          <w:sz w:val="28"/>
          <w:szCs w:val="28"/>
        </w:rPr>
        <w:t>экспертно-аналитического мероприятия</w:t>
      </w:r>
    </w:p>
    <w:p w:rsidR="00191861" w:rsidRPr="00467F9C" w:rsidRDefault="00191861" w:rsidP="00191861">
      <w:pPr>
        <w:ind w:left="57" w:right="57"/>
        <w:jc w:val="center"/>
        <w:rPr>
          <w:b/>
          <w:sz w:val="28"/>
          <w:szCs w:val="28"/>
        </w:rPr>
      </w:pPr>
      <w:bookmarkStart w:id="51" w:name="_Hlk87532784"/>
      <w:r w:rsidRPr="00467F9C">
        <w:rPr>
          <w:b/>
          <w:sz w:val="28"/>
          <w:szCs w:val="28"/>
        </w:rPr>
        <w:t>«Оценка хода реализации региональных проектов в Чукотском автономном округе за 2021 год»</w:t>
      </w:r>
    </w:p>
    <w:p w:rsidR="00191861" w:rsidRPr="00467F9C" w:rsidRDefault="00191861" w:rsidP="00191861">
      <w:pPr>
        <w:ind w:left="57" w:right="57"/>
        <w:jc w:val="center"/>
        <w:rPr>
          <w:b/>
          <w:sz w:val="16"/>
          <w:szCs w:val="16"/>
        </w:rPr>
      </w:pPr>
    </w:p>
    <w:bookmarkEnd w:id="50"/>
    <w:bookmarkEnd w:id="51"/>
    <w:p w:rsidR="00191861" w:rsidRPr="00467F9C" w:rsidRDefault="00191861" w:rsidP="00191861">
      <w:pPr>
        <w:ind w:left="57" w:right="57"/>
        <w:jc w:val="both"/>
        <w:rPr>
          <w:sz w:val="28"/>
          <w:szCs w:val="28"/>
        </w:rPr>
      </w:pPr>
      <w:r w:rsidRPr="00467F9C">
        <w:rPr>
          <w:sz w:val="28"/>
          <w:szCs w:val="28"/>
        </w:rPr>
        <w:t xml:space="preserve">       16 мая 2022 года</w:t>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t xml:space="preserve">       г. Анадырь</w:t>
      </w:r>
    </w:p>
    <w:p w:rsidR="00191861" w:rsidRPr="00467F9C" w:rsidRDefault="00191861" w:rsidP="00191861">
      <w:pPr>
        <w:ind w:left="57" w:right="57"/>
        <w:jc w:val="both"/>
        <w:rPr>
          <w:b/>
          <w:bCs/>
          <w:sz w:val="28"/>
          <w:szCs w:val="28"/>
        </w:rPr>
      </w:pPr>
    </w:p>
    <w:p w:rsidR="00191861" w:rsidRPr="00467F9C" w:rsidRDefault="00191861" w:rsidP="00191861">
      <w:pPr>
        <w:ind w:left="57" w:right="57" w:firstLine="708"/>
        <w:jc w:val="both"/>
        <w:rPr>
          <w:sz w:val="28"/>
          <w:szCs w:val="28"/>
        </w:rPr>
      </w:pPr>
      <w:r w:rsidRPr="00467F9C">
        <w:rPr>
          <w:b/>
          <w:bCs/>
          <w:sz w:val="28"/>
          <w:szCs w:val="28"/>
        </w:rPr>
        <w:t xml:space="preserve">Основание для проведения экспертно-аналитического мероприятия: </w:t>
      </w:r>
      <w:r w:rsidRPr="00467F9C">
        <w:rPr>
          <w:bCs/>
          <w:sz w:val="28"/>
          <w:szCs w:val="28"/>
        </w:rPr>
        <w:t>П</w:t>
      </w:r>
      <w:r w:rsidRPr="00467F9C">
        <w:rPr>
          <w:sz w:val="28"/>
          <w:szCs w:val="28"/>
        </w:rPr>
        <w:t>ункт 2.10. Плана работы Счетной палаты Чукотского автономного округа (далее – Счетная палата) на 2022 год, утвержденного решением Коллегии Счетной палаты (протокол от 28 декабря 2021 года №32).</w:t>
      </w:r>
    </w:p>
    <w:p w:rsidR="00191861" w:rsidRPr="00467F9C" w:rsidRDefault="00191861" w:rsidP="00191861">
      <w:pPr>
        <w:spacing w:before="60"/>
        <w:ind w:left="57" w:right="57" w:firstLine="652"/>
        <w:jc w:val="both"/>
        <w:rPr>
          <w:sz w:val="28"/>
          <w:szCs w:val="28"/>
        </w:rPr>
      </w:pPr>
      <w:r w:rsidRPr="00467F9C">
        <w:rPr>
          <w:b/>
          <w:bCs/>
          <w:sz w:val="28"/>
          <w:szCs w:val="28"/>
        </w:rPr>
        <w:t xml:space="preserve">Предмет экспертно-аналитического мероприятия - </w:t>
      </w:r>
      <w:r w:rsidRPr="00467F9C">
        <w:rPr>
          <w:sz w:val="28"/>
          <w:szCs w:val="28"/>
        </w:rPr>
        <w:t>деятельность исполнительных органов государственной власти округа по реализации региональных проектов в Чукотском автономном округе в 2021 году.</w:t>
      </w:r>
    </w:p>
    <w:p w:rsidR="00191861" w:rsidRPr="00467F9C" w:rsidRDefault="00191861" w:rsidP="00191861">
      <w:pPr>
        <w:spacing w:before="60"/>
        <w:ind w:left="57" w:right="57" w:firstLine="652"/>
        <w:jc w:val="both"/>
        <w:rPr>
          <w:sz w:val="28"/>
          <w:szCs w:val="28"/>
        </w:rPr>
      </w:pPr>
      <w:r w:rsidRPr="00467F9C">
        <w:rPr>
          <w:b/>
          <w:bCs/>
          <w:sz w:val="28"/>
          <w:szCs w:val="28"/>
        </w:rPr>
        <w:t xml:space="preserve">Цель экспертно-аналитического мероприятия - </w:t>
      </w:r>
      <w:r w:rsidRPr="00467F9C">
        <w:rPr>
          <w:sz w:val="28"/>
          <w:szCs w:val="28"/>
        </w:rPr>
        <w:t>оценка результатов реализации региональных проектов за 2021 год.</w:t>
      </w:r>
    </w:p>
    <w:p w:rsidR="00191861" w:rsidRPr="00467F9C" w:rsidRDefault="00191861" w:rsidP="00191861">
      <w:pPr>
        <w:spacing w:before="60"/>
        <w:ind w:left="57" w:right="57" w:firstLine="652"/>
        <w:jc w:val="both"/>
        <w:rPr>
          <w:b/>
          <w:sz w:val="28"/>
          <w:szCs w:val="28"/>
        </w:rPr>
      </w:pPr>
      <w:r w:rsidRPr="00467F9C">
        <w:rPr>
          <w:b/>
          <w:sz w:val="28"/>
          <w:szCs w:val="28"/>
        </w:rPr>
        <w:t>Вопросы:</w:t>
      </w:r>
    </w:p>
    <w:p w:rsidR="00191861" w:rsidRPr="00467F9C" w:rsidRDefault="00191861" w:rsidP="00191861">
      <w:pPr>
        <w:ind w:left="57" w:right="57" w:firstLine="651"/>
        <w:jc w:val="both"/>
        <w:rPr>
          <w:sz w:val="28"/>
          <w:szCs w:val="28"/>
        </w:rPr>
      </w:pPr>
      <w:r w:rsidRPr="00467F9C">
        <w:rPr>
          <w:sz w:val="28"/>
          <w:szCs w:val="28"/>
        </w:rPr>
        <w:t>1. Общие итоги реализации региональных проектов в 2021 году.</w:t>
      </w:r>
    </w:p>
    <w:p w:rsidR="00191861" w:rsidRPr="00467F9C" w:rsidRDefault="00191861" w:rsidP="00191861">
      <w:pPr>
        <w:ind w:left="57" w:right="57"/>
        <w:jc w:val="both"/>
        <w:rPr>
          <w:sz w:val="28"/>
          <w:szCs w:val="28"/>
        </w:rPr>
      </w:pPr>
      <w:r w:rsidRPr="00467F9C">
        <w:rPr>
          <w:sz w:val="28"/>
          <w:szCs w:val="28"/>
        </w:rPr>
        <w:tab/>
        <w:t>2. Исполнение региональных проектов Чукотского автономного округа за 2021 год.</w:t>
      </w:r>
    </w:p>
    <w:p w:rsidR="00191861" w:rsidRPr="00467F9C" w:rsidRDefault="00191861" w:rsidP="00191861">
      <w:pPr>
        <w:spacing w:before="60"/>
        <w:ind w:left="57" w:right="57" w:firstLine="652"/>
        <w:jc w:val="both"/>
        <w:rPr>
          <w:bCs/>
          <w:sz w:val="28"/>
          <w:szCs w:val="28"/>
        </w:rPr>
      </w:pPr>
      <w:r w:rsidRPr="00467F9C">
        <w:rPr>
          <w:b/>
          <w:sz w:val="28"/>
          <w:szCs w:val="28"/>
        </w:rPr>
        <w:t xml:space="preserve">Объекты </w:t>
      </w:r>
      <w:r w:rsidRPr="00467F9C">
        <w:rPr>
          <w:b/>
          <w:bCs/>
          <w:sz w:val="28"/>
          <w:szCs w:val="28"/>
        </w:rPr>
        <w:t xml:space="preserve">экспертно-аналитического мероприятия - </w:t>
      </w:r>
      <w:r w:rsidRPr="00467F9C">
        <w:rPr>
          <w:bCs/>
          <w:sz w:val="28"/>
          <w:szCs w:val="28"/>
        </w:rPr>
        <w:t>Департамент финансов, экономики и имущественных отношений Чукотского автономного округа (далее – Департамент финансов), главные распорядители средств окружного бюджета, ответственные за реализацию мероприятий региональных проектов Чукотского автономного округа.</w:t>
      </w:r>
    </w:p>
    <w:p w:rsidR="00191861" w:rsidRPr="00467F9C" w:rsidRDefault="00191861" w:rsidP="00191861">
      <w:pPr>
        <w:spacing w:before="60"/>
        <w:ind w:left="57" w:right="57" w:firstLine="652"/>
        <w:jc w:val="both"/>
        <w:rPr>
          <w:sz w:val="28"/>
          <w:szCs w:val="28"/>
        </w:rPr>
      </w:pPr>
      <w:r w:rsidRPr="00467F9C">
        <w:rPr>
          <w:b/>
          <w:bCs/>
          <w:sz w:val="28"/>
          <w:szCs w:val="28"/>
        </w:rPr>
        <w:t>Исследуемый период</w:t>
      </w:r>
      <w:r w:rsidRPr="00467F9C">
        <w:rPr>
          <w:bCs/>
          <w:sz w:val="28"/>
          <w:szCs w:val="28"/>
        </w:rPr>
        <w:t>: 2021 год.</w:t>
      </w:r>
    </w:p>
    <w:p w:rsidR="00191861" w:rsidRPr="00467F9C" w:rsidRDefault="00191861" w:rsidP="00191861">
      <w:pPr>
        <w:spacing w:before="60"/>
        <w:ind w:left="57" w:right="57" w:firstLine="652"/>
        <w:jc w:val="both"/>
        <w:rPr>
          <w:bCs/>
          <w:sz w:val="28"/>
          <w:szCs w:val="28"/>
        </w:rPr>
      </w:pPr>
      <w:r w:rsidRPr="00467F9C">
        <w:rPr>
          <w:b/>
          <w:bCs/>
          <w:sz w:val="28"/>
          <w:szCs w:val="28"/>
        </w:rPr>
        <w:t xml:space="preserve">Срок проведения экспертно-аналитического </w:t>
      </w:r>
      <w:proofErr w:type="gramStart"/>
      <w:r w:rsidRPr="00467F9C">
        <w:rPr>
          <w:b/>
          <w:bCs/>
          <w:sz w:val="28"/>
          <w:szCs w:val="28"/>
        </w:rPr>
        <w:t xml:space="preserve">мероприятия:   </w:t>
      </w:r>
      <w:proofErr w:type="gramEnd"/>
      <w:r w:rsidRPr="00467F9C">
        <w:rPr>
          <w:b/>
          <w:bCs/>
          <w:sz w:val="28"/>
          <w:szCs w:val="28"/>
        </w:rPr>
        <w:t xml:space="preserve">                                      </w:t>
      </w:r>
      <w:r w:rsidRPr="00467F9C">
        <w:rPr>
          <w:bCs/>
          <w:sz w:val="28"/>
          <w:szCs w:val="28"/>
        </w:rPr>
        <w:t>с 6 по 25 апреля 2022 года.</w:t>
      </w:r>
    </w:p>
    <w:p w:rsidR="00191861" w:rsidRPr="00467F9C" w:rsidRDefault="00191861" w:rsidP="00191861">
      <w:pPr>
        <w:ind w:left="57" w:right="57" w:firstLine="651"/>
        <w:jc w:val="both"/>
        <w:rPr>
          <w:sz w:val="28"/>
          <w:szCs w:val="28"/>
        </w:rPr>
      </w:pPr>
      <w:r w:rsidRPr="00467F9C">
        <w:rPr>
          <w:sz w:val="28"/>
          <w:szCs w:val="28"/>
        </w:rPr>
        <w:t>В данном отчете используются следующие сокращения:</w:t>
      </w:r>
    </w:p>
    <w:p w:rsidR="00191861" w:rsidRPr="00467F9C" w:rsidRDefault="00191861" w:rsidP="00191861">
      <w:pPr>
        <w:ind w:left="57" w:right="57" w:firstLine="651"/>
        <w:jc w:val="both"/>
        <w:rPr>
          <w:sz w:val="28"/>
          <w:szCs w:val="28"/>
        </w:rPr>
      </w:pPr>
      <w:r w:rsidRPr="00467F9C">
        <w:rPr>
          <w:sz w:val="28"/>
          <w:szCs w:val="28"/>
        </w:rPr>
        <w:t>Национальный проект – нацпроект, НП;</w:t>
      </w:r>
    </w:p>
    <w:p w:rsidR="00191861" w:rsidRPr="00467F9C" w:rsidRDefault="00191861" w:rsidP="00191861">
      <w:pPr>
        <w:ind w:left="57" w:right="57" w:firstLine="651"/>
        <w:jc w:val="both"/>
        <w:rPr>
          <w:sz w:val="28"/>
          <w:szCs w:val="28"/>
        </w:rPr>
      </w:pPr>
      <w:r w:rsidRPr="00467F9C">
        <w:rPr>
          <w:sz w:val="28"/>
          <w:szCs w:val="28"/>
        </w:rPr>
        <w:t xml:space="preserve">Региональный проект – </w:t>
      </w:r>
      <w:proofErr w:type="spellStart"/>
      <w:r w:rsidRPr="00467F9C">
        <w:rPr>
          <w:sz w:val="28"/>
          <w:szCs w:val="28"/>
        </w:rPr>
        <w:t>регпроект</w:t>
      </w:r>
      <w:proofErr w:type="spellEnd"/>
      <w:r w:rsidRPr="00467F9C">
        <w:rPr>
          <w:sz w:val="28"/>
          <w:szCs w:val="28"/>
        </w:rPr>
        <w:t>, РП;</w:t>
      </w:r>
    </w:p>
    <w:p w:rsidR="00191861" w:rsidRPr="00467F9C" w:rsidRDefault="00191861" w:rsidP="00191861">
      <w:pPr>
        <w:ind w:left="57" w:right="57" w:firstLine="651"/>
        <w:jc w:val="both"/>
        <w:rPr>
          <w:sz w:val="28"/>
          <w:szCs w:val="28"/>
        </w:rPr>
      </w:pPr>
      <w:r w:rsidRPr="00467F9C">
        <w:rPr>
          <w:sz w:val="28"/>
          <w:szCs w:val="28"/>
        </w:rPr>
        <w:t>Сводная бюджетная роспись – СБР.</w:t>
      </w:r>
    </w:p>
    <w:p w:rsidR="00191861" w:rsidRPr="00467F9C" w:rsidRDefault="00191861" w:rsidP="00191861">
      <w:pPr>
        <w:ind w:left="57" w:right="57"/>
        <w:jc w:val="both"/>
        <w:rPr>
          <w:sz w:val="28"/>
          <w:szCs w:val="28"/>
          <w:highlight w:val="yellow"/>
        </w:rPr>
      </w:pPr>
    </w:p>
    <w:p w:rsidR="00191861" w:rsidRPr="00467F9C" w:rsidRDefault="00191861" w:rsidP="00191861">
      <w:pPr>
        <w:ind w:left="57" w:right="57" w:firstLine="651"/>
        <w:jc w:val="both"/>
        <w:rPr>
          <w:sz w:val="28"/>
          <w:szCs w:val="28"/>
        </w:rPr>
      </w:pPr>
      <w:r w:rsidRPr="00467F9C">
        <w:rPr>
          <w:sz w:val="28"/>
          <w:szCs w:val="28"/>
        </w:rPr>
        <w:t xml:space="preserve">Экспертно-аналитическое мероприятие проведено Счетной палатой в соответствии с полномочиями по внешнему государственному финансовому контролю, возложенными Законом Чукотского автономного округа от 30 июня 1998 года №36-ОЗ «О Счетной палате Чукотского автономного округа», требованиями Федерального закона 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в части обеспечения системного мониторинга и контроля реализации региональной составляющей национальных проектов. </w:t>
      </w:r>
    </w:p>
    <w:p w:rsidR="00191861" w:rsidRPr="00467F9C" w:rsidRDefault="00191861" w:rsidP="00191861">
      <w:pPr>
        <w:ind w:left="57" w:right="57" w:firstLine="651"/>
        <w:jc w:val="both"/>
        <w:rPr>
          <w:sz w:val="28"/>
          <w:szCs w:val="28"/>
        </w:rPr>
      </w:pPr>
      <w:r w:rsidRPr="00467F9C">
        <w:rPr>
          <w:sz w:val="28"/>
          <w:szCs w:val="28"/>
        </w:rPr>
        <w:t xml:space="preserve">Экспертно-аналитическое мероприятие проводилось по материалам, размещенным в официальных источниках информации (ГИИС «Электронный </w:t>
      </w:r>
      <w:r w:rsidRPr="00467F9C">
        <w:rPr>
          <w:sz w:val="28"/>
          <w:szCs w:val="28"/>
        </w:rPr>
        <w:lastRenderedPageBreak/>
        <w:t>бюджет») и предоставленным объектами </w:t>
      </w:r>
      <w:r w:rsidRPr="00467F9C">
        <w:rPr>
          <w:rFonts w:eastAsia="Calibri"/>
          <w:sz w:val="28"/>
          <w:szCs w:val="28"/>
        </w:rPr>
        <w:t xml:space="preserve">отчетов об исполнении региональных проектов за 2021 год, </w:t>
      </w:r>
      <w:r w:rsidRPr="00467F9C">
        <w:rPr>
          <w:sz w:val="28"/>
          <w:szCs w:val="28"/>
        </w:rPr>
        <w:t xml:space="preserve">отчетов об исполнении государственных программ Чукотского автономного округа за 2021 год. </w:t>
      </w:r>
    </w:p>
    <w:p w:rsidR="00191861" w:rsidRPr="00467F9C" w:rsidRDefault="00191861" w:rsidP="00191861">
      <w:pPr>
        <w:spacing w:before="120" w:after="120"/>
        <w:ind w:left="57" w:right="57"/>
        <w:jc w:val="both"/>
        <w:rPr>
          <w:b/>
          <w:sz w:val="28"/>
          <w:szCs w:val="28"/>
        </w:rPr>
      </w:pPr>
      <w:r w:rsidRPr="00467F9C">
        <w:rPr>
          <w:sz w:val="28"/>
          <w:szCs w:val="28"/>
        </w:rPr>
        <w:tab/>
      </w:r>
      <w:r w:rsidRPr="00467F9C">
        <w:rPr>
          <w:b/>
          <w:sz w:val="28"/>
          <w:szCs w:val="28"/>
        </w:rPr>
        <w:t>1.</w:t>
      </w:r>
      <w:r w:rsidRPr="00467F9C">
        <w:rPr>
          <w:sz w:val="28"/>
          <w:szCs w:val="28"/>
        </w:rPr>
        <w:t> </w:t>
      </w:r>
      <w:r w:rsidRPr="00467F9C">
        <w:rPr>
          <w:b/>
          <w:sz w:val="28"/>
          <w:szCs w:val="28"/>
        </w:rPr>
        <w:t>Общие итоги реализации региональных проектов в 2021 году</w:t>
      </w:r>
    </w:p>
    <w:p w:rsidR="00191861" w:rsidRPr="00467F9C" w:rsidRDefault="00191861" w:rsidP="00191861">
      <w:pPr>
        <w:ind w:left="57" w:right="57" w:firstLine="651"/>
        <w:jc w:val="both"/>
        <w:rPr>
          <w:sz w:val="28"/>
          <w:szCs w:val="28"/>
        </w:rPr>
      </w:pPr>
      <w:r w:rsidRPr="00467F9C">
        <w:rPr>
          <w:sz w:val="28"/>
          <w:szCs w:val="28"/>
        </w:rPr>
        <w:t xml:space="preserve">В рамках проведения отдельных мероприятий национальных проектов, разработанных на федеральном уровне в соответствии с Указом Президента Российской Федерации от 7 мая 2018 года №204 «О национальных целях и стратегических задачах развития Российской Федерации на период до 2024 года», разработаны региональные проекты Чукотского автономного округа, мероприятия которых включены в государственные программы Чукотского автономного округа.  </w:t>
      </w:r>
    </w:p>
    <w:p w:rsidR="00191861" w:rsidRPr="00467F9C" w:rsidRDefault="00191861" w:rsidP="00191861">
      <w:pPr>
        <w:ind w:left="57" w:right="57" w:firstLine="651"/>
        <w:jc w:val="both"/>
        <w:rPr>
          <w:sz w:val="28"/>
          <w:szCs w:val="28"/>
        </w:rPr>
      </w:pPr>
      <w:r w:rsidRPr="00467F9C">
        <w:rPr>
          <w:sz w:val="28"/>
          <w:szCs w:val="28"/>
        </w:rPr>
        <w:t>Региональный проект - проект, обеспечивающий достижение целей, показателей и результатов в соответствии с задачами стратегического развития Чукотского автономного округа, в том числе реализуемый в рамках федерального проекта, мероприятия которого относятся к законодательно установленным полномочиям Чукотского автономного округа, а также к вопросам местного значения муниципальных образований Чукотского автономного округа</w:t>
      </w:r>
      <w:r w:rsidRPr="00467F9C">
        <w:rPr>
          <w:rStyle w:val="ab"/>
          <w:sz w:val="28"/>
          <w:szCs w:val="28"/>
        </w:rPr>
        <w:footnoteReference w:id="113"/>
      </w:r>
      <w:r w:rsidRPr="00467F9C">
        <w:rPr>
          <w:sz w:val="28"/>
          <w:szCs w:val="28"/>
        </w:rPr>
        <w:t>.</w:t>
      </w:r>
    </w:p>
    <w:p w:rsidR="00191861" w:rsidRPr="00467F9C" w:rsidRDefault="00191861" w:rsidP="00191861">
      <w:pPr>
        <w:ind w:left="57" w:right="57" w:firstLine="651"/>
        <w:jc w:val="both"/>
        <w:rPr>
          <w:sz w:val="28"/>
          <w:szCs w:val="28"/>
        </w:rPr>
      </w:pPr>
      <w:r w:rsidRPr="00467F9C">
        <w:rPr>
          <w:sz w:val="28"/>
          <w:szCs w:val="28"/>
        </w:rPr>
        <w:t>Организацию проектной деятельности в Чукотском автономном округе и межведомственное взаимодействие в процессе подготовки и реализации региональных проектов осуществляет уполномоченный исполнительный орган государственной власти Чукотского автономного округа - Проектный офис. Функции регионального проектного офиса Чукотского автономного округа осуществляет Департамент финансов. Деятельность Проектного офиса регулируется Постановлением №286.</w:t>
      </w:r>
    </w:p>
    <w:p w:rsidR="00191861" w:rsidRPr="00467F9C" w:rsidRDefault="00191861" w:rsidP="00191861">
      <w:pPr>
        <w:ind w:left="57" w:right="57" w:firstLine="651"/>
        <w:jc w:val="both"/>
        <w:rPr>
          <w:sz w:val="28"/>
          <w:szCs w:val="28"/>
        </w:rPr>
      </w:pPr>
      <w:r w:rsidRPr="00467F9C">
        <w:rPr>
          <w:sz w:val="28"/>
          <w:szCs w:val="28"/>
        </w:rPr>
        <w:t xml:space="preserve">Формирование, согласование (одобрение), утверждение и представление паспортов региональных проектов, запросов на изменение паспортов региональных проектов, ежемесячных, ежеквартальных и итоговых отчетов об их реализации, а также иных документов и информации, разрабатываемых при осуществлении проектной деятельности осуществляются в подсистеме управления национальными проектами государственной интегрированной информационной системы управления общественными финансами «Электронный бюджет» на основании соглашений о реализации региональных проектов, заключенных между отраслевым министерством РФ и Правительством Чукотского автономного округа. Проектный офис ежемесячно осуществляет мониторинг реализации РП в ГИИС «Электронный бюджет». </w:t>
      </w:r>
    </w:p>
    <w:p w:rsidR="00191861" w:rsidRPr="00467F9C" w:rsidRDefault="00191861" w:rsidP="00191861">
      <w:pPr>
        <w:ind w:left="57" w:right="57" w:firstLine="651"/>
        <w:jc w:val="both"/>
        <w:rPr>
          <w:sz w:val="28"/>
          <w:szCs w:val="28"/>
        </w:rPr>
      </w:pPr>
      <w:r w:rsidRPr="00467F9C">
        <w:rPr>
          <w:sz w:val="28"/>
          <w:szCs w:val="28"/>
        </w:rPr>
        <w:t>Счетная палата отмечает, что рекомендации Счетной палаты, направленные (дважды) Правительству Чукотского автономного округа по результатам экспертно-аналитических мероприятий</w:t>
      </w:r>
      <w:r w:rsidRPr="00467F9C">
        <w:rPr>
          <w:rStyle w:val="ab"/>
          <w:sz w:val="28"/>
          <w:szCs w:val="28"/>
        </w:rPr>
        <w:footnoteReference w:id="114"/>
      </w:r>
      <w:r w:rsidRPr="00467F9C">
        <w:rPr>
          <w:sz w:val="28"/>
          <w:szCs w:val="28"/>
        </w:rPr>
        <w:t xml:space="preserve"> в части внесения изменений в Постановление №286, устанавливающие обязанность руководителей региональных проектов ежеквартально представлять данные о фактическом выполнении мероприятий региональных проектов и Проектного офиса </w:t>
      </w:r>
      <w:r w:rsidRPr="00467F9C">
        <w:rPr>
          <w:sz w:val="28"/>
          <w:szCs w:val="28"/>
        </w:rPr>
        <w:lastRenderedPageBreak/>
        <w:t>осуществлять контроль за фактически достигнутыми результатами реализации РП, не учтены. Действующая как на федеральном, так и на региональном уровне система оценки реализации мероприятий региональных проектов по кассовому исполнению направленных на их реализацию бюджетных ассигнований, не информативна, так как в общем объеме кассовых расходов отражаются, в том числе, авансовые платежи по государственным и муниципальным контрактам, гранты и межбюджетные трансферты в форме субсидий, неиспользованные остатки по которым могут быть возвращены в бюджет по истечении отчетного финансового года.</w:t>
      </w:r>
    </w:p>
    <w:p w:rsidR="00191861" w:rsidRPr="00467F9C" w:rsidRDefault="00191861" w:rsidP="00191861">
      <w:pPr>
        <w:ind w:left="57" w:right="57" w:firstLine="651"/>
        <w:jc w:val="both"/>
        <w:rPr>
          <w:sz w:val="28"/>
          <w:szCs w:val="28"/>
        </w:rPr>
      </w:pPr>
      <w:r w:rsidRPr="00467F9C">
        <w:rPr>
          <w:sz w:val="28"/>
          <w:szCs w:val="28"/>
        </w:rPr>
        <w:t>Реализация региональных проектов в рамках национальных проектов в Чукотском автономном округе предусмотрена на период 2019-2024 годов с объемом финансовых ресурсов в сумме 14 312,6 млн. рублей</w:t>
      </w:r>
      <w:r w:rsidRPr="00467F9C">
        <w:rPr>
          <w:rStyle w:val="ab"/>
          <w:sz w:val="28"/>
          <w:szCs w:val="28"/>
        </w:rPr>
        <w:footnoteReference w:id="115"/>
      </w:r>
      <w:r w:rsidRPr="00467F9C">
        <w:rPr>
          <w:sz w:val="28"/>
          <w:szCs w:val="28"/>
        </w:rPr>
        <w:t xml:space="preserve"> (таблица 1), из них 9 244,6 млн. рублей или 64,6% предполагается направить на строительство объектов социальной инфраструктуры (школы, детский сад, спортивные площадки) и жилья. </w:t>
      </w:r>
    </w:p>
    <w:p w:rsidR="00191861" w:rsidRPr="00467F9C" w:rsidRDefault="00191861" w:rsidP="00191861">
      <w:pPr>
        <w:ind w:left="7791" w:right="57"/>
        <w:jc w:val="both"/>
        <w:rPr>
          <w:noProof/>
          <w:sz w:val="28"/>
          <w:szCs w:val="28"/>
        </w:rPr>
      </w:pPr>
      <w:r w:rsidRPr="00467F9C">
        <w:rPr>
          <w:noProof/>
          <w:sz w:val="28"/>
          <w:szCs w:val="28"/>
        </w:rPr>
        <w:t>Таблица №1    (млн.рублей)</w:t>
      </w:r>
    </w:p>
    <w:tbl>
      <w:tblPr>
        <w:tblW w:w="9900" w:type="dxa"/>
        <w:tblLook w:val="04A0" w:firstRow="1" w:lastRow="0" w:firstColumn="1" w:lastColumn="0" w:noHBand="0" w:noVBand="1"/>
      </w:tblPr>
      <w:tblGrid>
        <w:gridCol w:w="2689"/>
        <w:gridCol w:w="596"/>
        <w:gridCol w:w="1075"/>
        <w:gridCol w:w="1065"/>
        <w:gridCol w:w="1140"/>
        <w:gridCol w:w="1281"/>
        <w:gridCol w:w="1118"/>
        <w:gridCol w:w="936"/>
      </w:tblGrid>
      <w:tr w:rsidR="00467F9C" w:rsidRPr="00E85676" w:rsidTr="00E85676">
        <w:trPr>
          <w:trHeight w:val="517"/>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91861" w:rsidRPr="00E85676" w:rsidRDefault="00191861" w:rsidP="00191861">
            <w:pPr>
              <w:ind w:left="57" w:right="57"/>
              <w:jc w:val="center"/>
              <w:rPr>
                <w:b/>
                <w:bCs/>
                <w:sz w:val="20"/>
                <w:szCs w:val="20"/>
              </w:rPr>
            </w:pPr>
            <w:r w:rsidRPr="00E85676">
              <w:rPr>
                <w:b/>
                <w:bCs/>
                <w:sz w:val="20"/>
                <w:szCs w:val="20"/>
              </w:rPr>
              <w:t>Наименование национального проекта</w:t>
            </w:r>
          </w:p>
        </w:tc>
        <w:tc>
          <w:tcPr>
            <w:tcW w:w="5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91861" w:rsidRPr="00E85676" w:rsidRDefault="00191861" w:rsidP="00E85676">
            <w:pPr>
              <w:ind w:left="-69" w:firstLine="19"/>
              <w:jc w:val="center"/>
              <w:rPr>
                <w:b/>
                <w:bCs/>
                <w:sz w:val="20"/>
                <w:szCs w:val="20"/>
              </w:rPr>
            </w:pPr>
            <w:r w:rsidRPr="00E85676">
              <w:rPr>
                <w:b/>
                <w:bCs/>
                <w:sz w:val="20"/>
                <w:szCs w:val="20"/>
              </w:rPr>
              <w:t xml:space="preserve">РП, </w:t>
            </w:r>
            <w:proofErr w:type="spellStart"/>
            <w:r w:rsidRPr="00E85676">
              <w:rPr>
                <w:b/>
                <w:bCs/>
                <w:sz w:val="20"/>
                <w:szCs w:val="20"/>
              </w:rPr>
              <w:t>ед</w:t>
            </w:r>
            <w:proofErr w:type="spellEnd"/>
          </w:p>
        </w:tc>
        <w:tc>
          <w:tcPr>
            <w:tcW w:w="21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91861" w:rsidRPr="00E85676" w:rsidRDefault="00191861" w:rsidP="00191861">
            <w:pPr>
              <w:ind w:left="57" w:right="57"/>
              <w:jc w:val="center"/>
              <w:rPr>
                <w:b/>
                <w:bCs/>
                <w:sz w:val="20"/>
                <w:szCs w:val="20"/>
              </w:rPr>
            </w:pPr>
            <w:r w:rsidRPr="00E85676">
              <w:rPr>
                <w:b/>
                <w:bCs/>
                <w:sz w:val="20"/>
                <w:szCs w:val="20"/>
              </w:rPr>
              <w:t>Утверждено Паспортом</w:t>
            </w:r>
          </w:p>
          <w:p w:rsidR="00191861" w:rsidRPr="00E85676" w:rsidRDefault="00191861" w:rsidP="00191861">
            <w:pPr>
              <w:ind w:left="57" w:right="57"/>
              <w:jc w:val="center"/>
              <w:rPr>
                <w:b/>
                <w:bCs/>
                <w:sz w:val="20"/>
                <w:szCs w:val="20"/>
              </w:rPr>
            </w:pPr>
            <w:r w:rsidRPr="00E85676">
              <w:rPr>
                <w:b/>
                <w:bCs/>
                <w:sz w:val="20"/>
                <w:szCs w:val="20"/>
              </w:rPr>
              <w:t>на 2019-2024 годы</w:t>
            </w:r>
          </w:p>
        </w:tc>
        <w:tc>
          <w:tcPr>
            <w:tcW w:w="4475"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91861" w:rsidRPr="00E85676" w:rsidRDefault="00191861" w:rsidP="00191861">
            <w:pPr>
              <w:ind w:left="57" w:right="57"/>
              <w:jc w:val="center"/>
              <w:rPr>
                <w:b/>
                <w:bCs/>
                <w:sz w:val="20"/>
                <w:szCs w:val="20"/>
              </w:rPr>
            </w:pPr>
            <w:r w:rsidRPr="00E85676">
              <w:rPr>
                <w:b/>
                <w:bCs/>
                <w:sz w:val="20"/>
                <w:szCs w:val="20"/>
              </w:rPr>
              <w:t>Всего с начала реализации РП за 2019-2021 г</w:t>
            </w:r>
            <w:r w:rsidRPr="00E85676">
              <w:rPr>
                <w:b/>
                <w:bCs/>
                <w:sz w:val="20"/>
                <w:szCs w:val="20"/>
              </w:rPr>
              <w:br/>
              <w:t>(Форма 0503117)</w:t>
            </w:r>
          </w:p>
        </w:tc>
      </w:tr>
      <w:tr w:rsidR="00467F9C" w:rsidRPr="00E85676" w:rsidTr="00AF6309">
        <w:trPr>
          <w:trHeight w:val="517"/>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191861" w:rsidRPr="00E85676" w:rsidRDefault="00191861" w:rsidP="00191861">
            <w:pPr>
              <w:ind w:left="57" w:right="57"/>
              <w:jc w:val="both"/>
              <w:rPr>
                <w:b/>
                <w:bCs/>
                <w:sz w:val="20"/>
                <w:szCs w:val="20"/>
              </w:rPr>
            </w:pPr>
          </w:p>
        </w:tc>
        <w:tc>
          <w:tcPr>
            <w:tcW w:w="596" w:type="dxa"/>
            <w:vMerge/>
            <w:tcBorders>
              <w:top w:val="single" w:sz="4" w:space="0" w:color="auto"/>
              <w:left w:val="single" w:sz="4" w:space="0" w:color="auto"/>
              <w:bottom w:val="single" w:sz="4" w:space="0" w:color="000000"/>
              <w:right w:val="single" w:sz="4" w:space="0" w:color="auto"/>
            </w:tcBorders>
            <w:vAlign w:val="center"/>
            <w:hideMark/>
          </w:tcPr>
          <w:p w:rsidR="00191861" w:rsidRPr="00E85676" w:rsidRDefault="00191861" w:rsidP="00191861">
            <w:pPr>
              <w:ind w:left="57" w:right="57"/>
              <w:jc w:val="both"/>
              <w:rPr>
                <w:b/>
                <w:bCs/>
                <w:sz w:val="20"/>
                <w:szCs w:val="20"/>
              </w:rPr>
            </w:pPr>
          </w:p>
        </w:tc>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rsidR="00191861" w:rsidRPr="00E85676" w:rsidRDefault="00191861" w:rsidP="00191861">
            <w:pPr>
              <w:ind w:left="57" w:right="57"/>
              <w:jc w:val="both"/>
              <w:rPr>
                <w:b/>
                <w:bCs/>
                <w:sz w:val="20"/>
                <w:szCs w:val="20"/>
              </w:rPr>
            </w:pPr>
          </w:p>
        </w:tc>
        <w:tc>
          <w:tcPr>
            <w:tcW w:w="4475" w:type="dxa"/>
            <w:gridSpan w:val="4"/>
            <w:vMerge/>
            <w:tcBorders>
              <w:top w:val="single" w:sz="4" w:space="0" w:color="auto"/>
              <w:left w:val="single" w:sz="4" w:space="0" w:color="auto"/>
              <w:bottom w:val="single" w:sz="4" w:space="0" w:color="auto"/>
              <w:right w:val="single" w:sz="4" w:space="0" w:color="auto"/>
            </w:tcBorders>
            <w:vAlign w:val="center"/>
            <w:hideMark/>
          </w:tcPr>
          <w:p w:rsidR="00191861" w:rsidRPr="00E85676" w:rsidRDefault="00191861" w:rsidP="00191861">
            <w:pPr>
              <w:ind w:left="57" w:right="57"/>
              <w:jc w:val="both"/>
              <w:rPr>
                <w:b/>
                <w:bCs/>
                <w:sz w:val="20"/>
                <w:szCs w:val="20"/>
              </w:rPr>
            </w:pPr>
          </w:p>
        </w:tc>
      </w:tr>
      <w:tr w:rsidR="00467F9C" w:rsidRPr="00E85676" w:rsidTr="00E85676">
        <w:trPr>
          <w:trHeight w:val="407"/>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191861" w:rsidRPr="00E85676" w:rsidRDefault="00191861" w:rsidP="00191861">
            <w:pPr>
              <w:ind w:left="57" w:right="57"/>
              <w:jc w:val="both"/>
              <w:rPr>
                <w:b/>
                <w:bCs/>
                <w:sz w:val="20"/>
                <w:szCs w:val="20"/>
              </w:rPr>
            </w:pPr>
          </w:p>
        </w:tc>
        <w:tc>
          <w:tcPr>
            <w:tcW w:w="596" w:type="dxa"/>
            <w:vMerge/>
            <w:tcBorders>
              <w:top w:val="single" w:sz="4" w:space="0" w:color="auto"/>
              <w:left w:val="single" w:sz="4" w:space="0" w:color="auto"/>
              <w:bottom w:val="single" w:sz="4" w:space="0" w:color="000000"/>
              <w:right w:val="single" w:sz="4" w:space="0" w:color="auto"/>
            </w:tcBorders>
            <w:vAlign w:val="center"/>
            <w:hideMark/>
          </w:tcPr>
          <w:p w:rsidR="00191861" w:rsidRPr="00E85676" w:rsidRDefault="00191861" w:rsidP="00191861">
            <w:pPr>
              <w:ind w:left="57" w:right="57"/>
              <w:jc w:val="both"/>
              <w:rPr>
                <w:b/>
                <w:bCs/>
                <w:sz w:val="20"/>
                <w:szCs w:val="20"/>
              </w:rPr>
            </w:pPr>
          </w:p>
        </w:tc>
        <w:tc>
          <w:tcPr>
            <w:tcW w:w="1075" w:type="dxa"/>
            <w:tcBorders>
              <w:top w:val="nil"/>
              <w:left w:val="nil"/>
              <w:bottom w:val="nil"/>
              <w:right w:val="single" w:sz="4" w:space="0" w:color="auto"/>
            </w:tcBorders>
            <w:shd w:val="clear" w:color="auto" w:fill="auto"/>
            <w:vAlign w:val="center"/>
            <w:hideMark/>
          </w:tcPr>
          <w:p w:rsidR="00191861" w:rsidRPr="00E85676" w:rsidRDefault="00191861" w:rsidP="00191861">
            <w:pPr>
              <w:ind w:left="57" w:right="57"/>
              <w:jc w:val="center"/>
              <w:rPr>
                <w:sz w:val="20"/>
                <w:szCs w:val="20"/>
              </w:rPr>
            </w:pPr>
            <w:r w:rsidRPr="00E85676">
              <w:rPr>
                <w:sz w:val="20"/>
                <w:szCs w:val="20"/>
              </w:rPr>
              <w:t>млн. руб.</w:t>
            </w:r>
          </w:p>
        </w:tc>
        <w:tc>
          <w:tcPr>
            <w:tcW w:w="1065" w:type="dxa"/>
            <w:tcBorders>
              <w:top w:val="nil"/>
              <w:left w:val="nil"/>
              <w:bottom w:val="nil"/>
              <w:right w:val="single" w:sz="4" w:space="0" w:color="auto"/>
            </w:tcBorders>
            <w:shd w:val="clear" w:color="auto" w:fill="auto"/>
            <w:vAlign w:val="center"/>
            <w:hideMark/>
          </w:tcPr>
          <w:p w:rsidR="00191861" w:rsidRPr="00E85676" w:rsidRDefault="00E85676" w:rsidP="00E85676">
            <w:pPr>
              <w:ind w:left="-192" w:right="-100"/>
              <w:jc w:val="center"/>
              <w:rPr>
                <w:sz w:val="20"/>
                <w:szCs w:val="20"/>
              </w:rPr>
            </w:pPr>
            <w:r>
              <w:rPr>
                <w:sz w:val="20"/>
                <w:szCs w:val="20"/>
              </w:rPr>
              <w:t xml:space="preserve"> </w:t>
            </w:r>
            <w:r w:rsidR="00191861" w:rsidRPr="00E85676">
              <w:rPr>
                <w:sz w:val="20"/>
                <w:szCs w:val="20"/>
              </w:rPr>
              <w:t>структура, %</w:t>
            </w:r>
          </w:p>
        </w:tc>
        <w:tc>
          <w:tcPr>
            <w:tcW w:w="1140" w:type="dxa"/>
            <w:tcBorders>
              <w:top w:val="nil"/>
              <w:left w:val="nil"/>
              <w:bottom w:val="single" w:sz="4" w:space="0" w:color="auto"/>
              <w:right w:val="single" w:sz="4" w:space="0" w:color="auto"/>
            </w:tcBorders>
            <w:shd w:val="clear" w:color="auto" w:fill="auto"/>
            <w:hideMark/>
          </w:tcPr>
          <w:p w:rsidR="00191861" w:rsidRPr="00E85676" w:rsidRDefault="00191861" w:rsidP="00E85676">
            <w:pPr>
              <w:ind w:left="-124" w:right="-133"/>
              <w:jc w:val="center"/>
              <w:rPr>
                <w:sz w:val="20"/>
                <w:szCs w:val="20"/>
              </w:rPr>
            </w:pPr>
            <w:r w:rsidRPr="00E85676">
              <w:rPr>
                <w:sz w:val="20"/>
                <w:szCs w:val="20"/>
              </w:rPr>
              <w:t>Утверждено СБР</w:t>
            </w:r>
          </w:p>
        </w:tc>
        <w:tc>
          <w:tcPr>
            <w:tcW w:w="1281" w:type="dxa"/>
            <w:tcBorders>
              <w:top w:val="nil"/>
              <w:left w:val="nil"/>
              <w:bottom w:val="single" w:sz="4" w:space="0" w:color="auto"/>
              <w:right w:val="single" w:sz="4" w:space="0" w:color="auto"/>
            </w:tcBorders>
            <w:shd w:val="clear" w:color="auto" w:fill="auto"/>
            <w:hideMark/>
          </w:tcPr>
          <w:p w:rsidR="00191861" w:rsidRPr="00E85676" w:rsidRDefault="00191861" w:rsidP="00E85676">
            <w:pPr>
              <w:ind w:left="-98" w:right="-78"/>
              <w:jc w:val="center"/>
              <w:rPr>
                <w:sz w:val="20"/>
                <w:szCs w:val="20"/>
              </w:rPr>
            </w:pPr>
            <w:r w:rsidRPr="00E85676">
              <w:rPr>
                <w:sz w:val="20"/>
                <w:szCs w:val="20"/>
              </w:rPr>
              <w:t>Поступило из ФБ, Фонда СРЖКХ</w:t>
            </w:r>
          </w:p>
        </w:tc>
        <w:tc>
          <w:tcPr>
            <w:tcW w:w="1118" w:type="dxa"/>
            <w:tcBorders>
              <w:top w:val="nil"/>
              <w:left w:val="nil"/>
              <w:bottom w:val="single" w:sz="4" w:space="0" w:color="auto"/>
              <w:right w:val="single" w:sz="4" w:space="0" w:color="auto"/>
            </w:tcBorders>
            <w:shd w:val="clear" w:color="auto" w:fill="auto"/>
            <w:hideMark/>
          </w:tcPr>
          <w:p w:rsidR="00191861" w:rsidRPr="00E85676" w:rsidRDefault="00191861" w:rsidP="00191861">
            <w:pPr>
              <w:ind w:left="-158" w:right="-72"/>
              <w:jc w:val="center"/>
              <w:rPr>
                <w:sz w:val="20"/>
                <w:szCs w:val="20"/>
              </w:rPr>
            </w:pPr>
            <w:r w:rsidRPr="00E85676">
              <w:rPr>
                <w:sz w:val="20"/>
                <w:szCs w:val="20"/>
              </w:rPr>
              <w:t xml:space="preserve">Кассовый расход </w:t>
            </w:r>
            <w:r w:rsidRPr="00E85676">
              <w:rPr>
                <w:sz w:val="20"/>
                <w:szCs w:val="20"/>
              </w:rPr>
              <w:br/>
              <w:t>(ФБ + ОБ)</w:t>
            </w:r>
          </w:p>
        </w:tc>
        <w:tc>
          <w:tcPr>
            <w:tcW w:w="936" w:type="dxa"/>
            <w:tcBorders>
              <w:top w:val="nil"/>
              <w:left w:val="nil"/>
              <w:bottom w:val="single" w:sz="4" w:space="0" w:color="auto"/>
              <w:right w:val="single" w:sz="4" w:space="0" w:color="auto"/>
            </w:tcBorders>
            <w:shd w:val="clear" w:color="auto" w:fill="auto"/>
            <w:vAlign w:val="center"/>
            <w:hideMark/>
          </w:tcPr>
          <w:p w:rsidR="00191861" w:rsidRPr="00E85676" w:rsidRDefault="00191861" w:rsidP="00E85676">
            <w:pPr>
              <w:ind w:right="-67"/>
              <w:jc w:val="center"/>
              <w:rPr>
                <w:sz w:val="20"/>
                <w:szCs w:val="20"/>
              </w:rPr>
            </w:pPr>
            <w:r w:rsidRPr="00E85676">
              <w:rPr>
                <w:sz w:val="20"/>
                <w:szCs w:val="20"/>
              </w:rPr>
              <w:t>%, гр.7/гр.5</w:t>
            </w:r>
          </w:p>
        </w:tc>
      </w:tr>
      <w:tr w:rsidR="00467F9C" w:rsidRPr="00E85676" w:rsidTr="00E85676">
        <w:trPr>
          <w:trHeight w:val="203"/>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191861" w:rsidRPr="00E85676" w:rsidRDefault="00191861" w:rsidP="00191861">
            <w:pPr>
              <w:ind w:left="57" w:right="57"/>
              <w:jc w:val="center"/>
              <w:rPr>
                <w:sz w:val="20"/>
                <w:szCs w:val="20"/>
              </w:rPr>
            </w:pPr>
            <w:r w:rsidRPr="00E85676">
              <w:rPr>
                <w:sz w:val="20"/>
                <w:szCs w:val="20"/>
              </w:rPr>
              <w:t>1</w:t>
            </w:r>
          </w:p>
        </w:tc>
        <w:tc>
          <w:tcPr>
            <w:tcW w:w="596"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2</w:t>
            </w:r>
          </w:p>
        </w:tc>
        <w:tc>
          <w:tcPr>
            <w:tcW w:w="1075" w:type="dxa"/>
            <w:tcBorders>
              <w:top w:val="single" w:sz="4" w:space="0" w:color="auto"/>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3</w:t>
            </w:r>
          </w:p>
        </w:tc>
        <w:tc>
          <w:tcPr>
            <w:tcW w:w="1065" w:type="dxa"/>
            <w:tcBorders>
              <w:top w:val="single" w:sz="4" w:space="0" w:color="auto"/>
              <w:left w:val="nil"/>
              <w:bottom w:val="single" w:sz="4" w:space="0" w:color="auto"/>
              <w:right w:val="single" w:sz="4" w:space="0" w:color="auto"/>
            </w:tcBorders>
            <w:shd w:val="clear" w:color="000000" w:fill="FFFFFF"/>
            <w:noWrap/>
            <w:vAlign w:val="center"/>
            <w:hideMark/>
          </w:tcPr>
          <w:p w:rsidR="00191861" w:rsidRPr="00E85676" w:rsidRDefault="00191861" w:rsidP="00E85676">
            <w:pPr>
              <w:ind w:left="-192" w:right="-100"/>
              <w:jc w:val="center"/>
              <w:rPr>
                <w:sz w:val="20"/>
                <w:szCs w:val="20"/>
              </w:rPr>
            </w:pPr>
            <w:r w:rsidRPr="00E85676">
              <w:rPr>
                <w:sz w:val="20"/>
                <w:szCs w:val="20"/>
              </w:rPr>
              <w:t>4</w:t>
            </w:r>
          </w:p>
        </w:tc>
        <w:tc>
          <w:tcPr>
            <w:tcW w:w="1140"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E85676">
            <w:pPr>
              <w:ind w:left="-124" w:right="-133"/>
              <w:jc w:val="center"/>
              <w:rPr>
                <w:sz w:val="20"/>
                <w:szCs w:val="20"/>
              </w:rPr>
            </w:pPr>
            <w:r w:rsidRPr="00E85676">
              <w:rPr>
                <w:sz w:val="20"/>
                <w:szCs w:val="20"/>
              </w:rPr>
              <w:t>5</w:t>
            </w:r>
          </w:p>
        </w:tc>
        <w:tc>
          <w:tcPr>
            <w:tcW w:w="1281"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6</w:t>
            </w:r>
          </w:p>
        </w:tc>
        <w:tc>
          <w:tcPr>
            <w:tcW w:w="1118"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7</w:t>
            </w:r>
          </w:p>
        </w:tc>
        <w:tc>
          <w:tcPr>
            <w:tcW w:w="936"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E85676">
            <w:pPr>
              <w:ind w:right="-67"/>
              <w:jc w:val="center"/>
              <w:rPr>
                <w:sz w:val="20"/>
                <w:szCs w:val="20"/>
              </w:rPr>
            </w:pPr>
            <w:r w:rsidRPr="00E85676">
              <w:rPr>
                <w:sz w:val="20"/>
                <w:szCs w:val="20"/>
              </w:rPr>
              <w:t>8</w:t>
            </w:r>
          </w:p>
        </w:tc>
      </w:tr>
      <w:tr w:rsidR="00467F9C" w:rsidRPr="00E85676" w:rsidTr="00E85676">
        <w:trPr>
          <w:trHeight w:val="203"/>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191861" w:rsidRPr="00E85676" w:rsidRDefault="00191861" w:rsidP="00191861">
            <w:pPr>
              <w:ind w:left="57" w:right="57"/>
              <w:jc w:val="both"/>
              <w:rPr>
                <w:sz w:val="20"/>
                <w:szCs w:val="20"/>
              </w:rPr>
            </w:pPr>
            <w:r w:rsidRPr="00E85676">
              <w:rPr>
                <w:sz w:val="20"/>
                <w:szCs w:val="20"/>
              </w:rPr>
              <w:t>Демография</w:t>
            </w:r>
          </w:p>
        </w:tc>
        <w:tc>
          <w:tcPr>
            <w:tcW w:w="596"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5</w:t>
            </w:r>
          </w:p>
        </w:tc>
        <w:tc>
          <w:tcPr>
            <w:tcW w:w="1075"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2 873,7</w:t>
            </w:r>
          </w:p>
        </w:tc>
        <w:tc>
          <w:tcPr>
            <w:tcW w:w="1065"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E85676">
            <w:pPr>
              <w:ind w:left="-192" w:right="-100"/>
              <w:jc w:val="center"/>
              <w:rPr>
                <w:sz w:val="20"/>
                <w:szCs w:val="20"/>
              </w:rPr>
            </w:pPr>
            <w:r w:rsidRPr="00E85676">
              <w:rPr>
                <w:sz w:val="20"/>
                <w:szCs w:val="20"/>
              </w:rPr>
              <w:t>20,1</w:t>
            </w:r>
          </w:p>
        </w:tc>
        <w:tc>
          <w:tcPr>
            <w:tcW w:w="1140"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E85676">
            <w:pPr>
              <w:ind w:left="-124" w:right="-133"/>
              <w:jc w:val="center"/>
              <w:rPr>
                <w:sz w:val="20"/>
                <w:szCs w:val="20"/>
              </w:rPr>
            </w:pPr>
            <w:r w:rsidRPr="00E85676">
              <w:rPr>
                <w:sz w:val="20"/>
                <w:szCs w:val="20"/>
              </w:rPr>
              <w:t>1 336,8</w:t>
            </w:r>
          </w:p>
        </w:tc>
        <w:tc>
          <w:tcPr>
            <w:tcW w:w="1281"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615,6</w:t>
            </w:r>
          </w:p>
        </w:tc>
        <w:tc>
          <w:tcPr>
            <w:tcW w:w="1118"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1 142,8</w:t>
            </w:r>
          </w:p>
        </w:tc>
        <w:tc>
          <w:tcPr>
            <w:tcW w:w="936" w:type="dxa"/>
            <w:tcBorders>
              <w:top w:val="nil"/>
              <w:left w:val="nil"/>
              <w:bottom w:val="single" w:sz="4" w:space="0" w:color="auto"/>
              <w:right w:val="single" w:sz="4" w:space="0" w:color="auto"/>
            </w:tcBorders>
            <w:shd w:val="clear" w:color="auto" w:fill="auto"/>
            <w:noWrap/>
            <w:vAlign w:val="center"/>
            <w:hideMark/>
          </w:tcPr>
          <w:p w:rsidR="00191861" w:rsidRPr="00E85676" w:rsidRDefault="00191861" w:rsidP="00E85676">
            <w:pPr>
              <w:ind w:right="-67"/>
              <w:jc w:val="center"/>
              <w:rPr>
                <w:sz w:val="20"/>
                <w:szCs w:val="20"/>
              </w:rPr>
            </w:pPr>
            <w:r w:rsidRPr="00E85676">
              <w:rPr>
                <w:sz w:val="20"/>
                <w:szCs w:val="20"/>
              </w:rPr>
              <w:t>85,5</w:t>
            </w:r>
          </w:p>
        </w:tc>
      </w:tr>
      <w:tr w:rsidR="00467F9C" w:rsidRPr="00E85676" w:rsidTr="00E85676">
        <w:trPr>
          <w:trHeight w:val="203"/>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191861" w:rsidRPr="00E85676" w:rsidRDefault="00191861" w:rsidP="00191861">
            <w:pPr>
              <w:ind w:left="57" w:right="57"/>
              <w:rPr>
                <w:sz w:val="20"/>
                <w:szCs w:val="20"/>
              </w:rPr>
            </w:pPr>
            <w:r w:rsidRPr="00E85676">
              <w:rPr>
                <w:sz w:val="20"/>
                <w:szCs w:val="20"/>
              </w:rPr>
              <w:t>Здравоохранение</w:t>
            </w:r>
          </w:p>
        </w:tc>
        <w:tc>
          <w:tcPr>
            <w:tcW w:w="596"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7</w:t>
            </w:r>
          </w:p>
        </w:tc>
        <w:tc>
          <w:tcPr>
            <w:tcW w:w="1075"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1 791,9</w:t>
            </w:r>
          </w:p>
        </w:tc>
        <w:tc>
          <w:tcPr>
            <w:tcW w:w="1065"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E85676">
            <w:pPr>
              <w:ind w:left="-192" w:right="-100"/>
              <w:jc w:val="center"/>
              <w:rPr>
                <w:sz w:val="20"/>
                <w:szCs w:val="20"/>
              </w:rPr>
            </w:pPr>
            <w:r w:rsidRPr="00E85676">
              <w:rPr>
                <w:sz w:val="20"/>
                <w:szCs w:val="20"/>
              </w:rPr>
              <w:t>12,5</w:t>
            </w:r>
          </w:p>
        </w:tc>
        <w:tc>
          <w:tcPr>
            <w:tcW w:w="1140"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E85676">
            <w:pPr>
              <w:ind w:left="-124" w:right="-133"/>
              <w:jc w:val="center"/>
              <w:rPr>
                <w:sz w:val="20"/>
                <w:szCs w:val="20"/>
              </w:rPr>
            </w:pPr>
            <w:r w:rsidRPr="00E85676">
              <w:rPr>
                <w:sz w:val="20"/>
                <w:szCs w:val="20"/>
              </w:rPr>
              <w:t>1 296,8</w:t>
            </w:r>
          </w:p>
        </w:tc>
        <w:tc>
          <w:tcPr>
            <w:tcW w:w="1281"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1 008,8</w:t>
            </w:r>
          </w:p>
        </w:tc>
        <w:tc>
          <w:tcPr>
            <w:tcW w:w="1118"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lang w:val="en-US"/>
              </w:rPr>
            </w:pPr>
            <w:r w:rsidRPr="00E85676">
              <w:rPr>
                <w:sz w:val="20"/>
                <w:szCs w:val="20"/>
              </w:rPr>
              <w:t>1 256,</w:t>
            </w:r>
            <w:r w:rsidRPr="00E85676">
              <w:rPr>
                <w:sz w:val="20"/>
                <w:szCs w:val="20"/>
                <w:lang w:val="en-US"/>
              </w:rPr>
              <w:t>1</w:t>
            </w:r>
          </w:p>
        </w:tc>
        <w:tc>
          <w:tcPr>
            <w:tcW w:w="936" w:type="dxa"/>
            <w:tcBorders>
              <w:top w:val="nil"/>
              <w:left w:val="nil"/>
              <w:bottom w:val="single" w:sz="4" w:space="0" w:color="auto"/>
              <w:right w:val="single" w:sz="4" w:space="0" w:color="auto"/>
            </w:tcBorders>
            <w:shd w:val="clear" w:color="auto" w:fill="auto"/>
            <w:noWrap/>
            <w:vAlign w:val="center"/>
            <w:hideMark/>
          </w:tcPr>
          <w:p w:rsidR="00191861" w:rsidRPr="00E85676" w:rsidRDefault="00191861" w:rsidP="00E85676">
            <w:pPr>
              <w:ind w:right="-67"/>
              <w:jc w:val="center"/>
              <w:rPr>
                <w:sz w:val="20"/>
                <w:szCs w:val="20"/>
              </w:rPr>
            </w:pPr>
            <w:r w:rsidRPr="00E85676">
              <w:rPr>
                <w:sz w:val="20"/>
                <w:szCs w:val="20"/>
              </w:rPr>
              <w:t>96,9</w:t>
            </w:r>
          </w:p>
        </w:tc>
      </w:tr>
      <w:tr w:rsidR="00467F9C" w:rsidRPr="00E85676" w:rsidTr="00E85676">
        <w:trPr>
          <w:trHeight w:val="203"/>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191861" w:rsidRPr="00E85676" w:rsidRDefault="00191861" w:rsidP="00191861">
            <w:pPr>
              <w:ind w:left="57" w:right="57"/>
              <w:rPr>
                <w:sz w:val="20"/>
                <w:szCs w:val="20"/>
              </w:rPr>
            </w:pPr>
            <w:r w:rsidRPr="00E85676">
              <w:rPr>
                <w:sz w:val="20"/>
                <w:szCs w:val="20"/>
              </w:rPr>
              <w:t>Образование</w:t>
            </w:r>
          </w:p>
        </w:tc>
        <w:tc>
          <w:tcPr>
            <w:tcW w:w="596"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6</w:t>
            </w:r>
          </w:p>
        </w:tc>
        <w:tc>
          <w:tcPr>
            <w:tcW w:w="1075"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2 496,1</w:t>
            </w:r>
          </w:p>
        </w:tc>
        <w:tc>
          <w:tcPr>
            <w:tcW w:w="1065"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E85676">
            <w:pPr>
              <w:ind w:left="-192" w:right="-100"/>
              <w:jc w:val="center"/>
              <w:rPr>
                <w:sz w:val="20"/>
                <w:szCs w:val="20"/>
              </w:rPr>
            </w:pPr>
            <w:r w:rsidRPr="00E85676">
              <w:rPr>
                <w:sz w:val="20"/>
                <w:szCs w:val="20"/>
              </w:rPr>
              <w:t>17,4</w:t>
            </w:r>
          </w:p>
        </w:tc>
        <w:tc>
          <w:tcPr>
            <w:tcW w:w="1140"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E85676">
            <w:pPr>
              <w:ind w:left="-124" w:right="-133"/>
              <w:jc w:val="center"/>
              <w:rPr>
                <w:sz w:val="20"/>
                <w:szCs w:val="20"/>
              </w:rPr>
            </w:pPr>
            <w:r w:rsidRPr="00E85676">
              <w:rPr>
                <w:sz w:val="20"/>
                <w:szCs w:val="20"/>
              </w:rPr>
              <w:t>676,0</w:t>
            </w:r>
          </w:p>
        </w:tc>
        <w:tc>
          <w:tcPr>
            <w:tcW w:w="1281"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534,3</w:t>
            </w:r>
          </w:p>
        </w:tc>
        <w:tc>
          <w:tcPr>
            <w:tcW w:w="1118"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577,3</w:t>
            </w:r>
          </w:p>
        </w:tc>
        <w:tc>
          <w:tcPr>
            <w:tcW w:w="936" w:type="dxa"/>
            <w:tcBorders>
              <w:top w:val="nil"/>
              <w:left w:val="nil"/>
              <w:bottom w:val="single" w:sz="4" w:space="0" w:color="auto"/>
              <w:right w:val="single" w:sz="4" w:space="0" w:color="auto"/>
            </w:tcBorders>
            <w:shd w:val="clear" w:color="auto" w:fill="auto"/>
            <w:noWrap/>
            <w:vAlign w:val="center"/>
            <w:hideMark/>
          </w:tcPr>
          <w:p w:rsidR="00191861" w:rsidRPr="00E85676" w:rsidRDefault="00191861" w:rsidP="00E85676">
            <w:pPr>
              <w:ind w:right="-67"/>
              <w:jc w:val="center"/>
              <w:rPr>
                <w:sz w:val="20"/>
                <w:szCs w:val="20"/>
              </w:rPr>
            </w:pPr>
            <w:r w:rsidRPr="00E85676">
              <w:rPr>
                <w:sz w:val="20"/>
                <w:szCs w:val="20"/>
              </w:rPr>
              <w:t>85,4</w:t>
            </w:r>
          </w:p>
        </w:tc>
      </w:tr>
      <w:tr w:rsidR="00467F9C" w:rsidRPr="00E85676" w:rsidTr="00E85676">
        <w:trPr>
          <w:trHeight w:val="203"/>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191861" w:rsidRPr="00E85676" w:rsidRDefault="00191861" w:rsidP="00191861">
            <w:pPr>
              <w:ind w:left="57" w:right="57"/>
              <w:rPr>
                <w:sz w:val="20"/>
                <w:szCs w:val="20"/>
              </w:rPr>
            </w:pPr>
            <w:r w:rsidRPr="00E85676">
              <w:rPr>
                <w:sz w:val="20"/>
                <w:szCs w:val="20"/>
              </w:rPr>
              <w:t>Жилье и городская среда</w:t>
            </w:r>
          </w:p>
        </w:tc>
        <w:tc>
          <w:tcPr>
            <w:tcW w:w="596"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4</w:t>
            </w:r>
          </w:p>
        </w:tc>
        <w:tc>
          <w:tcPr>
            <w:tcW w:w="1075"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4 239,1</w:t>
            </w:r>
          </w:p>
        </w:tc>
        <w:tc>
          <w:tcPr>
            <w:tcW w:w="1065"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E85676">
            <w:pPr>
              <w:ind w:left="-192" w:right="-100"/>
              <w:jc w:val="center"/>
              <w:rPr>
                <w:sz w:val="20"/>
                <w:szCs w:val="20"/>
              </w:rPr>
            </w:pPr>
            <w:r w:rsidRPr="00E85676">
              <w:rPr>
                <w:sz w:val="20"/>
                <w:szCs w:val="20"/>
              </w:rPr>
              <w:t>29,6</w:t>
            </w:r>
          </w:p>
        </w:tc>
        <w:tc>
          <w:tcPr>
            <w:tcW w:w="1140"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E85676">
            <w:pPr>
              <w:ind w:left="-124" w:right="-133"/>
              <w:jc w:val="center"/>
              <w:rPr>
                <w:sz w:val="20"/>
                <w:szCs w:val="20"/>
              </w:rPr>
            </w:pPr>
            <w:r w:rsidRPr="00E85676">
              <w:rPr>
                <w:sz w:val="20"/>
                <w:szCs w:val="20"/>
              </w:rPr>
              <w:t>1 485,8</w:t>
            </w:r>
          </w:p>
        </w:tc>
        <w:tc>
          <w:tcPr>
            <w:tcW w:w="1281"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323,9</w:t>
            </w:r>
          </w:p>
        </w:tc>
        <w:tc>
          <w:tcPr>
            <w:tcW w:w="1118"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1 338,6</w:t>
            </w:r>
          </w:p>
        </w:tc>
        <w:tc>
          <w:tcPr>
            <w:tcW w:w="936" w:type="dxa"/>
            <w:tcBorders>
              <w:top w:val="nil"/>
              <w:left w:val="nil"/>
              <w:bottom w:val="single" w:sz="4" w:space="0" w:color="auto"/>
              <w:right w:val="single" w:sz="4" w:space="0" w:color="auto"/>
            </w:tcBorders>
            <w:shd w:val="clear" w:color="auto" w:fill="auto"/>
            <w:noWrap/>
            <w:vAlign w:val="center"/>
            <w:hideMark/>
          </w:tcPr>
          <w:p w:rsidR="00191861" w:rsidRPr="00E85676" w:rsidRDefault="00191861" w:rsidP="00E85676">
            <w:pPr>
              <w:ind w:right="-67"/>
              <w:jc w:val="center"/>
              <w:rPr>
                <w:sz w:val="20"/>
                <w:szCs w:val="20"/>
              </w:rPr>
            </w:pPr>
            <w:r w:rsidRPr="00E85676">
              <w:rPr>
                <w:sz w:val="20"/>
                <w:szCs w:val="20"/>
              </w:rPr>
              <w:t>90,1</w:t>
            </w:r>
          </w:p>
        </w:tc>
      </w:tr>
      <w:tr w:rsidR="00467F9C" w:rsidRPr="00E85676" w:rsidTr="00E85676">
        <w:trPr>
          <w:trHeight w:val="203"/>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191861" w:rsidRPr="00E85676" w:rsidRDefault="00191861" w:rsidP="00191861">
            <w:pPr>
              <w:ind w:left="57" w:right="57"/>
              <w:rPr>
                <w:sz w:val="20"/>
                <w:szCs w:val="20"/>
              </w:rPr>
            </w:pPr>
            <w:r w:rsidRPr="00E85676">
              <w:rPr>
                <w:sz w:val="20"/>
                <w:szCs w:val="20"/>
              </w:rPr>
              <w:t>Экология</w:t>
            </w:r>
          </w:p>
        </w:tc>
        <w:tc>
          <w:tcPr>
            <w:tcW w:w="596" w:type="dxa"/>
            <w:tcBorders>
              <w:top w:val="nil"/>
              <w:left w:val="nil"/>
              <w:bottom w:val="single" w:sz="4" w:space="0" w:color="auto"/>
              <w:right w:val="single" w:sz="4" w:space="0" w:color="auto"/>
            </w:tcBorders>
            <w:shd w:val="clear" w:color="000000" w:fill="FFFFFF"/>
            <w:vAlign w:val="center"/>
            <w:hideMark/>
          </w:tcPr>
          <w:p w:rsidR="00191861" w:rsidRPr="00E85676" w:rsidRDefault="00191861" w:rsidP="00191861">
            <w:pPr>
              <w:ind w:left="57" w:right="57"/>
              <w:jc w:val="center"/>
              <w:rPr>
                <w:sz w:val="20"/>
                <w:szCs w:val="20"/>
              </w:rPr>
            </w:pPr>
            <w:r w:rsidRPr="00E85676">
              <w:rPr>
                <w:sz w:val="20"/>
                <w:szCs w:val="20"/>
              </w:rPr>
              <w:t>4</w:t>
            </w:r>
          </w:p>
        </w:tc>
        <w:tc>
          <w:tcPr>
            <w:tcW w:w="1075"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749,3</w:t>
            </w:r>
          </w:p>
        </w:tc>
        <w:tc>
          <w:tcPr>
            <w:tcW w:w="1065"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E85676">
            <w:pPr>
              <w:ind w:left="-192" w:right="-100"/>
              <w:jc w:val="center"/>
              <w:rPr>
                <w:sz w:val="20"/>
                <w:szCs w:val="20"/>
              </w:rPr>
            </w:pPr>
            <w:r w:rsidRPr="00E85676">
              <w:rPr>
                <w:sz w:val="20"/>
                <w:szCs w:val="20"/>
              </w:rPr>
              <w:t>5,2</w:t>
            </w:r>
          </w:p>
        </w:tc>
        <w:tc>
          <w:tcPr>
            <w:tcW w:w="1140"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E85676">
            <w:pPr>
              <w:ind w:left="-124" w:right="-133"/>
              <w:jc w:val="center"/>
              <w:rPr>
                <w:sz w:val="20"/>
                <w:szCs w:val="20"/>
              </w:rPr>
            </w:pPr>
            <w:r w:rsidRPr="00E85676">
              <w:rPr>
                <w:sz w:val="20"/>
                <w:szCs w:val="20"/>
              </w:rPr>
              <w:t>62,5</w:t>
            </w:r>
          </w:p>
        </w:tc>
        <w:tc>
          <w:tcPr>
            <w:tcW w:w="1281"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32,6</w:t>
            </w:r>
          </w:p>
        </w:tc>
        <w:tc>
          <w:tcPr>
            <w:tcW w:w="1118"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56,7</w:t>
            </w:r>
          </w:p>
        </w:tc>
        <w:tc>
          <w:tcPr>
            <w:tcW w:w="936" w:type="dxa"/>
            <w:tcBorders>
              <w:top w:val="nil"/>
              <w:left w:val="nil"/>
              <w:bottom w:val="single" w:sz="4" w:space="0" w:color="auto"/>
              <w:right w:val="single" w:sz="4" w:space="0" w:color="auto"/>
            </w:tcBorders>
            <w:shd w:val="clear" w:color="auto" w:fill="auto"/>
            <w:noWrap/>
            <w:vAlign w:val="center"/>
            <w:hideMark/>
          </w:tcPr>
          <w:p w:rsidR="00191861" w:rsidRPr="00E85676" w:rsidRDefault="00191861" w:rsidP="00E85676">
            <w:pPr>
              <w:ind w:right="-67"/>
              <w:jc w:val="center"/>
              <w:rPr>
                <w:sz w:val="20"/>
                <w:szCs w:val="20"/>
              </w:rPr>
            </w:pPr>
            <w:r w:rsidRPr="00E85676">
              <w:rPr>
                <w:sz w:val="20"/>
                <w:szCs w:val="20"/>
              </w:rPr>
              <w:t>90,7</w:t>
            </w:r>
          </w:p>
        </w:tc>
      </w:tr>
      <w:tr w:rsidR="00467F9C" w:rsidRPr="00E85676" w:rsidTr="00E85676">
        <w:trPr>
          <w:trHeight w:val="264"/>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191861" w:rsidRPr="00E85676" w:rsidRDefault="00191861" w:rsidP="00191861">
            <w:pPr>
              <w:ind w:left="57" w:right="57"/>
              <w:rPr>
                <w:sz w:val="20"/>
                <w:szCs w:val="20"/>
              </w:rPr>
            </w:pPr>
            <w:r w:rsidRPr="00E85676">
              <w:rPr>
                <w:sz w:val="20"/>
                <w:szCs w:val="20"/>
              </w:rPr>
              <w:t>Безопасные и качественные автомобильные дороги</w:t>
            </w:r>
          </w:p>
        </w:tc>
        <w:tc>
          <w:tcPr>
            <w:tcW w:w="596"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3</w:t>
            </w:r>
          </w:p>
        </w:tc>
        <w:tc>
          <w:tcPr>
            <w:tcW w:w="1075"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942,0</w:t>
            </w:r>
          </w:p>
        </w:tc>
        <w:tc>
          <w:tcPr>
            <w:tcW w:w="1065"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E85676">
            <w:pPr>
              <w:ind w:left="-192" w:right="-100"/>
              <w:jc w:val="center"/>
              <w:rPr>
                <w:sz w:val="20"/>
                <w:szCs w:val="20"/>
              </w:rPr>
            </w:pPr>
            <w:r w:rsidRPr="00E85676">
              <w:rPr>
                <w:sz w:val="20"/>
                <w:szCs w:val="20"/>
              </w:rPr>
              <w:t>6,6</w:t>
            </w:r>
          </w:p>
        </w:tc>
        <w:tc>
          <w:tcPr>
            <w:tcW w:w="1140"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E85676">
            <w:pPr>
              <w:ind w:left="-124" w:right="-133"/>
              <w:jc w:val="center"/>
              <w:rPr>
                <w:sz w:val="20"/>
                <w:szCs w:val="20"/>
              </w:rPr>
            </w:pPr>
            <w:r w:rsidRPr="00E85676">
              <w:rPr>
                <w:sz w:val="20"/>
                <w:szCs w:val="20"/>
              </w:rPr>
              <w:t>456,4</w:t>
            </w:r>
          </w:p>
        </w:tc>
        <w:tc>
          <w:tcPr>
            <w:tcW w:w="1281"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125,7</w:t>
            </w:r>
          </w:p>
        </w:tc>
        <w:tc>
          <w:tcPr>
            <w:tcW w:w="1118"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454,3</w:t>
            </w:r>
          </w:p>
        </w:tc>
        <w:tc>
          <w:tcPr>
            <w:tcW w:w="936" w:type="dxa"/>
            <w:tcBorders>
              <w:top w:val="nil"/>
              <w:left w:val="nil"/>
              <w:bottom w:val="single" w:sz="4" w:space="0" w:color="auto"/>
              <w:right w:val="single" w:sz="4" w:space="0" w:color="auto"/>
            </w:tcBorders>
            <w:shd w:val="clear" w:color="auto" w:fill="auto"/>
            <w:noWrap/>
            <w:vAlign w:val="center"/>
            <w:hideMark/>
          </w:tcPr>
          <w:p w:rsidR="00191861" w:rsidRPr="00E85676" w:rsidRDefault="00191861" w:rsidP="00E85676">
            <w:pPr>
              <w:ind w:right="-67"/>
              <w:jc w:val="center"/>
              <w:rPr>
                <w:sz w:val="20"/>
                <w:szCs w:val="20"/>
              </w:rPr>
            </w:pPr>
            <w:r w:rsidRPr="00E85676">
              <w:rPr>
                <w:sz w:val="20"/>
                <w:szCs w:val="20"/>
              </w:rPr>
              <w:t>99,5</w:t>
            </w:r>
          </w:p>
        </w:tc>
      </w:tr>
      <w:tr w:rsidR="00467F9C" w:rsidRPr="00E85676" w:rsidTr="00E85676">
        <w:trPr>
          <w:trHeight w:val="203"/>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191861" w:rsidRPr="00E85676" w:rsidRDefault="00191861" w:rsidP="00191861">
            <w:pPr>
              <w:ind w:left="57" w:right="57"/>
              <w:rPr>
                <w:sz w:val="20"/>
                <w:szCs w:val="20"/>
              </w:rPr>
            </w:pPr>
            <w:r w:rsidRPr="00E85676">
              <w:rPr>
                <w:sz w:val="20"/>
                <w:szCs w:val="20"/>
              </w:rPr>
              <w:t>Цифровая экономика</w:t>
            </w:r>
          </w:p>
        </w:tc>
        <w:tc>
          <w:tcPr>
            <w:tcW w:w="596"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5</w:t>
            </w:r>
          </w:p>
        </w:tc>
        <w:tc>
          <w:tcPr>
            <w:tcW w:w="1075"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344,7</w:t>
            </w:r>
          </w:p>
        </w:tc>
        <w:tc>
          <w:tcPr>
            <w:tcW w:w="1065"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E85676">
            <w:pPr>
              <w:ind w:left="-192" w:right="-100"/>
              <w:jc w:val="center"/>
              <w:rPr>
                <w:sz w:val="20"/>
                <w:szCs w:val="20"/>
              </w:rPr>
            </w:pPr>
            <w:r w:rsidRPr="00E85676">
              <w:rPr>
                <w:sz w:val="20"/>
                <w:szCs w:val="20"/>
              </w:rPr>
              <w:t>2,4</w:t>
            </w:r>
          </w:p>
        </w:tc>
        <w:tc>
          <w:tcPr>
            <w:tcW w:w="1140"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E85676">
            <w:pPr>
              <w:ind w:left="-124" w:right="-133"/>
              <w:jc w:val="center"/>
              <w:rPr>
                <w:sz w:val="20"/>
                <w:szCs w:val="20"/>
              </w:rPr>
            </w:pPr>
            <w:r w:rsidRPr="00E85676">
              <w:rPr>
                <w:sz w:val="20"/>
                <w:szCs w:val="20"/>
              </w:rPr>
              <w:t>312,1</w:t>
            </w:r>
          </w:p>
        </w:tc>
        <w:tc>
          <w:tcPr>
            <w:tcW w:w="1281"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263,8</w:t>
            </w:r>
          </w:p>
        </w:tc>
        <w:tc>
          <w:tcPr>
            <w:tcW w:w="1118"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310,2</w:t>
            </w:r>
          </w:p>
        </w:tc>
        <w:tc>
          <w:tcPr>
            <w:tcW w:w="936" w:type="dxa"/>
            <w:tcBorders>
              <w:top w:val="nil"/>
              <w:left w:val="nil"/>
              <w:bottom w:val="single" w:sz="4" w:space="0" w:color="auto"/>
              <w:right w:val="single" w:sz="4" w:space="0" w:color="auto"/>
            </w:tcBorders>
            <w:shd w:val="clear" w:color="auto" w:fill="auto"/>
            <w:noWrap/>
            <w:vAlign w:val="center"/>
            <w:hideMark/>
          </w:tcPr>
          <w:p w:rsidR="00191861" w:rsidRPr="00E85676" w:rsidRDefault="00191861" w:rsidP="00E85676">
            <w:pPr>
              <w:ind w:right="-67"/>
              <w:jc w:val="center"/>
              <w:rPr>
                <w:sz w:val="20"/>
                <w:szCs w:val="20"/>
              </w:rPr>
            </w:pPr>
            <w:r w:rsidRPr="00E85676">
              <w:rPr>
                <w:sz w:val="20"/>
                <w:szCs w:val="20"/>
              </w:rPr>
              <w:t>99,4</w:t>
            </w:r>
          </w:p>
        </w:tc>
      </w:tr>
      <w:tr w:rsidR="00467F9C" w:rsidRPr="00E85676" w:rsidTr="00E85676">
        <w:trPr>
          <w:trHeight w:val="203"/>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191861" w:rsidRPr="00E85676" w:rsidRDefault="00191861" w:rsidP="00191861">
            <w:pPr>
              <w:ind w:left="57" w:right="57"/>
              <w:rPr>
                <w:sz w:val="20"/>
                <w:szCs w:val="20"/>
              </w:rPr>
            </w:pPr>
            <w:r w:rsidRPr="00E85676">
              <w:rPr>
                <w:sz w:val="20"/>
                <w:szCs w:val="20"/>
              </w:rPr>
              <w:t>Культура</w:t>
            </w:r>
          </w:p>
        </w:tc>
        <w:tc>
          <w:tcPr>
            <w:tcW w:w="596"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3</w:t>
            </w:r>
          </w:p>
        </w:tc>
        <w:tc>
          <w:tcPr>
            <w:tcW w:w="1075"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28,4</w:t>
            </w:r>
          </w:p>
        </w:tc>
        <w:tc>
          <w:tcPr>
            <w:tcW w:w="1065"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E85676">
            <w:pPr>
              <w:ind w:left="-192" w:right="-100"/>
              <w:jc w:val="center"/>
              <w:rPr>
                <w:sz w:val="20"/>
                <w:szCs w:val="20"/>
              </w:rPr>
            </w:pPr>
            <w:r w:rsidRPr="00E85676">
              <w:rPr>
                <w:sz w:val="20"/>
                <w:szCs w:val="20"/>
              </w:rPr>
              <w:t>0,2</w:t>
            </w:r>
          </w:p>
        </w:tc>
        <w:tc>
          <w:tcPr>
            <w:tcW w:w="1140"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E85676">
            <w:pPr>
              <w:ind w:left="-124" w:right="-133"/>
              <w:jc w:val="center"/>
              <w:rPr>
                <w:sz w:val="20"/>
                <w:szCs w:val="20"/>
              </w:rPr>
            </w:pPr>
            <w:r w:rsidRPr="00E85676">
              <w:rPr>
                <w:sz w:val="20"/>
                <w:szCs w:val="20"/>
              </w:rPr>
              <w:t>232,6</w:t>
            </w:r>
          </w:p>
        </w:tc>
        <w:tc>
          <w:tcPr>
            <w:tcW w:w="1281"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179,7</w:t>
            </w:r>
          </w:p>
        </w:tc>
        <w:tc>
          <w:tcPr>
            <w:tcW w:w="1118"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224,4</w:t>
            </w:r>
          </w:p>
        </w:tc>
        <w:tc>
          <w:tcPr>
            <w:tcW w:w="936" w:type="dxa"/>
            <w:tcBorders>
              <w:top w:val="nil"/>
              <w:left w:val="nil"/>
              <w:bottom w:val="single" w:sz="4" w:space="0" w:color="auto"/>
              <w:right w:val="single" w:sz="4" w:space="0" w:color="auto"/>
            </w:tcBorders>
            <w:shd w:val="clear" w:color="auto" w:fill="auto"/>
            <w:noWrap/>
            <w:vAlign w:val="center"/>
            <w:hideMark/>
          </w:tcPr>
          <w:p w:rsidR="00191861" w:rsidRPr="00E85676" w:rsidRDefault="00191861" w:rsidP="00E85676">
            <w:pPr>
              <w:ind w:right="-67"/>
              <w:jc w:val="center"/>
              <w:rPr>
                <w:sz w:val="20"/>
                <w:szCs w:val="20"/>
              </w:rPr>
            </w:pPr>
            <w:r w:rsidRPr="00E85676">
              <w:rPr>
                <w:sz w:val="20"/>
                <w:szCs w:val="20"/>
              </w:rPr>
              <w:t>96,5</w:t>
            </w:r>
          </w:p>
        </w:tc>
      </w:tr>
      <w:tr w:rsidR="00467F9C" w:rsidRPr="00E85676" w:rsidTr="00E85676">
        <w:trPr>
          <w:trHeight w:val="264"/>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191861" w:rsidRPr="00E85676" w:rsidRDefault="00191861" w:rsidP="00191861">
            <w:pPr>
              <w:ind w:left="57" w:right="57"/>
              <w:rPr>
                <w:sz w:val="20"/>
                <w:szCs w:val="20"/>
              </w:rPr>
            </w:pPr>
            <w:r w:rsidRPr="00E85676">
              <w:rPr>
                <w:sz w:val="20"/>
                <w:szCs w:val="20"/>
              </w:rPr>
              <w:t>МСП и поддержка индивидуальной предпринимательской инициативы</w:t>
            </w:r>
          </w:p>
        </w:tc>
        <w:tc>
          <w:tcPr>
            <w:tcW w:w="596"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4</w:t>
            </w:r>
          </w:p>
        </w:tc>
        <w:tc>
          <w:tcPr>
            <w:tcW w:w="1075"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847,4</w:t>
            </w:r>
          </w:p>
        </w:tc>
        <w:tc>
          <w:tcPr>
            <w:tcW w:w="1065"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E85676">
            <w:pPr>
              <w:ind w:left="-192" w:right="-100"/>
              <w:jc w:val="center"/>
              <w:rPr>
                <w:sz w:val="20"/>
                <w:szCs w:val="20"/>
              </w:rPr>
            </w:pPr>
            <w:r w:rsidRPr="00E85676">
              <w:rPr>
                <w:sz w:val="20"/>
                <w:szCs w:val="20"/>
              </w:rPr>
              <w:t>5,9</w:t>
            </w:r>
          </w:p>
        </w:tc>
        <w:tc>
          <w:tcPr>
            <w:tcW w:w="1140"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E85676">
            <w:pPr>
              <w:ind w:left="-124" w:right="-133"/>
              <w:jc w:val="center"/>
              <w:rPr>
                <w:sz w:val="20"/>
                <w:szCs w:val="20"/>
              </w:rPr>
            </w:pPr>
            <w:r w:rsidRPr="00E85676">
              <w:rPr>
                <w:sz w:val="20"/>
                <w:szCs w:val="20"/>
              </w:rPr>
              <w:t>484,6</w:t>
            </w:r>
          </w:p>
        </w:tc>
        <w:tc>
          <w:tcPr>
            <w:tcW w:w="1281"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474,8</w:t>
            </w:r>
          </w:p>
        </w:tc>
        <w:tc>
          <w:tcPr>
            <w:tcW w:w="1118"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484,5</w:t>
            </w:r>
          </w:p>
        </w:tc>
        <w:tc>
          <w:tcPr>
            <w:tcW w:w="936" w:type="dxa"/>
            <w:tcBorders>
              <w:top w:val="nil"/>
              <w:left w:val="nil"/>
              <w:bottom w:val="single" w:sz="4" w:space="0" w:color="auto"/>
              <w:right w:val="single" w:sz="4" w:space="0" w:color="auto"/>
            </w:tcBorders>
            <w:shd w:val="clear" w:color="auto" w:fill="auto"/>
            <w:noWrap/>
            <w:vAlign w:val="center"/>
            <w:hideMark/>
          </w:tcPr>
          <w:p w:rsidR="00191861" w:rsidRPr="00E85676" w:rsidRDefault="00191861" w:rsidP="00E85676">
            <w:pPr>
              <w:ind w:right="-67"/>
              <w:jc w:val="center"/>
              <w:rPr>
                <w:sz w:val="20"/>
                <w:szCs w:val="20"/>
              </w:rPr>
            </w:pPr>
            <w:r w:rsidRPr="00E85676">
              <w:rPr>
                <w:sz w:val="20"/>
                <w:szCs w:val="20"/>
              </w:rPr>
              <w:t>100,0</w:t>
            </w:r>
          </w:p>
        </w:tc>
      </w:tr>
      <w:tr w:rsidR="00467F9C" w:rsidRPr="00E85676" w:rsidTr="00E85676">
        <w:trPr>
          <w:trHeight w:val="203"/>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191861" w:rsidRPr="00E85676" w:rsidRDefault="00191861" w:rsidP="00191861">
            <w:pPr>
              <w:ind w:left="57" w:right="57"/>
              <w:rPr>
                <w:sz w:val="20"/>
                <w:szCs w:val="20"/>
              </w:rPr>
            </w:pPr>
            <w:r w:rsidRPr="00E85676">
              <w:rPr>
                <w:sz w:val="20"/>
                <w:szCs w:val="20"/>
              </w:rPr>
              <w:t>Международная кооперация и экспорт</w:t>
            </w:r>
          </w:p>
        </w:tc>
        <w:tc>
          <w:tcPr>
            <w:tcW w:w="596"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2</w:t>
            </w:r>
          </w:p>
        </w:tc>
        <w:tc>
          <w:tcPr>
            <w:tcW w:w="1075"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х</w:t>
            </w:r>
          </w:p>
        </w:tc>
        <w:tc>
          <w:tcPr>
            <w:tcW w:w="1065"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E85676">
            <w:pPr>
              <w:ind w:left="-192" w:right="-100"/>
              <w:jc w:val="center"/>
              <w:rPr>
                <w:sz w:val="20"/>
                <w:szCs w:val="20"/>
              </w:rPr>
            </w:pPr>
            <w:r w:rsidRPr="00E85676">
              <w:rPr>
                <w:sz w:val="20"/>
                <w:szCs w:val="20"/>
              </w:rPr>
              <w:t>х</w:t>
            </w:r>
          </w:p>
        </w:tc>
        <w:tc>
          <w:tcPr>
            <w:tcW w:w="1140"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E85676">
            <w:pPr>
              <w:ind w:left="-124" w:right="-133"/>
              <w:jc w:val="center"/>
              <w:rPr>
                <w:sz w:val="20"/>
                <w:szCs w:val="20"/>
              </w:rPr>
            </w:pPr>
            <w:r w:rsidRPr="00E85676">
              <w:rPr>
                <w:sz w:val="20"/>
                <w:szCs w:val="20"/>
              </w:rPr>
              <w:t>х</w:t>
            </w:r>
          </w:p>
        </w:tc>
        <w:tc>
          <w:tcPr>
            <w:tcW w:w="1281"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х</w:t>
            </w:r>
          </w:p>
        </w:tc>
        <w:tc>
          <w:tcPr>
            <w:tcW w:w="1118"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х</w:t>
            </w:r>
          </w:p>
        </w:tc>
        <w:tc>
          <w:tcPr>
            <w:tcW w:w="936"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E85676">
            <w:pPr>
              <w:ind w:right="-67"/>
              <w:jc w:val="center"/>
              <w:rPr>
                <w:sz w:val="20"/>
                <w:szCs w:val="20"/>
              </w:rPr>
            </w:pPr>
            <w:r w:rsidRPr="00E85676">
              <w:rPr>
                <w:sz w:val="20"/>
                <w:szCs w:val="20"/>
              </w:rPr>
              <w:t>х</w:t>
            </w:r>
          </w:p>
        </w:tc>
      </w:tr>
      <w:tr w:rsidR="00467F9C" w:rsidRPr="00E85676" w:rsidTr="00E85676">
        <w:trPr>
          <w:trHeight w:val="264"/>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191861" w:rsidRPr="00E85676" w:rsidRDefault="00191861" w:rsidP="00191861">
            <w:pPr>
              <w:ind w:left="57" w:right="57"/>
              <w:rPr>
                <w:sz w:val="20"/>
                <w:szCs w:val="20"/>
              </w:rPr>
            </w:pPr>
            <w:r w:rsidRPr="00E85676">
              <w:rPr>
                <w:sz w:val="20"/>
                <w:szCs w:val="20"/>
              </w:rPr>
              <w:t>Производительность труда и поддержка занятости</w:t>
            </w:r>
          </w:p>
        </w:tc>
        <w:tc>
          <w:tcPr>
            <w:tcW w:w="596"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2</w:t>
            </w:r>
          </w:p>
        </w:tc>
        <w:tc>
          <w:tcPr>
            <w:tcW w:w="1075"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х</w:t>
            </w:r>
          </w:p>
        </w:tc>
        <w:tc>
          <w:tcPr>
            <w:tcW w:w="1065"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E85676">
            <w:pPr>
              <w:ind w:left="-192" w:right="-100"/>
              <w:jc w:val="center"/>
              <w:rPr>
                <w:sz w:val="20"/>
                <w:szCs w:val="20"/>
              </w:rPr>
            </w:pPr>
            <w:r w:rsidRPr="00E85676">
              <w:rPr>
                <w:sz w:val="20"/>
                <w:szCs w:val="20"/>
              </w:rPr>
              <w:t>х</w:t>
            </w:r>
          </w:p>
        </w:tc>
        <w:tc>
          <w:tcPr>
            <w:tcW w:w="1140"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E85676">
            <w:pPr>
              <w:ind w:left="-124" w:right="-133"/>
              <w:jc w:val="center"/>
              <w:rPr>
                <w:sz w:val="20"/>
                <w:szCs w:val="20"/>
              </w:rPr>
            </w:pPr>
            <w:r w:rsidRPr="00E85676">
              <w:rPr>
                <w:sz w:val="20"/>
                <w:szCs w:val="20"/>
              </w:rPr>
              <w:t>х</w:t>
            </w:r>
          </w:p>
        </w:tc>
        <w:tc>
          <w:tcPr>
            <w:tcW w:w="1281"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х</w:t>
            </w:r>
          </w:p>
        </w:tc>
        <w:tc>
          <w:tcPr>
            <w:tcW w:w="1118"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sz w:val="20"/>
                <w:szCs w:val="20"/>
              </w:rPr>
            </w:pPr>
            <w:r w:rsidRPr="00E85676">
              <w:rPr>
                <w:sz w:val="20"/>
                <w:szCs w:val="20"/>
              </w:rPr>
              <w:t>х</w:t>
            </w:r>
          </w:p>
        </w:tc>
        <w:tc>
          <w:tcPr>
            <w:tcW w:w="936"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E85676">
            <w:pPr>
              <w:ind w:right="-67"/>
              <w:jc w:val="center"/>
              <w:rPr>
                <w:sz w:val="20"/>
                <w:szCs w:val="20"/>
              </w:rPr>
            </w:pPr>
            <w:r w:rsidRPr="00E85676">
              <w:rPr>
                <w:sz w:val="20"/>
                <w:szCs w:val="20"/>
              </w:rPr>
              <w:t>х</w:t>
            </w:r>
          </w:p>
        </w:tc>
      </w:tr>
      <w:tr w:rsidR="00467F9C" w:rsidRPr="00E85676" w:rsidTr="00E85676">
        <w:trPr>
          <w:trHeight w:val="203"/>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191861" w:rsidRPr="00E85676" w:rsidRDefault="00191861" w:rsidP="00191861">
            <w:pPr>
              <w:ind w:left="57" w:right="57"/>
              <w:jc w:val="both"/>
              <w:rPr>
                <w:b/>
                <w:bCs/>
                <w:sz w:val="20"/>
                <w:szCs w:val="20"/>
              </w:rPr>
            </w:pPr>
            <w:r w:rsidRPr="00E85676">
              <w:rPr>
                <w:b/>
                <w:bCs/>
                <w:sz w:val="20"/>
                <w:szCs w:val="20"/>
              </w:rPr>
              <w:t>Всего  </w:t>
            </w:r>
          </w:p>
        </w:tc>
        <w:tc>
          <w:tcPr>
            <w:tcW w:w="596"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b/>
                <w:bCs/>
                <w:sz w:val="20"/>
                <w:szCs w:val="20"/>
              </w:rPr>
            </w:pPr>
            <w:r w:rsidRPr="00E85676">
              <w:rPr>
                <w:b/>
                <w:bCs/>
                <w:sz w:val="20"/>
                <w:szCs w:val="20"/>
              </w:rPr>
              <w:t>45</w:t>
            </w:r>
          </w:p>
        </w:tc>
        <w:tc>
          <w:tcPr>
            <w:tcW w:w="1075"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b/>
                <w:bCs/>
                <w:sz w:val="20"/>
                <w:szCs w:val="20"/>
              </w:rPr>
            </w:pPr>
            <w:r w:rsidRPr="00E85676">
              <w:rPr>
                <w:b/>
                <w:bCs/>
                <w:sz w:val="20"/>
                <w:szCs w:val="20"/>
              </w:rPr>
              <w:t>14 312,6</w:t>
            </w:r>
          </w:p>
        </w:tc>
        <w:tc>
          <w:tcPr>
            <w:tcW w:w="1065"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E85676">
            <w:pPr>
              <w:ind w:left="-192" w:right="-100"/>
              <w:jc w:val="center"/>
              <w:rPr>
                <w:b/>
                <w:bCs/>
                <w:sz w:val="20"/>
                <w:szCs w:val="20"/>
              </w:rPr>
            </w:pPr>
            <w:r w:rsidRPr="00E85676">
              <w:rPr>
                <w:b/>
                <w:bCs/>
                <w:sz w:val="20"/>
                <w:szCs w:val="20"/>
              </w:rPr>
              <w:t>100,0</w:t>
            </w:r>
          </w:p>
        </w:tc>
        <w:tc>
          <w:tcPr>
            <w:tcW w:w="1140"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E85676">
            <w:pPr>
              <w:ind w:left="-124" w:right="-133"/>
              <w:jc w:val="center"/>
              <w:rPr>
                <w:b/>
                <w:bCs/>
                <w:sz w:val="20"/>
                <w:szCs w:val="20"/>
              </w:rPr>
            </w:pPr>
            <w:r w:rsidRPr="00E85676">
              <w:rPr>
                <w:b/>
                <w:bCs/>
                <w:sz w:val="20"/>
                <w:szCs w:val="20"/>
              </w:rPr>
              <w:t>6 343,6</w:t>
            </w:r>
          </w:p>
        </w:tc>
        <w:tc>
          <w:tcPr>
            <w:tcW w:w="1281"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b/>
                <w:bCs/>
                <w:sz w:val="20"/>
                <w:szCs w:val="20"/>
              </w:rPr>
            </w:pPr>
            <w:r w:rsidRPr="00E85676">
              <w:rPr>
                <w:b/>
                <w:bCs/>
                <w:sz w:val="20"/>
                <w:szCs w:val="20"/>
              </w:rPr>
              <w:t>3 559,2</w:t>
            </w:r>
          </w:p>
        </w:tc>
        <w:tc>
          <w:tcPr>
            <w:tcW w:w="1118" w:type="dxa"/>
            <w:tcBorders>
              <w:top w:val="nil"/>
              <w:left w:val="nil"/>
              <w:bottom w:val="single" w:sz="4" w:space="0" w:color="auto"/>
              <w:right w:val="single" w:sz="4" w:space="0" w:color="auto"/>
            </w:tcBorders>
            <w:shd w:val="clear" w:color="000000" w:fill="FFFFFF"/>
            <w:noWrap/>
            <w:vAlign w:val="center"/>
            <w:hideMark/>
          </w:tcPr>
          <w:p w:rsidR="00191861" w:rsidRPr="00E85676" w:rsidRDefault="00191861" w:rsidP="00191861">
            <w:pPr>
              <w:ind w:left="57" w:right="57"/>
              <w:jc w:val="center"/>
              <w:rPr>
                <w:b/>
                <w:bCs/>
                <w:sz w:val="20"/>
                <w:szCs w:val="20"/>
              </w:rPr>
            </w:pPr>
            <w:r w:rsidRPr="00E85676">
              <w:rPr>
                <w:b/>
                <w:bCs/>
                <w:sz w:val="20"/>
                <w:szCs w:val="20"/>
              </w:rPr>
              <w:t>5 844,9</w:t>
            </w:r>
          </w:p>
        </w:tc>
        <w:tc>
          <w:tcPr>
            <w:tcW w:w="936" w:type="dxa"/>
            <w:tcBorders>
              <w:top w:val="nil"/>
              <w:left w:val="nil"/>
              <w:bottom w:val="single" w:sz="4" w:space="0" w:color="auto"/>
              <w:right w:val="single" w:sz="4" w:space="0" w:color="auto"/>
            </w:tcBorders>
            <w:shd w:val="clear" w:color="auto" w:fill="auto"/>
            <w:noWrap/>
            <w:vAlign w:val="center"/>
            <w:hideMark/>
          </w:tcPr>
          <w:p w:rsidR="00191861" w:rsidRPr="00E85676" w:rsidRDefault="00191861" w:rsidP="00E85676">
            <w:pPr>
              <w:ind w:right="-67"/>
              <w:jc w:val="center"/>
              <w:rPr>
                <w:b/>
                <w:bCs/>
                <w:sz w:val="20"/>
                <w:szCs w:val="20"/>
              </w:rPr>
            </w:pPr>
            <w:r w:rsidRPr="00E85676">
              <w:rPr>
                <w:b/>
                <w:bCs/>
                <w:sz w:val="20"/>
                <w:szCs w:val="20"/>
              </w:rPr>
              <w:t>92,1</w:t>
            </w:r>
          </w:p>
        </w:tc>
      </w:tr>
    </w:tbl>
    <w:p w:rsidR="00191861" w:rsidRPr="00467F9C" w:rsidRDefault="00191861" w:rsidP="00191861">
      <w:pPr>
        <w:ind w:left="57" w:right="57" w:firstLine="651"/>
        <w:jc w:val="both"/>
        <w:rPr>
          <w:sz w:val="28"/>
          <w:szCs w:val="28"/>
        </w:rPr>
      </w:pPr>
      <w:r w:rsidRPr="00467F9C">
        <w:rPr>
          <w:sz w:val="28"/>
          <w:szCs w:val="28"/>
        </w:rPr>
        <w:t xml:space="preserve">Наибольшую долю в общем объеме бюджетных ассигнований планируется направить на региональные проекты в рамках национальных проектов «Жильё и городская среда» (29,6% от общего объема финансирования), «Демография» (20,1%) и «Образование» (17,4%). На национальные проекты «Здравоохранение», «Малое и среднее предпринимательство и поддержка индивидуальной предпринимательской инициативы», «Безопасные и </w:t>
      </w:r>
      <w:r w:rsidRPr="00467F9C">
        <w:rPr>
          <w:sz w:val="28"/>
          <w:szCs w:val="28"/>
        </w:rPr>
        <w:lastRenderedPageBreak/>
        <w:t>качественные автомобильные дороги», «Экология» и «Цифровая экономика» планируется направить от 12,5% до 2,4% предусмотренного объема финансовых ресурсов. На реализацию региональных проектов национального проекта «Культура» предусмотрен объем финансовых ресурсов в общей сумме 28,4 млн. рублей или 0,2%. Региональные проекты национальных проектов «Международная кооперация и экспорт», «Производительность труда и поддержка занятости» планируются к реализации без финансового обеспечения с 2023 года.</w:t>
      </w:r>
    </w:p>
    <w:p w:rsidR="00191861" w:rsidRPr="00467F9C" w:rsidRDefault="00191861" w:rsidP="00191861">
      <w:pPr>
        <w:ind w:left="57" w:right="57" w:firstLine="651"/>
        <w:jc w:val="both"/>
        <w:rPr>
          <w:sz w:val="28"/>
          <w:szCs w:val="28"/>
        </w:rPr>
      </w:pPr>
      <w:r w:rsidRPr="00467F9C">
        <w:rPr>
          <w:sz w:val="28"/>
          <w:szCs w:val="28"/>
        </w:rPr>
        <w:t>За период 2019-2021 годов из федерального бюджета и Государственной корпорации «Фонд содействия реформированию жилищно-коммунального хозяйства»</w:t>
      </w:r>
      <w:r w:rsidRPr="00467F9C">
        <w:rPr>
          <w:rStyle w:val="ab"/>
          <w:sz w:val="28"/>
          <w:szCs w:val="28"/>
        </w:rPr>
        <w:t xml:space="preserve"> </w:t>
      </w:r>
      <w:r w:rsidRPr="00467F9C">
        <w:rPr>
          <w:rStyle w:val="ab"/>
          <w:sz w:val="28"/>
          <w:szCs w:val="28"/>
        </w:rPr>
        <w:footnoteReference w:id="116"/>
      </w:r>
      <w:r w:rsidRPr="00467F9C">
        <w:rPr>
          <w:sz w:val="28"/>
          <w:szCs w:val="28"/>
        </w:rPr>
        <w:t xml:space="preserve"> на реализацию РП поступило 3 559,2 млн. рублей, направлено из окружного бюджета на реализацию региональных проектов 5 844,9 млн. рублей.</w:t>
      </w:r>
    </w:p>
    <w:p w:rsidR="00191861" w:rsidRPr="00467F9C" w:rsidRDefault="00191861" w:rsidP="00191861">
      <w:pPr>
        <w:ind w:left="57" w:right="57" w:firstLine="651"/>
        <w:jc w:val="both"/>
        <w:rPr>
          <w:sz w:val="28"/>
          <w:szCs w:val="28"/>
        </w:rPr>
      </w:pPr>
      <w:r w:rsidRPr="00467F9C">
        <w:rPr>
          <w:sz w:val="28"/>
          <w:szCs w:val="28"/>
        </w:rPr>
        <w:t>По состоянию на 1 января 2022 года в системе «Электронный бюджет»</w:t>
      </w:r>
      <w:r w:rsidRPr="00467F9C">
        <w:rPr>
          <w:sz w:val="28"/>
          <w:szCs w:val="28"/>
          <w:highlight w:val="yellow"/>
        </w:rPr>
        <w:t xml:space="preserve"> </w:t>
      </w:r>
      <w:r w:rsidRPr="00467F9C">
        <w:rPr>
          <w:sz w:val="28"/>
          <w:szCs w:val="28"/>
        </w:rPr>
        <w:t>утверждено 45</w:t>
      </w:r>
      <w:r w:rsidRPr="00467F9C">
        <w:rPr>
          <w:rStyle w:val="ab"/>
          <w:sz w:val="28"/>
          <w:szCs w:val="28"/>
        </w:rPr>
        <w:footnoteReference w:id="117"/>
      </w:r>
      <w:r w:rsidRPr="00467F9C">
        <w:rPr>
          <w:sz w:val="28"/>
          <w:szCs w:val="28"/>
        </w:rPr>
        <w:t xml:space="preserve"> региональных проектов. Соглашения о реализации всех региональных проектов заключены между отраслевым министерством РФ и Правительством Чукотского автономного округа. В 2021 году в действующие соглашения о реализации 33 региональных проектов, заключенных между руководителями федерального и регионального проектов, вносились изменения путем заключения 77 дополнительных соглашений. </w:t>
      </w:r>
    </w:p>
    <w:p w:rsidR="00191861" w:rsidRPr="00467F9C" w:rsidRDefault="00191861" w:rsidP="00191861">
      <w:pPr>
        <w:ind w:left="57" w:right="57"/>
        <w:jc w:val="both"/>
        <w:rPr>
          <w:sz w:val="28"/>
          <w:szCs w:val="28"/>
        </w:rPr>
      </w:pPr>
      <w:r w:rsidRPr="00467F9C">
        <w:rPr>
          <w:sz w:val="28"/>
          <w:szCs w:val="28"/>
        </w:rPr>
        <w:tab/>
        <w:t>На 2021 год паспортами региональных проектов предусмотрено финансирование 30 региональных проектов на общую сумму 3 317,2 млн. рублей.</w:t>
      </w:r>
    </w:p>
    <w:p w:rsidR="00191861" w:rsidRPr="00467F9C" w:rsidRDefault="00191861" w:rsidP="00191861">
      <w:pPr>
        <w:ind w:left="57" w:right="57"/>
        <w:jc w:val="both"/>
        <w:rPr>
          <w:sz w:val="28"/>
          <w:szCs w:val="28"/>
        </w:rPr>
      </w:pPr>
      <w:r w:rsidRPr="00467F9C">
        <w:rPr>
          <w:bCs/>
          <w:sz w:val="28"/>
          <w:szCs w:val="28"/>
        </w:rPr>
        <w:tab/>
        <w:t>Законом об окружном бюджете на 2021 год</w:t>
      </w:r>
      <w:r w:rsidRPr="00467F9C">
        <w:rPr>
          <w:rStyle w:val="ab"/>
          <w:bCs/>
          <w:sz w:val="28"/>
          <w:szCs w:val="28"/>
        </w:rPr>
        <w:footnoteReference w:id="118"/>
      </w:r>
      <w:r w:rsidRPr="00467F9C">
        <w:rPr>
          <w:sz w:val="28"/>
          <w:szCs w:val="28"/>
        </w:rPr>
        <w:t xml:space="preserve"> утверждены бюджетные ассигнования на реализацию мероприятий 29 региональных проектов в объеме 3 394,8 млн. рублей, в том числе: 1 597,8 млн. рублей – средства федерального бюджета и ГК «ФСРЖКХ», 1 797,0 млн. рублей – средства окружного бюджета. </w:t>
      </w:r>
    </w:p>
    <w:p w:rsidR="00191861" w:rsidRPr="00467F9C" w:rsidRDefault="00191861" w:rsidP="00191861">
      <w:pPr>
        <w:ind w:left="57" w:right="57"/>
        <w:jc w:val="both"/>
        <w:rPr>
          <w:sz w:val="28"/>
          <w:szCs w:val="28"/>
        </w:rPr>
      </w:pPr>
      <w:r w:rsidRPr="00467F9C">
        <w:rPr>
          <w:sz w:val="28"/>
          <w:szCs w:val="28"/>
        </w:rPr>
        <w:tab/>
        <w:t>Сводной бюджетной росписью утвержден объем бюджетных ассигнований на реализацию мероприятий 29 региональных проектов на общую сумму 3 392,2 млн. рублей, из них 184,96 млн. рублей на реализацию мероприятий, которые не предусмотрены паспортами региональных проектов.</w:t>
      </w:r>
    </w:p>
    <w:p w:rsidR="00191861" w:rsidRPr="00467F9C" w:rsidRDefault="00191861" w:rsidP="00191861">
      <w:pPr>
        <w:ind w:left="57" w:right="57"/>
        <w:jc w:val="both"/>
        <w:rPr>
          <w:sz w:val="28"/>
          <w:szCs w:val="28"/>
        </w:rPr>
      </w:pPr>
      <w:r w:rsidRPr="00467F9C">
        <w:rPr>
          <w:sz w:val="28"/>
          <w:szCs w:val="28"/>
        </w:rPr>
        <w:tab/>
        <w:t xml:space="preserve">Из федерального бюджета и ГК «ФСРЖКХ» в 2021 году поступило 1 544,4 млн. рублей, из них 801,6 млн. рублей или 51,9% поступило в 4 квартале 2021 года. </w:t>
      </w:r>
    </w:p>
    <w:p w:rsidR="00191861" w:rsidRPr="00467F9C" w:rsidRDefault="00191861" w:rsidP="00191861">
      <w:pPr>
        <w:ind w:left="57" w:right="57"/>
        <w:jc w:val="both"/>
        <w:rPr>
          <w:sz w:val="28"/>
          <w:szCs w:val="28"/>
        </w:rPr>
      </w:pPr>
      <w:r w:rsidRPr="00467F9C">
        <w:rPr>
          <w:sz w:val="28"/>
          <w:szCs w:val="28"/>
        </w:rPr>
        <w:tab/>
        <w:t>В отчетном периоде из окружного бюджета направлено на реализацию 29 региональных проектов 2 981,8 млн. рублей или 87,9 % от утвержденных сводной бюджетной росписью бюджетных ассигнований.</w:t>
      </w:r>
    </w:p>
    <w:p w:rsidR="00191861" w:rsidRPr="00467F9C" w:rsidRDefault="00191861" w:rsidP="00191861">
      <w:pPr>
        <w:ind w:left="57" w:right="57"/>
        <w:jc w:val="both"/>
        <w:rPr>
          <w:sz w:val="28"/>
          <w:szCs w:val="28"/>
        </w:rPr>
      </w:pPr>
      <w:r w:rsidRPr="00467F9C">
        <w:rPr>
          <w:sz w:val="28"/>
          <w:szCs w:val="28"/>
        </w:rPr>
        <w:tab/>
        <w:t xml:space="preserve">По данным, отраженным в Отчетах о ходе реализации региональных проектов за 2021 год, на реализацию мероприятий региональных проектов направлены бюджетные ассигнования в объеме 2 805,5 млн. рублей или 84,6% от утвержденных паспортами </w:t>
      </w:r>
      <w:proofErr w:type="spellStart"/>
      <w:r w:rsidRPr="00467F9C">
        <w:rPr>
          <w:sz w:val="28"/>
          <w:szCs w:val="28"/>
        </w:rPr>
        <w:t>регпроектов</w:t>
      </w:r>
      <w:proofErr w:type="spellEnd"/>
      <w:r w:rsidRPr="00467F9C">
        <w:rPr>
          <w:sz w:val="28"/>
          <w:szCs w:val="28"/>
        </w:rPr>
        <w:t xml:space="preserve"> объемов финансовых ресурсов. </w:t>
      </w:r>
    </w:p>
    <w:p w:rsidR="00191861" w:rsidRPr="00467F9C" w:rsidRDefault="00191861" w:rsidP="00191861">
      <w:pPr>
        <w:ind w:left="57" w:right="57"/>
        <w:jc w:val="both"/>
        <w:rPr>
          <w:sz w:val="28"/>
          <w:szCs w:val="28"/>
        </w:rPr>
      </w:pPr>
      <w:r w:rsidRPr="00467F9C">
        <w:rPr>
          <w:sz w:val="28"/>
          <w:szCs w:val="28"/>
        </w:rPr>
        <w:tab/>
        <w:t xml:space="preserve">По представленной ответственными исполнителями мероприятий региональных проектов информации, фактическое исполнение мероприятий </w:t>
      </w:r>
      <w:r w:rsidRPr="00467F9C">
        <w:rPr>
          <w:sz w:val="28"/>
          <w:szCs w:val="28"/>
        </w:rPr>
        <w:lastRenderedPageBreak/>
        <w:t>региональных проектов за 2021 год составило 1 810,7 млн. рублей (из них 104,9 млн. рублей за счет бюджетных ассигнований 2020 года), по данным Счетной палаты, фактическое исполнение мероприятий РП составило 1 747,0 млн. рублей (рис.1).</w:t>
      </w:r>
      <w:r w:rsidRPr="00467F9C">
        <w:rPr>
          <w:sz w:val="28"/>
          <w:szCs w:val="28"/>
        </w:rPr>
        <w:tab/>
      </w:r>
    </w:p>
    <w:p w:rsidR="00191861" w:rsidRPr="00467F9C" w:rsidRDefault="00191861" w:rsidP="00191861">
      <w:pPr>
        <w:ind w:left="57" w:right="57"/>
        <w:jc w:val="both"/>
        <w:rPr>
          <w:sz w:val="28"/>
          <w:szCs w:val="28"/>
        </w:rPr>
      </w:pPr>
      <w:r w:rsidRPr="00467F9C">
        <w:rPr>
          <w:sz w:val="28"/>
          <w:szCs w:val="28"/>
        </w:rPr>
        <w:t xml:space="preserve">                                                                                                       </w:t>
      </w:r>
      <w:r w:rsidRPr="00467F9C">
        <w:rPr>
          <w:noProof/>
        </w:rPr>
        <w:drawing>
          <wp:inline distT="0" distB="0" distL="0" distR="0" wp14:anchorId="356CB2C0" wp14:editId="261236DC">
            <wp:extent cx="6270171" cy="1071245"/>
            <wp:effectExtent l="0" t="0" r="16510" b="14605"/>
            <wp:docPr id="4" name="Диаграмма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B404A2E-68C2-4A48-AFF4-BBA4F36712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91861" w:rsidRPr="00467F9C" w:rsidRDefault="00191861" w:rsidP="00191861">
      <w:pPr>
        <w:ind w:left="57" w:right="57"/>
        <w:jc w:val="center"/>
      </w:pPr>
      <w:r w:rsidRPr="00467F9C">
        <w:t>Рис.1 (млн. руб</w:t>
      </w:r>
      <w:r w:rsidR="00101017">
        <w:t>лей</w:t>
      </w:r>
      <w:r w:rsidRPr="00467F9C">
        <w:t>)</w:t>
      </w:r>
    </w:p>
    <w:p w:rsidR="00191861" w:rsidRPr="00467F9C" w:rsidRDefault="00191861" w:rsidP="00191861">
      <w:pPr>
        <w:ind w:left="57" w:right="57"/>
        <w:jc w:val="both"/>
        <w:rPr>
          <w:sz w:val="6"/>
          <w:szCs w:val="6"/>
        </w:rPr>
      </w:pPr>
    </w:p>
    <w:p w:rsidR="00191861" w:rsidRPr="00467F9C" w:rsidRDefault="00191861" w:rsidP="00191861">
      <w:pPr>
        <w:ind w:left="57" w:right="57"/>
        <w:jc w:val="both"/>
        <w:rPr>
          <w:sz w:val="28"/>
          <w:szCs w:val="28"/>
        </w:rPr>
      </w:pPr>
      <w:r w:rsidRPr="00467F9C">
        <w:rPr>
          <w:sz w:val="28"/>
          <w:szCs w:val="28"/>
        </w:rPr>
        <w:tab/>
        <w:t xml:space="preserve">Информация о ходе реализации региональных проектов в разрезе национальных проектов за 2021 год приведена в таблице №2. </w:t>
      </w:r>
    </w:p>
    <w:p w:rsidR="00191861" w:rsidRPr="00467F9C" w:rsidRDefault="00191861" w:rsidP="00191861">
      <w:pPr>
        <w:ind w:left="57" w:right="57"/>
        <w:jc w:val="both"/>
        <w:rPr>
          <w:sz w:val="28"/>
          <w:szCs w:val="28"/>
        </w:rPr>
      </w:pP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t xml:space="preserve">        Таблица №2</w:t>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t xml:space="preserve">                         </w:t>
      </w:r>
      <w:proofErr w:type="gramStart"/>
      <w:r w:rsidRPr="00467F9C">
        <w:rPr>
          <w:sz w:val="28"/>
          <w:szCs w:val="28"/>
        </w:rPr>
        <w:t xml:space="preserve">   (</w:t>
      </w:r>
      <w:proofErr w:type="spellStart"/>
      <w:proofErr w:type="gramEnd"/>
      <w:r w:rsidRPr="00467F9C">
        <w:rPr>
          <w:sz w:val="28"/>
          <w:szCs w:val="28"/>
        </w:rPr>
        <w:t>млн.рублей</w:t>
      </w:r>
      <w:proofErr w:type="spellEnd"/>
      <w:r w:rsidRPr="00467F9C">
        <w:rPr>
          <w:sz w:val="28"/>
          <w:szCs w:val="28"/>
        </w:rPr>
        <w:t>)</w:t>
      </w:r>
    </w:p>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154"/>
        <w:gridCol w:w="992"/>
        <w:gridCol w:w="707"/>
        <w:gridCol w:w="1138"/>
        <w:gridCol w:w="850"/>
        <w:gridCol w:w="568"/>
        <w:gridCol w:w="945"/>
        <w:gridCol w:w="1040"/>
      </w:tblGrid>
      <w:tr w:rsidR="00467F9C" w:rsidRPr="00AF6309" w:rsidTr="00AF6309">
        <w:trPr>
          <w:trHeight w:val="370"/>
          <w:jc w:val="center"/>
        </w:trPr>
        <w:tc>
          <w:tcPr>
            <w:tcW w:w="2547" w:type="dxa"/>
            <w:vMerge w:val="restart"/>
            <w:shd w:val="clear" w:color="000000" w:fill="FFFFFF"/>
            <w:vAlign w:val="center"/>
            <w:hideMark/>
          </w:tcPr>
          <w:p w:rsidR="00191861" w:rsidRPr="00AF6309" w:rsidRDefault="00191861" w:rsidP="00191861">
            <w:pPr>
              <w:ind w:left="57" w:right="57"/>
              <w:jc w:val="center"/>
              <w:rPr>
                <w:bCs/>
                <w:sz w:val="20"/>
                <w:szCs w:val="20"/>
              </w:rPr>
            </w:pPr>
            <w:r w:rsidRPr="00AF6309">
              <w:rPr>
                <w:bCs/>
                <w:sz w:val="20"/>
                <w:szCs w:val="20"/>
              </w:rPr>
              <w:t>Наименование национального проекта</w:t>
            </w:r>
          </w:p>
        </w:tc>
        <w:tc>
          <w:tcPr>
            <w:tcW w:w="2853" w:type="dxa"/>
            <w:gridSpan w:val="3"/>
            <w:shd w:val="clear" w:color="000000" w:fill="FFFFFF"/>
            <w:vAlign w:val="center"/>
            <w:hideMark/>
          </w:tcPr>
          <w:p w:rsidR="00191861" w:rsidRPr="00AF6309" w:rsidRDefault="00191861" w:rsidP="00191861">
            <w:pPr>
              <w:ind w:left="57" w:right="57"/>
              <w:jc w:val="center"/>
              <w:rPr>
                <w:bCs/>
                <w:sz w:val="20"/>
                <w:szCs w:val="20"/>
              </w:rPr>
            </w:pPr>
            <w:r w:rsidRPr="00AF6309">
              <w:rPr>
                <w:bCs/>
                <w:sz w:val="20"/>
                <w:szCs w:val="20"/>
              </w:rPr>
              <w:t>ГИИС "Электронный бюджет"</w:t>
            </w:r>
          </w:p>
        </w:tc>
        <w:tc>
          <w:tcPr>
            <w:tcW w:w="2556" w:type="dxa"/>
            <w:gridSpan w:val="3"/>
            <w:shd w:val="clear" w:color="000000" w:fill="FFFFFF"/>
            <w:vAlign w:val="center"/>
            <w:hideMark/>
          </w:tcPr>
          <w:p w:rsidR="00191861" w:rsidRPr="00AF6309" w:rsidRDefault="00191861" w:rsidP="00191861">
            <w:pPr>
              <w:ind w:left="57" w:right="57"/>
              <w:jc w:val="center"/>
              <w:rPr>
                <w:bCs/>
                <w:sz w:val="20"/>
                <w:szCs w:val="20"/>
              </w:rPr>
            </w:pPr>
            <w:r w:rsidRPr="00AF6309">
              <w:rPr>
                <w:bCs/>
                <w:sz w:val="20"/>
                <w:szCs w:val="20"/>
              </w:rPr>
              <w:t>Форма 0503117-НП</w:t>
            </w:r>
          </w:p>
        </w:tc>
        <w:tc>
          <w:tcPr>
            <w:tcW w:w="1985" w:type="dxa"/>
            <w:gridSpan w:val="2"/>
            <w:shd w:val="clear" w:color="000000" w:fill="FFFFFF"/>
            <w:vAlign w:val="center"/>
            <w:hideMark/>
          </w:tcPr>
          <w:p w:rsidR="00191861" w:rsidRPr="00AF6309" w:rsidRDefault="00191861" w:rsidP="00191861">
            <w:pPr>
              <w:ind w:left="57" w:right="57"/>
              <w:jc w:val="center"/>
              <w:rPr>
                <w:bCs/>
                <w:sz w:val="20"/>
                <w:szCs w:val="20"/>
              </w:rPr>
            </w:pPr>
            <w:r w:rsidRPr="00AF6309">
              <w:rPr>
                <w:bCs/>
                <w:sz w:val="20"/>
                <w:szCs w:val="20"/>
              </w:rPr>
              <w:t>Фактическое выполнение</w:t>
            </w:r>
          </w:p>
        </w:tc>
      </w:tr>
      <w:tr w:rsidR="00467F9C" w:rsidRPr="00AF6309" w:rsidTr="00AF6309">
        <w:trPr>
          <w:trHeight w:val="517"/>
          <w:jc w:val="center"/>
        </w:trPr>
        <w:tc>
          <w:tcPr>
            <w:tcW w:w="2547" w:type="dxa"/>
            <w:vMerge/>
            <w:vAlign w:val="center"/>
            <w:hideMark/>
          </w:tcPr>
          <w:p w:rsidR="00191861" w:rsidRPr="00AF6309" w:rsidRDefault="00191861" w:rsidP="00191861">
            <w:pPr>
              <w:ind w:left="57" w:right="57"/>
              <w:jc w:val="center"/>
              <w:rPr>
                <w:bCs/>
                <w:sz w:val="20"/>
                <w:szCs w:val="20"/>
              </w:rPr>
            </w:pPr>
          </w:p>
        </w:tc>
        <w:tc>
          <w:tcPr>
            <w:tcW w:w="1154" w:type="dxa"/>
            <w:vMerge w:val="restart"/>
            <w:shd w:val="clear" w:color="000000" w:fill="FFFFFF"/>
            <w:vAlign w:val="center"/>
            <w:hideMark/>
          </w:tcPr>
          <w:p w:rsidR="00191861" w:rsidRPr="00AF6309" w:rsidRDefault="00191861" w:rsidP="00AF6309">
            <w:pPr>
              <w:ind w:left="-77" w:right="-103"/>
              <w:jc w:val="center"/>
              <w:rPr>
                <w:bCs/>
                <w:sz w:val="20"/>
                <w:szCs w:val="20"/>
              </w:rPr>
            </w:pPr>
            <w:r w:rsidRPr="00AF6309">
              <w:rPr>
                <w:bCs/>
                <w:sz w:val="20"/>
                <w:szCs w:val="20"/>
              </w:rPr>
              <w:t>Утверждено Паспортом РП*</w:t>
            </w:r>
          </w:p>
        </w:tc>
        <w:tc>
          <w:tcPr>
            <w:tcW w:w="992" w:type="dxa"/>
            <w:vMerge w:val="restart"/>
            <w:shd w:val="clear" w:color="000000" w:fill="FFFFFF"/>
            <w:vAlign w:val="center"/>
            <w:hideMark/>
          </w:tcPr>
          <w:p w:rsidR="00191861" w:rsidRPr="00AF6309" w:rsidRDefault="00191861" w:rsidP="00191861">
            <w:pPr>
              <w:ind w:left="-108" w:right="-109"/>
              <w:jc w:val="center"/>
              <w:rPr>
                <w:bCs/>
                <w:sz w:val="20"/>
                <w:szCs w:val="20"/>
              </w:rPr>
            </w:pPr>
            <w:r w:rsidRPr="00AF6309">
              <w:rPr>
                <w:bCs/>
                <w:sz w:val="20"/>
                <w:szCs w:val="20"/>
              </w:rPr>
              <w:t xml:space="preserve">Исполнено (кассовый </w:t>
            </w:r>
            <w:proofErr w:type="gramStart"/>
            <w:r w:rsidRPr="00AF6309">
              <w:rPr>
                <w:bCs/>
                <w:sz w:val="20"/>
                <w:szCs w:val="20"/>
              </w:rPr>
              <w:t>расход)*</w:t>
            </w:r>
            <w:proofErr w:type="gramEnd"/>
          </w:p>
        </w:tc>
        <w:tc>
          <w:tcPr>
            <w:tcW w:w="707" w:type="dxa"/>
            <w:vMerge w:val="restart"/>
            <w:shd w:val="clear" w:color="000000" w:fill="FFFFFF"/>
            <w:vAlign w:val="center"/>
            <w:hideMark/>
          </w:tcPr>
          <w:p w:rsidR="00191861" w:rsidRPr="00AF6309" w:rsidRDefault="00191861" w:rsidP="00191861">
            <w:pPr>
              <w:ind w:left="57" w:right="57"/>
              <w:jc w:val="center"/>
              <w:rPr>
                <w:bCs/>
                <w:sz w:val="20"/>
                <w:szCs w:val="20"/>
              </w:rPr>
            </w:pPr>
            <w:r w:rsidRPr="00AF6309">
              <w:rPr>
                <w:bCs/>
                <w:sz w:val="20"/>
                <w:szCs w:val="20"/>
              </w:rPr>
              <w:t>%</w:t>
            </w:r>
          </w:p>
        </w:tc>
        <w:tc>
          <w:tcPr>
            <w:tcW w:w="1138" w:type="dxa"/>
            <w:vMerge w:val="restart"/>
            <w:shd w:val="clear" w:color="000000" w:fill="FFFFFF"/>
            <w:vAlign w:val="center"/>
            <w:hideMark/>
          </w:tcPr>
          <w:p w:rsidR="00191861" w:rsidRPr="00AF6309" w:rsidRDefault="00191861" w:rsidP="00191861">
            <w:pPr>
              <w:ind w:left="-105" w:right="-125"/>
              <w:jc w:val="center"/>
              <w:rPr>
                <w:bCs/>
                <w:sz w:val="20"/>
                <w:szCs w:val="20"/>
              </w:rPr>
            </w:pPr>
            <w:r w:rsidRPr="00AF6309">
              <w:rPr>
                <w:bCs/>
                <w:sz w:val="20"/>
                <w:szCs w:val="20"/>
              </w:rPr>
              <w:t>Утверждено СБР</w:t>
            </w:r>
          </w:p>
        </w:tc>
        <w:tc>
          <w:tcPr>
            <w:tcW w:w="850" w:type="dxa"/>
            <w:vMerge w:val="restart"/>
            <w:shd w:val="clear" w:color="000000" w:fill="FFFFFF"/>
            <w:vAlign w:val="center"/>
            <w:hideMark/>
          </w:tcPr>
          <w:p w:rsidR="00191861" w:rsidRPr="00AF6309" w:rsidRDefault="00191861" w:rsidP="00191861">
            <w:pPr>
              <w:ind w:left="-113" w:right="-60"/>
              <w:jc w:val="center"/>
              <w:rPr>
                <w:bCs/>
                <w:sz w:val="20"/>
                <w:szCs w:val="20"/>
              </w:rPr>
            </w:pPr>
            <w:proofErr w:type="spellStart"/>
            <w:proofErr w:type="gramStart"/>
            <w:r w:rsidRPr="00AF6309">
              <w:rPr>
                <w:bCs/>
                <w:sz w:val="20"/>
                <w:szCs w:val="20"/>
              </w:rPr>
              <w:t>Испол</w:t>
            </w:r>
            <w:r w:rsidR="00AF6309">
              <w:rPr>
                <w:bCs/>
                <w:sz w:val="20"/>
                <w:szCs w:val="20"/>
              </w:rPr>
              <w:t>-</w:t>
            </w:r>
            <w:r w:rsidRPr="00AF6309">
              <w:rPr>
                <w:bCs/>
                <w:sz w:val="20"/>
                <w:szCs w:val="20"/>
              </w:rPr>
              <w:t>нено</w:t>
            </w:r>
            <w:proofErr w:type="spellEnd"/>
            <w:proofErr w:type="gramEnd"/>
          </w:p>
        </w:tc>
        <w:tc>
          <w:tcPr>
            <w:tcW w:w="568" w:type="dxa"/>
            <w:vMerge w:val="restart"/>
            <w:shd w:val="clear" w:color="000000" w:fill="FFFFFF"/>
            <w:vAlign w:val="center"/>
            <w:hideMark/>
          </w:tcPr>
          <w:p w:rsidR="00191861" w:rsidRPr="00AF6309" w:rsidRDefault="00191861" w:rsidP="00191861">
            <w:pPr>
              <w:ind w:left="57" w:right="57"/>
              <w:jc w:val="center"/>
              <w:rPr>
                <w:bCs/>
                <w:sz w:val="20"/>
                <w:szCs w:val="20"/>
              </w:rPr>
            </w:pPr>
            <w:r w:rsidRPr="00AF6309">
              <w:rPr>
                <w:bCs/>
                <w:sz w:val="20"/>
                <w:szCs w:val="20"/>
              </w:rPr>
              <w:t>%</w:t>
            </w:r>
          </w:p>
        </w:tc>
        <w:tc>
          <w:tcPr>
            <w:tcW w:w="945" w:type="dxa"/>
            <w:vMerge w:val="restart"/>
            <w:shd w:val="clear" w:color="000000" w:fill="FFFFFF"/>
            <w:vAlign w:val="center"/>
            <w:hideMark/>
          </w:tcPr>
          <w:p w:rsidR="00191861" w:rsidRPr="00AF6309" w:rsidRDefault="00191861" w:rsidP="00AF6309">
            <w:pPr>
              <w:ind w:left="-103" w:right="-161"/>
              <w:jc w:val="center"/>
              <w:rPr>
                <w:bCs/>
                <w:sz w:val="20"/>
                <w:szCs w:val="20"/>
              </w:rPr>
            </w:pPr>
            <w:r w:rsidRPr="00AF6309">
              <w:rPr>
                <w:bCs/>
                <w:sz w:val="20"/>
                <w:szCs w:val="20"/>
              </w:rPr>
              <w:t>данные ГАБС</w:t>
            </w:r>
          </w:p>
        </w:tc>
        <w:tc>
          <w:tcPr>
            <w:tcW w:w="1040" w:type="dxa"/>
            <w:vMerge w:val="restart"/>
            <w:shd w:val="clear" w:color="000000" w:fill="FFFFFF"/>
            <w:vAlign w:val="center"/>
            <w:hideMark/>
          </w:tcPr>
          <w:p w:rsidR="00191861" w:rsidRPr="00AF6309" w:rsidRDefault="00191861" w:rsidP="00AF6309">
            <w:pPr>
              <w:ind w:left="-63" w:right="-105"/>
              <w:jc w:val="center"/>
              <w:rPr>
                <w:bCs/>
                <w:sz w:val="20"/>
                <w:szCs w:val="20"/>
              </w:rPr>
            </w:pPr>
            <w:r w:rsidRPr="00AF6309">
              <w:rPr>
                <w:bCs/>
                <w:sz w:val="20"/>
                <w:szCs w:val="20"/>
              </w:rPr>
              <w:t>Данные Счетной палаты</w:t>
            </w:r>
          </w:p>
        </w:tc>
      </w:tr>
      <w:tr w:rsidR="00467F9C" w:rsidRPr="00AF6309" w:rsidTr="00AF6309">
        <w:trPr>
          <w:trHeight w:val="517"/>
          <w:jc w:val="center"/>
        </w:trPr>
        <w:tc>
          <w:tcPr>
            <w:tcW w:w="2547" w:type="dxa"/>
            <w:vMerge/>
            <w:vAlign w:val="center"/>
            <w:hideMark/>
          </w:tcPr>
          <w:p w:rsidR="00191861" w:rsidRPr="00AF6309" w:rsidRDefault="00191861" w:rsidP="00191861">
            <w:pPr>
              <w:ind w:left="57" w:right="57"/>
              <w:jc w:val="center"/>
              <w:rPr>
                <w:b/>
                <w:bCs/>
                <w:sz w:val="20"/>
                <w:szCs w:val="20"/>
              </w:rPr>
            </w:pPr>
          </w:p>
        </w:tc>
        <w:tc>
          <w:tcPr>
            <w:tcW w:w="1154" w:type="dxa"/>
            <w:vMerge/>
            <w:vAlign w:val="center"/>
            <w:hideMark/>
          </w:tcPr>
          <w:p w:rsidR="00191861" w:rsidRPr="00AF6309" w:rsidRDefault="00191861" w:rsidP="00191861">
            <w:pPr>
              <w:ind w:left="57" w:right="57"/>
              <w:jc w:val="center"/>
              <w:rPr>
                <w:b/>
                <w:bCs/>
                <w:sz w:val="20"/>
                <w:szCs w:val="20"/>
              </w:rPr>
            </w:pPr>
          </w:p>
        </w:tc>
        <w:tc>
          <w:tcPr>
            <w:tcW w:w="992" w:type="dxa"/>
            <w:vMerge/>
            <w:vAlign w:val="center"/>
            <w:hideMark/>
          </w:tcPr>
          <w:p w:rsidR="00191861" w:rsidRPr="00AF6309" w:rsidRDefault="00191861" w:rsidP="00191861">
            <w:pPr>
              <w:ind w:left="57" w:right="57"/>
              <w:jc w:val="center"/>
              <w:rPr>
                <w:b/>
                <w:bCs/>
                <w:sz w:val="20"/>
                <w:szCs w:val="20"/>
              </w:rPr>
            </w:pPr>
          </w:p>
        </w:tc>
        <w:tc>
          <w:tcPr>
            <w:tcW w:w="707" w:type="dxa"/>
            <w:vMerge/>
            <w:vAlign w:val="center"/>
            <w:hideMark/>
          </w:tcPr>
          <w:p w:rsidR="00191861" w:rsidRPr="00AF6309" w:rsidRDefault="00191861" w:rsidP="00191861">
            <w:pPr>
              <w:ind w:left="57" w:right="57"/>
              <w:jc w:val="center"/>
              <w:rPr>
                <w:b/>
                <w:bCs/>
                <w:sz w:val="20"/>
                <w:szCs w:val="20"/>
              </w:rPr>
            </w:pPr>
          </w:p>
        </w:tc>
        <w:tc>
          <w:tcPr>
            <w:tcW w:w="1138" w:type="dxa"/>
            <w:vMerge/>
            <w:vAlign w:val="center"/>
            <w:hideMark/>
          </w:tcPr>
          <w:p w:rsidR="00191861" w:rsidRPr="00AF6309" w:rsidRDefault="00191861" w:rsidP="00191861">
            <w:pPr>
              <w:ind w:left="57" w:right="57"/>
              <w:jc w:val="center"/>
              <w:rPr>
                <w:b/>
                <w:bCs/>
                <w:sz w:val="20"/>
                <w:szCs w:val="20"/>
              </w:rPr>
            </w:pPr>
          </w:p>
        </w:tc>
        <w:tc>
          <w:tcPr>
            <w:tcW w:w="850" w:type="dxa"/>
            <w:vMerge/>
            <w:vAlign w:val="center"/>
            <w:hideMark/>
          </w:tcPr>
          <w:p w:rsidR="00191861" w:rsidRPr="00AF6309" w:rsidRDefault="00191861" w:rsidP="00191861">
            <w:pPr>
              <w:ind w:left="57" w:right="57"/>
              <w:jc w:val="center"/>
              <w:rPr>
                <w:b/>
                <w:bCs/>
                <w:sz w:val="20"/>
                <w:szCs w:val="20"/>
              </w:rPr>
            </w:pPr>
          </w:p>
        </w:tc>
        <w:tc>
          <w:tcPr>
            <w:tcW w:w="568" w:type="dxa"/>
            <w:vMerge/>
            <w:vAlign w:val="center"/>
            <w:hideMark/>
          </w:tcPr>
          <w:p w:rsidR="00191861" w:rsidRPr="00AF6309" w:rsidRDefault="00191861" w:rsidP="00191861">
            <w:pPr>
              <w:ind w:left="57" w:right="57"/>
              <w:jc w:val="center"/>
              <w:rPr>
                <w:b/>
                <w:bCs/>
                <w:sz w:val="20"/>
                <w:szCs w:val="20"/>
              </w:rPr>
            </w:pPr>
          </w:p>
        </w:tc>
        <w:tc>
          <w:tcPr>
            <w:tcW w:w="945" w:type="dxa"/>
            <w:vMerge/>
            <w:vAlign w:val="center"/>
            <w:hideMark/>
          </w:tcPr>
          <w:p w:rsidR="00191861" w:rsidRPr="00AF6309" w:rsidRDefault="00191861" w:rsidP="00AF6309">
            <w:pPr>
              <w:ind w:left="-103" w:right="-161"/>
              <w:jc w:val="center"/>
              <w:rPr>
                <w:b/>
                <w:bCs/>
                <w:sz w:val="20"/>
                <w:szCs w:val="20"/>
              </w:rPr>
            </w:pPr>
          </w:p>
        </w:tc>
        <w:tc>
          <w:tcPr>
            <w:tcW w:w="1040" w:type="dxa"/>
            <w:vMerge/>
            <w:vAlign w:val="center"/>
            <w:hideMark/>
          </w:tcPr>
          <w:p w:rsidR="00191861" w:rsidRPr="00AF6309" w:rsidRDefault="00191861" w:rsidP="00191861">
            <w:pPr>
              <w:ind w:left="57" w:right="57"/>
              <w:jc w:val="center"/>
              <w:rPr>
                <w:b/>
                <w:bCs/>
                <w:sz w:val="20"/>
                <w:szCs w:val="20"/>
              </w:rPr>
            </w:pPr>
          </w:p>
        </w:tc>
      </w:tr>
      <w:tr w:rsidR="00467F9C" w:rsidRPr="00AF6309" w:rsidTr="00AF6309">
        <w:trPr>
          <w:trHeight w:val="150"/>
          <w:jc w:val="center"/>
        </w:trPr>
        <w:tc>
          <w:tcPr>
            <w:tcW w:w="2547" w:type="dxa"/>
            <w:shd w:val="clear" w:color="000000" w:fill="FFFFFF"/>
            <w:vAlign w:val="center"/>
            <w:hideMark/>
          </w:tcPr>
          <w:p w:rsidR="00191861" w:rsidRPr="00AF6309" w:rsidRDefault="00191861" w:rsidP="00191861">
            <w:pPr>
              <w:ind w:left="57" w:right="57"/>
              <w:jc w:val="center"/>
              <w:rPr>
                <w:sz w:val="20"/>
                <w:szCs w:val="20"/>
              </w:rPr>
            </w:pPr>
            <w:r w:rsidRPr="00AF6309">
              <w:rPr>
                <w:sz w:val="20"/>
                <w:szCs w:val="20"/>
              </w:rPr>
              <w:t>1</w:t>
            </w:r>
          </w:p>
        </w:tc>
        <w:tc>
          <w:tcPr>
            <w:tcW w:w="1154"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2</w:t>
            </w:r>
          </w:p>
        </w:tc>
        <w:tc>
          <w:tcPr>
            <w:tcW w:w="992"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3</w:t>
            </w:r>
          </w:p>
        </w:tc>
        <w:tc>
          <w:tcPr>
            <w:tcW w:w="707"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4</w:t>
            </w:r>
          </w:p>
        </w:tc>
        <w:tc>
          <w:tcPr>
            <w:tcW w:w="1138"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5</w:t>
            </w:r>
          </w:p>
        </w:tc>
        <w:tc>
          <w:tcPr>
            <w:tcW w:w="850"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6</w:t>
            </w:r>
          </w:p>
        </w:tc>
        <w:tc>
          <w:tcPr>
            <w:tcW w:w="568"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7</w:t>
            </w:r>
          </w:p>
        </w:tc>
        <w:tc>
          <w:tcPr>
            <w:tcW w:w="945" w:type="dxa"/>
            <w:shd w:val="clear" w:color="000000" w:fill="FFFFFF"/>
            <w:vAlign w:val="center"/>
            <w:hideMark/>
          </w:tcPr>
          <w:p w:rsidR="00191861" w:rsidRPr="00AF6309" w:rsidRDefault="00191861" w:rsidP="00AF6309">
            <w:pPr>
              <w:ind w:left="-103" w:right="-161"/>
              <w:jc w:val="center"/>
              <w:rPr>
                <w:sz w:val="20"/>
                <w:szCs w:val="20"/>
              </w:rPr>
            </w:pPr>
            <w:r w:rsidRPr="00AF6309">
              <w:rPr>
                <w:sz w:val="20"/>
                <w:szCs w:val="20"/>
              </w:rPr>
              <w:t>8</w:t>
            </w:r>
          </w:p>
        </w:tc>
        <w:tc>
          <w:tcPr>
            <w:tcW w:w="1040"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9</w:t>
            </w:r>
          </w:p>
        </w:tc>
      </w:tr>
      <w:tr w:rsidR="00467F9C" w:rsidRPr="00AF6309" w:rsidTr="00AF6309">
        <w:trPr>
          <w:trHeight w:val="150"/>
          <w:jc w:val="center"/>
        </w:trPr>
        <w:tc>
          <w:tcPr>
            <w:tcW w:w="2547" w:type="dxa"/>
            <w:shd w:val="clear" w:color="000000" w:fill="FFFFFF"/>
            <w:vAlign w:val="center"/>
            <w:hideMark/>
          </w:tcPr>
          <w:p w:rsidR="00191861" w:rsidRPr="00AF6309" w:rsidRDefault="00191861" w:rsidP="00191861">
            <w:pPr>
              <w:ind w:left="57" w:right="57"/>
              <w:rPr>
                <w:sz w:val="20"/>
                <w:szCs w:val="20"/>
              </w:rPr>
            </w:pPr>
            <w:r w:rsidRPr="00AF6309">
              <w:rPr>
                <w:sz w:val="20"/>
                <w:szCs w:val="20"/>
              </w:rPr>
              <w:t>Демография</w:t>
            </w:r>
          </w:p>
        </w:tc>
        <w:tc>
          <w:tcPr>
            <w:tcW w:w="1154"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675,7</w:t>
            </w:r>
          </w:p>
        </w:tc>
        <w:tc>
          <w:tcPr>
            <w:tcW w:w="992"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525,5</w:t>
            </w:r>
          </w:p>
        </w:tc>
        <w:tc>
          <w:tcPr>
            <w:tcW w:w="707" w:type="dxa"/>
            <w:shd w:val="clear" w:color="000000" w:fill="FFFFFF"/>
            <w:noWrap/>
            <w:vAlign w:val="center"/>
            <w:hideMark/>
          </w:tcPr>
          <w:p w:rsidR="00191861" w:rsidRPr="00AF6309" w:rsidRDefault="00191861" w:rsidP="00AF6309">
            <w:pPr>
              <w:ind w:right="-95"/>
              <w:jc w:val="center"/>
              <w:rPr>
                <w:sz w:val="20"/>
                <w:szCs w:val="20"/>
              </w:rPr>
            </w:pPr>
            <w:r w:rsidRPr="00AF6309">
              <w:rPr>
                <w:sz w:val="20"/>
                <w:szCs w:val="20"/>
              </w:rPr>
              <w:t>77,8</w:t>
            </w:r>
          </w:p>
        </w:tc>
        <w:tc>
          <w:tcPr>
            <w:tcW w:w="1138"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673,7</w:t>
            </w:r>
          </w:p>
        </w:tc>
        <w:tc>
          <w:tcPr>
            <w:tcW w:w="850"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524,7</w:t>
            </w:r>
          </w:p>
        </w:tc>
        <w:tc>
          <w:tcPr>
            <w:tcW w:w="568" w:type="dxa"/>
            <w:shd w:val="clear" w:color="000000" w:fill="FFFFFF"/>
            <w:noWrap/>
            <w:vAlign w:val="center"/>
            <w:hideMark/>
          </w:tcPr>
          <w:p w:rsidR="00191861" w:rsidRPr="00AF6309" w:rsidRDefault="00191861" w:rsidP="00AF6309">
            <w:pPr>
              <w:ind w:left="-101" w:right="-111"/>
              <w:jc w:val="center"/>
              <w:rPr>
                <w:sz w:val="20"/>
                <w:szCs w:val="20"/>
              </w:rPr>
            </w:pPr>
            <w:r w:rsidRPr="00AF6309">
              <w:rPr>
                <w:sz w:val="20"/>
                <w:szCs w:val="20"/>
              </w:rPr>
              <w:t>77,9</w:t>
            </w:r>
          </w:p>
        </w:tc>
        <w:tc>
          <w:tcPr>
            <w:tcW w:w="945" w:type="dxa"/>
            <w:shd w:val="clear" w:color="000000" w:fill="FFFFFF"/>
            <w:vAlign w:val="center"/>
            <w:hideMark/>
          </w:tcPr>
          <w:p w:rsidR="00191861" w:rsidRPr="00AF6309" w:rsidRDefault="00191861" w:rsidP="00191861">
            <w:pPr>
              <w:ind w:left="57" w:right="57"/>
              <w:jc w:val="center"/>
              <w:rPr>
                <w:sz w:val="20"/>
                <w:szCs w:val="20"/>
              </w:rPr>
            </w:pPr>
            <w:r w:rsidRPr="00AF6309">
              <w:rPr>
                <w:sz w:val="20"/>
                <w:szCs w:val="20"/>
              </w:rPr>
              <w:t>529,3</w:t>
            </w:r>
          </w:p>
        </w:tc>
        <w:tc>
          <w:tcPr>
            <w:tcW w:w="1040" w:type="dxa"/>
            <w:shd w:val="clear" w:color="000000" w:fill="FFFFFF"/>
            <w:vAlign w:val="center"/>
            <w:hideMark/>
          </w:tcPr>
          <w:p w:rsidR="00191861" w:rsidRPr="00AF6309" w:rsidRDefault="00191861" w:rsidP="00191861">
            <w:pPr>
              <w:ind w:left="57" w:right="57"/>
              <w:jc w:val="center"/>
              <w:rPr>
                <w:sz w:val="20"/>
                <w:szCs w:val="20"/>
              </w:rPr>
            </w:pPr>
            <w:r w:rsidRPr="00AF6309">
              <w:rPr>
                <w:sz w:val="20"/>
                <w:szCs w:val="20"/>
              </w:rPr>
              <w:t>529,3</w:t>
            </w:r>
          </w:p>
        </w:tc>
      </w:tr>
      <w:tr w:rsidR="00467F9C" w:rsidRPr="00AF6309" w:rsidTr="00AF6309">
        <w:trPr>
          <w:trHeight w:val="150"/>
          <w:jc w:val="center"/>
        </w:trPr>
        <w:tc>
          <w:tcPr>
            <w:tcW w:w="2547" w:type="dxa"/>
            <w:shd w:val="clear" w:color="000000" w:fill="FFFFFF"/>
            <w:vAlign w:val="center"/>
            <w:hideMark/>
          </w:tcPr>
          <w:p w:rsidR="00191861" w:rsidRPr="00AF6309" w:rsidRDefault="00191861" w:rsidP="00191861">
            <w:pPr>
              <w:ind w:left="57" w:right="57"/>
              <w:rPr>
                <w:sz w:val="20"/>
                <w:szCs w:val="20"/>
              </w:rPr>
            </w:pPr>
            <w:r w:rsidRPr="00AF6309">
              <w:rPr>
                <w:sz w:val="20"/>
                <w:szCs w:val="20"/>
              </w:rPr>
              <w:t>Здравоохранение</w:t>
            </w:r>
          </w:p>
        </w:tc>
        <w:tc>
          <w:tcPr>
            <w:tcW w:w="1154"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424,0</w:t>
            </w:r>
          </w:p>
        </w:tc>
        <w:tc>
          <w:tcPr>
            <w:tcW w:w="992"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440,3</w:t>
            </w:r>
          </w:p>
        </w:tc>
        <w:tc>
          <w:tcPr>
            <w:tcW w:w="707" w:type="dxa"/>
            <w:shd w:val="clear" w:color="000000" w:fill="FFFFFF"/>
            <w:noWrap/>
            <w:vAlign w:val="center"/>
            <w:hideMark/>
          </w:tcPr>
          <w:p w:rsidR="00191861" w:rsidRPr="00AF6309" w:rsidRDefault="00191861" w:rsidP="00AF6309">
            <w:pPr>
              <w:ind w:right="-95"/>
              <w:jc w:val="center"/>
              <w:rPr>
                <w:sz w:val="20"/>
                <w:szCs w:val="20"/>
              </w:rPr>
            </w:pPr>
            <w:r w:rsidRPr="00AF6309">
              <w:rPr>
                <w:sz w:val="20"/>
                <w:szCs w:val="20"/>
              </w:rPr>
              <w:t>103,8</w:t>
            </w:r>
          </w:p>
        </w:tc>
        <w:tc>
          <w:tcPr>
            <w:tcW w:w="1138"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464,8</w:t>
            </w:r>
          </w:p>
        </w:tc>
        <w:tc>
          <w:tcPr>
            <w:tcW w:w="850"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440,3</w:t>
            </w:r>
          </w:p>
        </w:tc>
        <w:tc>
          <w:tcPr>
            <w:tcW w:w="568" w:type="dxa"/>
            <w:shd w:val="clear" w:color="000000" w:fill="FFFFFF"/>
            <w:noWrap/>
            <w:vAlign w:val="center"/>
            <w:hideMark/>
          </w:tcPr>
          <w:p w:rsidR="00191861" w:rsidRPr="00AF6309" w:rsidRDefault="00191861" w:rsidP="00AF6309">
            <w:pPr>
              <w:ind w:left="-101" w:right="-111"/>
              <w:jc w:val="center"/>
              <w:rPr>
                <w:sz w:val="20"/>
                <w:szCs w:val="20"/>
              </w:rPr>
            </w:pPr>
            <w:r w:rsidRPr="00AF6309">
              <w:rPr>
                <w:sz w:val="20"/>
                <w:szCs w:val="20"/>
              </w:rPr>
              <w:t>94,7</w:t>
            </w:r>
          </w:p>
        </w:tc>
        <w:tc>
          <w:tcPr>
            <w:tcW w:w="945"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436,8</w:t>
            </w:r>
          </w:p>
        </w:tc>
        <w:tc>
          <w:tcPr>
            <w:tcW w:w="1040" w:type="dxa"/>
            <w:shd w:val="clear" w:color="000000" w:fill="FFFFFF"/>
            <w:vAlign w:val="center"/>
            <w:hideMark/>
          </w:tcPr>
          <w:p w:rsidR="00191861" w:rsidRPr="00AF6309" w:rsidRDefault="00191861" w:rsidP="00191861">
            <w:pPr>
              <w:ind w:left="57" w:right="57"/>
              <w:jc w:val="center"/>
              <w:rPr>
                <w:sz w:val="20"/>
                <w:szCs w:val="20"/>
              </w:rPr>
            </w:pPr>
            <w:r w:rsidRPr="00AF6309">
              <w:rPr>
                <w:sz w:val="20"/>
                <w:szCs w:val="20"/>
              </w:rPr>
              <w:t>436,8</w:t>
            </w:r>
          </w:p>
        </w:tc>
      </w:tr>
      <w:tr w:rsidR="00467F9C" w:rsidRPr="00AF6309" w:rsidTr="00AF6309">
        <w:trPr>
          <w:trHeight w:val="150"/>
          <w:jc w:val="center"/>
        </w:trPr>
        <w:tc>
          <w:tcPr>
            <w:tcW w:w="2547" w:type="dxa"/>
            <w:shd w:val="clear" w:color="000000" w:fill="FFFFFF"/>
            <w:vAlign w:val="center"/>
            <w:hideMark/>
          </w:tcPr>
          <w:p w:rsidR="00191861" w:rsidRPr="00AF6309" w:rsidRDefault="00191861" w:rsidP="00191861">
            <w:pPr>
              <w:ind w:left="57" w:right="57"/>
              <w:rPr>
                <w:sz w:val="20"/>
                <w:szCs w:val="20"/>
              </w:rPr>
            </w:pPr>
            <w:r w:rsidRPr="00AF6309">
              <w:rPr>
                <w:sz w:val="20"/>
                <w:szCs w:val="20"/>
              </w:rPr>
              <w:t>Образование</w:t>
            </w:r>
          </w:p>
        </w:tc>
        <w:tc>
          <w:tcPr>
            <w:tcW w:w="1154"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365,9</w:t>
            </w:r>
          </w:p>
        </w:tc>
        <w:tc>
          <w:tcPr>
            <w:tcW w:w="992"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286,1</w:t>
            </w:r>
          </w:p>
        </w:tc>
        <w:tc>
          <w:tcPr>
            <w:tcW w:w="707" w:type="dxa"/>
            <w:shd w:val="clear" w:color="000000" w:fill="FFFFFF"/>
            <w:noWrap/>
            <w:vAlign w:val="center"/>
            <w:hideMark/>
          </w:tcPr>
          <w:p w:rsidR="00191861" w:rsidRPr="00AF6309" w:rsidRDefault="00191861" w:rsidP="00AF6309">
            <w:pPr>
              <w:ind w:right="-95"/>
              <w:jc w:val="center"/>
              <w:rPr>
                <w:sz w:val="20"/>
                <w:szCs w:val="20"/>
              </w:rPr>
            </w:pPr>
            <w:r w:rsidRPr="00AF6309">
              <w:rPr>
                <w:sz w:val="20"/>
                <w:szCs w:val="20"/>
              </w:rPr>
              <w:t>78,2</w:t>
            </w:r>
          </w:p>
        </w:tc>
        <w:tc>
          <w:tcPr>
            <w:tcW w:w="1138"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367,9</w:t>
            </w:r>
          </w:p>
        </w:tc>
        <w:tc>
          <w:tcPr>
            <w:tcW w:w="850"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287,5</w:t>
            </w:r>
          </w:p>
        </w:tc>
        <w:tc>
          <w:tcPr>
            <w:tcW w:w="568" w:type="dxa"/>
            <w:shd w:val="clear" w:color="000000" w:fill="FFFFFF"/>
            <w:noWrap/>
            <w:vAlign w:val="center"/>
            <w:hideMark/>
          </w:tcPr>
          <w:p w:rsidR="00191861" w:rsidRPr="00AF6309" w:rsidRDefault="00191861" w:rsidP="00AF6309">
            <w:pPr>
              <w:ind w:left="-101" w:right="-111"/>
              <w:jc w:val="center"/>
              <w:rPr>
                <w:sz w:val="20"/>
                <w:szCs w:val="20"/>
              </w:rPr>
            </w:pPr>
            <w:r w:rsidRPr="00AF6309">
              <w:rPr>
                <w:sz w:val="20"/>
                <w:szCs w:val="20"/>
              </w:rPr>
              <w:t>78,1</w:t>
            </w:r>
          </w:p>
        </w:tc>
        <w:tc>
          <w:tcPr>
            <w:tcW w:w="945"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58,2</w:t>
            </w:r>
          </w:p>
        </w:tc>
        <w:tc>
          <w:tcPr>
            <w:tcW w:w="1040" w:type="dxa"/>
            <w:shd w:val="clear" w:color="000000" w:fill="FFFFFF"/>
            <w:vAlign w:val="center"/>
            <w:hideMark/>
          </w:tcPr>
          <w:p w:rsidR="00191861" w:rsidRPr="00AF6309" w:rsidRDefault="00191861" w:rsidP="00191861">
            <w:pPr>
              <w:ind w:left="57" w:right="57"/>
              <w:jc w:val="center"/>
              <w:rPr>
                <w:sz w:val="20"/>
                <w:szCs w:val="20"/>
              </w:rPr>
            </w:pPr>
            <w:r w:rsidRPr="00AF6309">
              <w:rPr>
                <w:sz w:val="20"/>
                <w:szCs w:val="20"/>
              </w:rPr>
              <w:t>58,2</w:t>
            </w:r>
          </w:p>
        </w:tc>
      </w:tr>
      <w:tr w:rsidR="00467F9C" w:rsidRPr="00AF6309" w:rsidTr="00AF6309">
        <w:trPr>
          <w:trHeight w:val="150"/>
          <w:jc w:val="center"/>
        </w:trPr>
        <w:tc>
          <w:tcPr>
            <w:tcW w:w="2547" w:type="dxa"/>
            <w:shd w:val="clear" w:color="000000" w:fill="FFFFFF"/>
            <w:vAlign w:val="center"/>
            <w:hideMark/>
          </w:tcPr>
          <w:p w:rsidR="00191861" w:rsidRPr="00AF6309" w:rsidRDefault="00191861" w:rsidP="00191861">
            <w:pPr>
              <w:ind w:left="57" w:right="57"/>
              <w:rPr>
                <w:sz w:val="20"/>
                <w:szCs w:val="20"/>
              </w:rPr>
            </w:pPr>
            <w:r w:rsidRPr="00AF6309">
              <w:rPr>
                <w:sz w:val="20"/>
                <w:szCs w:val="20"/>
              </w:rPr>
              <w:t>Жилье и городская среда</w:t>
            </w:r>
          </w:p>
        </w:tc>
        <w:tc>
          <w:tcPr>
            <w:tcW w:w="1154"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1 039,0</w:t>
            </w:r>
          </w:p>
        </w:tc>
        <w:tc>
          <w:tcPr>
            <w:tcW w:w="992"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892,6</w:t>
            </w:r>
          </w:p>
        </w:tc>
        <w:tc>
          <w:tcPr>
            <w:tcW w:w="707" w:type="dxa"/>
            <w:shd w:val="clear" w:color="000000" w:fill="FFFFFF"/>
            <w:noWrap/>
            <w:vAlign w:val="center"/>
            <w:hideMark/>
          </w:tcPr>
          <w:p w:rsidR="00191861" w:rsidRPr="00AF6309" w:rsidRDefault="00191861" w:rsidP="00AF6309">
            <w:pPr>
              <w:ind w:right="-95"/>
              <w:jc w:val="center"/>
              <w:rPr>
                <w:sz w:val="20"/>
                <w:szCs w:val="20"/>
              </w:rPr>
            </w:pPr>
            <w:r w:rsidRPr="00AF6309">
              <w:rPr>
                <w:sz w:val="20"/>
                <w:szCs w:val="20"/>
              </w:rPr>
              <w:t>85,9</w:t>
            </w:r>
          </w:p>
        </w:tc>
        <w:tc>
          <w:tcPr>
            <w:tcW w:w="1138"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1 039,0</w:t>
            </w:r>
          </w:p>
        </w:tc>
        <w:tc>
          <w:tcPr>
            <w:tcW w:w="850"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892,6</w:t>
            </w:r>
          </w:p>
        </w:tc>
        <w:tc>
          <w:tcPr>
            <w:tcW w:w="568" w:type="dxa"/>
            <w:shd w:val="clear" w:color="000000" w:fill="FFFFFF"/>
            <w:noWrap/>
            <w:vAlign w:val="center"/>
            <w:hideMark/>
          </w:tcPr>
          <w:p w:rsidR="00191861" w:rsidRPr="00AF6309" w:rsidRDefault="00191861" w:rsidP="00AF6309">
            <w:pPr>
              <w:ind w:left="-101" w:right="-111"/>
              <w:jc w:val="center"/>
              <w:rPr>
                <w:sz w:val="20"/>
                <w:szCs w:val="20"/>
              </w:rPr>
            </w:pPr>
            <w:r w:rsidRPr="00AF6309">
              <w:rPr>
                <w:sz w:val="20"/>
                <w:szCs w:val="20"/>
              </w:rPr>
              <w:t>85,9</w:t>
            </w:r>
          </w:p>
        </w:tc>
        <w:tc>
          <w:tcPr>
            <w:tcW w:w="945" w:type="dxa"/>
            <w:shd w:val="clear" w:color="000000" w:fill="FFFFFF"/>
            <w:vAlign w:val="center"/>
            <w:hideMark/>
          </w:tcPr>
          <w:p w:rsidR="00191861" w:rsidRPr="00AF6309" w:rsidRDefault="00191861" w:rsidP="00191861">
            <w:pPr>
              <w:ind w:left="57" w:right="57"/>
              <w:jc w:val="center"/>
              <w:rPr>
                <w:sz w:val="20"/>
                <w:szCs w:val="20"/>
              </w:rPr>
            </w:pPr>
            <w:r w:rsidRPr="00AF6309">
              <w:rPr>
                <w:sz w:val="20"/>
                <w:szCs w:val="20"/>
              </w:rPr>
              <w:t>129,0</w:t>
            </w:r>
          </w:p>
        </w:tc>
        <w:tc>
          <w:tcPr>
            <w:tcW w:w="1040" w:type="dxa"/>
            <w:shd w:val="clear" w:color="000000" w:fill="FFFFFF"/>
            <w:vAlign w:val="center"/>
            <w:hideMark/>
          </w:tcPr>
          <w:p w:rsidR="00191861" w:rsidRPr="00AF6309" w:rsidRDefault="00191861" w:rsidP="00191861">
            <w:pPr>
              <w:ind w:left="57" w:right="57"/>
              <w:jc w:val="center"/>
              <w:rPr>
                <w:sz w:val="20"/>
                <w:szCs w:val="20"/>
              </w:rPr>
            </w:pPr>
            <w:r w:rsidRPr="00AF6309">
              <w:rPr>
                <w:sz w:val="20"/>
                <w:szCs w:val="20"/>
              </w:rPr>
              <w:t>114,7</w:t>
            </w:r>
          </w:p>
        </w:tc>
      </w:tr>
      <w:tr w:rsidR="00467F9C" w:rsidRPr="00AF6309" w:rsidTr="00AF6309">
        <w:trPr>
          <w:trHeight w:val="150"/>
          <w:jc w:val="center"/>
        </w:trPr>
        <w:tc>
          <w:tcPr>
            <w:tcW w:w="2547" w:type="dxa"/>
            <w:shd w:val="clear" w:color="000000" w:fill="FFFFFF"/>
            <w:vAlign w:val="center"/>
            <w:hideMark/>
          </w:tcPr>
          <w:p w:rsidR="00191861" w:rsidRPr="00AF6309" w:rsidRDefault="00191861" w:rsidP="00191861">
            <w:pPr>
              <w:ind w:left="57" w:right="57"/>
              <w:rPr>
                <w:sz w:val="20"/>
                <w:szCs w:val="20"/>
              </w:rPr>
            </w:pPr>
            <w:r w:rsidRPr="00AF6309">
              <w:rPr>
                <w:sz w:val="20"/>
                <w:szCs w:val="20"/>
              </w:rPr>
              <w:t>Экология</w:t>
            </w:r>
          </w:p>
        </w:tc>
        <w:tc>
          <w:tcPr>
            <w:tcW w:w="1154" w:type="dxa"/>
            <w:shd w:val="clear" w:color="000000" w:fill="FFFFFF"/>
            <w:vAlign w:val="center"/>
            <w:hideMark/>
          </w:tcPr>
          <w:p w:rsidR="00191861" w:rsidRPr="00AF6309" w:rsidRDefault="00191861" w:rsidP="00191861">
            <w:pPr>
              <w:ind w:left="57" w:right="57"/>
              <w:jc w:val="center"/>
              <w:rPr>
                <w:sz w:val="20"/>
                <w:szCs w:val="20"/>
              </w:rPr>
            </w:pPr>
            <w:r w:rsidRPr="00AF6309">
              <w:rPr>
                <w:sz w:val="20"/>
                <w:szCs w:val="20"/>
              </w:rPr>
              <w:t>163,8</w:t>
            </w:r>
          </w:p>
        </w:tc>
        <w:tc>
          <w:tcPr>
            <w:tcW w:w="992" w:type="dxa"/>
            <w:shd w:val="clear" w:color="000000" w:fill="FFFFFF"/>
            <w:vAlign w:val="center"/>
            <w:hideMark/>
          </w:tcPr>
          <w:p w:rsidR="00191861" w:rsidRPr="00AF6309" w:rsidRDefault="00191861" w:rsidP="00191861">
            <w:pPr>
              <w:ind w:left="57" w:right="57"/>
              <w:jc w:val="center"/>
              <w:rPr>
                <w:sz w:val="20"/>
                <w:szCs w:val="20"/>
              </w:rPr>
            </w:pPr>
            <w:r w:rsidRPr="00AF6309">
              <w:rPr>
                <w:sz w:val="20"/>
                <w:szCs w:val="20"/>
              </w:rPr>
              <w:t>10,9</w:t>
            </w:r>
          </w:p>
        </w:tc>
        <w:tc>
          <w:tcPr>
            <w:tcW w:w="707" w:type="dxa"/>
            <w:shd w:val="clear" w:color="000000" w:fill="FFFFFF"/>
            <w:noWrap/>
            <w:vAlign w:val="center"/>
            <w:hideMark/>
          </w:tcPr>
          <w:p w:rsidR="00191861" w:rsidRPr="00AF6309" w:rsidRDefault="00191861" w:rsidP="00AF6309">
            <w:pPr>
              <w:ind w:right="-95"/>
              <w:jc w:val="center"/>
              <w:rPr>
                <w:sz w:val="20"/>
                <w:szCs w:val="20"/>
              </w:rPr>
            </w:pPr>
            <w:r w:rsidRPr="00AF6309">
              <w:rPr>
                <w:sz w:val="20"/>
                <w:szCs w:val="20"/>
              </w:rPr>
              <w:t>6,7</w:t>
            </w:r>
          </w:p>
        </w:tc>
        <w:tc>
          <w:tcPr>
            <w:tcW w:w="1138" w:type="dxa"/>
            <w:shd w:val="clear" w:color="000000" w:fill="FFFFFF"/>
            <w:vAlign w:val="center"/>
            <w:hideMark/>
          </w:tcPr>
          <w:p w:rsidR="00191861" w:rsidRPr="00AF6309" w:rsidRDefault="00191861" w:rsidP="00191861">
            <w:pPr>
              <w:ind w:left="57" w:right="57"/>
              <w:jc w:val="center"/>
              <w:rPr>
                <w:sz w:val="20"/>
                <w:szCs w:val="20"/>
              </w:rPr>
            </w:pPr>
            <w:r w:rsidRPr="00AF6309">
              <w:rPr>
                <w:sz w:val="20"/>
                <w:szCs w:val="20"/>
              </w:rPr>
              <w:t>15,9</w:t>
            </w:r>
          </w:p>
        </w:tc>
        <w:tc>
          <w:tcPr>
            <w:tcW w:w="850" w:type="dxa"/>
            <w:shd w:val="clear" w:color="000000" w:fill="FFFFFF"/>
            <w:vAlign w:val="center"/>
            <w:hideMark/>
          </w:tcPr>
          <w:p w:rsidR="00191861" w:rsidRPr="00AF6309" w:rsidRDefault="00191861" w:rsidP="00191861">
            <w:pPr>
              <w:ind w:left="57" w:right="57"/>
              <w:jc w:val="center"/>
              <w:rPr>
                <w:sz w:val="20"/>
                <w:szCs w:val="20"/>
              </w:rPr>
            </w:pPr>
            <w:r w:rsidRPr="00AF6309">
              <w:rPr>
                <w:sz w:val="20"/>
                <w:szCs w:val="20"/>
              </w:rPr>
              <w:t>15,1</w:t>
            </w:r>
          </w:p>
        </w:tc>
        <w:tc>
          <w:tcPr>
            <w:tcW w:w="568" w:type="dxa"/>
            <w:shd w:val="clear" w:color="000000" w:fill="FFFFFF"/>
            <w:noWrap/>
            <w:vAlign w:val="center"/>
            <w:hideMark/>
          </w:tcPr>
          <w:p w:rsidR="00191861" w:rsidRPr="00AF6309" w:rsidRDefault="00191861" w:rsidP="00AF6309">
            <w:pPr>
              <w:ind w:left="-101" w:right="-111"/>
              <w:jc w:val="center"/>
              <w:rPr>
                <w:sz w:val="20"/>
                <w:szCs w:val="20"/>
              </w:rPr>
            </w:pPr>
            <w:r w:rsidRPr="00AF6309">
              <w:rPr>
                <w:sz w:val="20"/>
                <w:szCs w:val="20"/>
              </w:rPr>
              <w:t>95,2</w:t>
            </w:r>
          </w:p>
        </w:tc>
        <w:tc>
          <w:tcPr>
            <w:tcW w:w="945" w:type="dxa"/>
            <w:shd w:val="clear" w:color="000000" w:fill="FFFFFF"/>
            <w:vAlign w:val="center"/>
            <w:hideMark/>
          </w:tcPr>
          <w:p w:rsidR="00191861" w:rsidRPr="00AF6309" w:rsidRDefault="00191861" w:rsidP="00191861">
            <w:pPr>
              <w:ind w:left="57" w:right="57"/>
              <w:jc w:val="center"/>
              <w:rPr>
                <w:sz w:val="20"/>
                <w:szCs w:val="20"/>
              </w:rPr>
            </w:pPr>
            <w:r w:rsidRPr="00AF6309">
              <w:rPr>
                <w:sz w:val="20"/>
                <w:szCs w:val="20"/>
              </w:rPr>
              <w:t>15,1</w:t>
            </w:r>
          </w:p>
        </w:tc>
        <w:tc>
          <w:tcPr>
            <w:tcW w:w="1040" w:type="dxa"/>
            <w:shd w:val="clear" w:color="000000" w:fill="FFFFFF"/>
            <w:vAlign w:val="center"/>
            <w:hideMark/>
          </w:tcPr>
          <w:p w:rsidR="00191861" w:rsidRPr="00AF6309" w:rsidRDefault="00191861" w:rsidP="00191861">
            <w:pPr>
              <w:ind w:left="57" w:right="57"/>
              <w:jc w:val="center"/>
              <w:rPr>
                <w:sz w:val="20"/>
                <w:szCs w:val="20"/>
              </w:rPr>
            </w:pPr>
            <w:r w:rsidRPr="00AF6309">
              <w:rPr>
                <w:sz w:val="20"/>
                <w:szCs w:val="20"/>
              </w:rPr>
              <w:t>15,1</w:t>
            </w:r>
          </w:p>
        </w:tc>
      </w:tr>
      <w:tr w:rsidR="00467F9C" w:rsidRPr="00AF6309" w:rsidTr="00AF6309">
        <w:trPr>
          <w:trHeight w:val="196"/>
          <w:jc w:val="center"/>
        </w:trPr>
        <w:tc>
          <w:tcPr>
            <w:tcW w:w="2547" w:type="dxa"/>
            <w:shd w:val="clear" w:color="000000" w:fill="FFFFFF"/>
            <w:vAlign w:val="center"/>
            <w:hideMark/>
          </w:tcPr>
          <w:p w:rsidR="00191861" w:rsidRPr="00AF6309" w:rsidRDefault="00191861" w:rsidP="00191861">
            <w:pPr>
              <w:ind w:left="57" w:right="57"/>
              <w:rPr>
                <w:sz w:val="20"/>
                <w:szCs w:val="20"/>
              </w:rPr>
            </w:pPr>
            <w:r w:rsidRPr="00AF6309">
              <w:rPr>
                <w:sz w:val="20"/>
                <w:szCs w:val="20"/>
              </w:rPr>
              <w:t>Безопасные и качественные автомобильные дороги</w:t>
            </w:r>
          </w:p>
        </w:tc>
        <w:tc>
          <w:tcPr>
            <w:tcW w:w="1154"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353,7</w:t>
            </w:r>
          </w:p>
        </w:tc>
        <w:tc>
          <w:tcPr>
            <w:tcW w:w="992" w:type="dxa"/>
            <w:shd w:val="clear" w:color="000000" w:fill="FFFFFF"/>
            <w:vAlign w:val="center"/>
            <w:hideMark/>
          </w:tcPr>
          <w:p w:rsidR="00191861" w:rsidRPr="00AF6309" w:rsidRDefault="00191861" w:rsidP="00191861">
            <w:pPr>
              <w:ind w:left="57" w:right="57"/>
              <w:jc w:val="center"/>
              <w:rPr>
                <w:sz w:val="20"/>
                <w:szCs w:val="20"/>
              </w:rPr>
            </w:pPr>
            <w:r w:rsidRPr="00AF6309">
              <w:rPr>
                <w:sz w:val="20"/>
                <w:szCs w:val="20"/>
              </w:rPr>
              <w:t>352,0</w:t>
            </w:r>
          </w:p>
        </w:tc>
        <w:tc>
          <w:tcPr>
            <w:tcW w:w="707" w:type="dxa"/>
            <w:shd w:val="clear" w:color="000000" w:fill="FFFFFF"/>
            <w:noWrap/>
            <w:vAlign w:val="center"/>
            <w:hideMark/>
          </w:tcPr>
          <w:p w:rsidR="00191861" w:rsidRPr="00AF6309" w:rsidRDefault="00191861" w:rsidP="00AF6309">
            <w:pPr>
              <w:ind w:right="-95"/>
              <w:jc w:val="center"/>
              <w:rPr>
                <w:sz w:val="20"/>
                <w:szCs w:val="20"/>
              </w:rPr>
            </w:pPr>
            <w:r w:rsidRPr="00AF6309">
              <w:rPr>
                <w:sz w:val="20"/>
                <w:szCs w:val="20"/>
              </w:rPr>
              <w:t>99,5</w:t>
            </w:r>
          </w:p>
        </w:tc>
        <w:tc>
          <w:tcPr>
            <w:tcW w:w="1138"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340,4</w:t>
            </w:r>
          </w:p>
        </w:tc>
        <w:tc>
          <w:tcPr>
            <w:tcW w:w="850" w:type="dxa"/>
            <w:shd w:val="clear" w:color="000000" w:fill="FFFFFF"/>
            <w:vAlign w:val="center"/>
            <w:hideMark/>
          </w:tcPr>
          <w:p w:rsidR="00191861" w:rsidRPr="00AF6309" w:rsidRDefault="00191861" w:rsidP="00191861">
            <w:pPr>
              <w:ind w:left="57" w:right="57"/>
              <w:jc w:val="center"/>
              <w:rPr>
                <w:sz w:val="20"/>
                <w:szCs w:val="20"/>
              </w:rPr>
            </w:pPr>
            <w:r w:rsidRPr="00AF6309">
              <w:rPr>
                <w:sz w:val="20"/>
                <w:szCs w:val="20"/>
              </w:rPr>
              <w:t>338,3</w:t>
            </w:r>
          </w:p>
        </w:tc>
        <w:tc>
          <w:tcPr>
            <w:tcW w:w="568" w:type="dxa"/>
            <w:shd w:val="clear" w:color="000000" w:fill="FFFFFF"/>
            <w:noWrap/>
            <w:vAlign w:val="center"/>
            <w:hideMark/>
          </w:tcPr>
          <w:p w:rsidR="00191861" w:rsidRPr="00AF6309" w:rsidRDefault="00191861" w:rsidP="00AF6309">
            <w:pPr>
              <w:ind w:left="-101" w:right="-111"/>
              <w:jc w:val="center"/>
              <w:rPr>
                <w:sz w:val="20"/>
                <w:szCs w:val="20"/>
              </w:rPr>
            </w:pPr>
            <w:r w:rsidRPr="00AF6309">
              <w:rPr>
                <w:sz w:val="20"/>
                <w:szCs w:val="20"/>
              </w:rPr>
              <w:t>99,4</w:t>
            </w:r>
          </w:p>
        </w:tc>
        <w:tc>
          <w:tcPr>
            <w:tcW w:w="945" w:type="dxa"/>
            <w:shd w:val="clear" w:color="000000" w:fill="FFFFFF"/>
            <w:vAlign w:val="center"/>
            <w:hideMark/>
          </w:tcPr>
          <w:p w:rsidR="00191861" w:rsidRPr="00AF6309" w:rsidRDefault="00191861" w:rsidP="00191861">
            <w:pPr>
              <w:ind w:left="57" w:right="57"/>
              <w:jc w:val="center"/>
              <w:rPr>
                <w:sz w:val="20"/>
                <w:szCs w:val="20"/>
              </w:rPr>
            </w:pPr>
            <w:r w:rsidRPr="00AF6309">
              <w:rPr>
                <w:sz w:val="20"/>
                <w:szCs w:val="20"/>
              </w:rPr>
              <w:t>338,3</w:t>
            </w:r>
          </w:p>
        </w:tc>
        <w:tc>
          <w:tcPr>
            <w:tcW w:w="1040" w:type="dxa"/>
            <w:shd w:val="clear" w:color="000000" w:fill="FFFFFF"/>
            <w:vAlign w:val="center"/>
            <w:hideMark/>
          </w:tcPr>
          <w:p w:rsidR="00191861" w:rsidRPr="00AF6309" w:rsidRDefault="00191861" w:rsidP="00191861">
            <w:pPr>
              <w:ind w:left="57" w:right="57"/>
              <w:jc w:val="center"/>
              <w:rPr>
                <w:sz w:val="20"/>
                <w:szCs w:val="20"/>
              </w:rPr>
            </w:pPr>
            <w:r w:rsidRPr="00AF6309">
              <w:rPr>
                <w:sz w:val="20"/>
                <w:szCs w:val="20"/>
              </w:rPr>
              <w:t>288,9</w:t>
            </w:r>
          </w:p>
        </w:tc>
      </w:tr>
      <w:tr w:rsidR="00467F9C" w:rsidRPr="00AF6309" w:rsidTr="00AF6309">
        <w:trPr>
          <w:trHeight w:val="318"/>
          <w:jc w:val="center"/>
        </w:trPr>
        <w:tc>
          <w:tcPr>
            <w:tcW w:w="2547" w:type="dxa"/>
            <w:shd w:val="clear" w:color="000000" w:fill="FFFFFF"/>
            <w:vAlign w:val="center"/>
            <w:hideMark/>
          </w:tcPr>
          <w:p w:rsidR="00191861" w:rsidRPr="00AF6309" w:rsidRDefault="00191861" w:rsidP="00191861">
            <w:pPr>
              <w:ind w:left="57" w:right="57"/>
              <w:rPr>
                <w:sz w:val="20"/>
                <w:szCs w:val="20"/>
              </w:rPr>
            </w:pPr>
            <w:r w:rsidRPr="00AF6309">
              <w:rPr>
                <w:sz w:val="20"/>
                <w:szCs w:val="20"/>
              </w:rPr>
              <w:t>Цифровая экономика</w:t>
            </w:r>
          </w:p>
        </w:tc>
        <w:tc>
          <w:tcPr>
            <w:tcW w:w="1154"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172,6</w:t>
            </w:r>
          </w:p>
        </w:tc>
        <w:tc>
          <w:tcPr>
            <w:tcW w:w="992"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188,2</w:t>
            </w:r>
          </w:p>
        </w:tc>
        <w:tc>
          <w:tcPr>
            <w:tcW w:w="707" w:type="dxa"/>
            <w:shd w:val="clear" w:color="000000" w:fill="FFFFFF"/>
            <w:noWrap/>
            <w:vAlign w:val="center"/>
            <w:hideMark/>
          </w:tcPr>
          <w:p w:rsidR="00191861" w:rsidRPr="00AF6309" w:rsidRDefault="00191861" w:rsidP="00AF6309">
            <w:pPr>
              <w:ind w:right="-95"/>
              <w:jc w:val="center"/>
              <w:rPr>
                <w:sz w:val="20"/>
                <w:szCs w:val="20"/>
              </w:rPr>
            </w:pPr>
            <w:r w:rsidRPr="00AF6309">
              <w:rPr>
                <w:sz w:val="20"/>
                <w:szCs w:val="20"/>
              </w:rPr>
              <w:t>109,0</w:t>
            </w:r>
          </w:p>
        </w:tc>
        <w:tc>
          <w:tcPr>
            <w:tcW w:w="1138"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188,3</w:t>
            </w:r>
          </w:p>
        </w:tc>
        <w:tc>
          <w:tcPr>
            <w:tcW w:w="850"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188,2</w:t>
            </w:r>
          </w:p>
        </w:tc>
        <w:tc>
          <w:tcPr>
            <w:tcW w:w="568" w:type="dxa"/>
            <w:shd w:val="clear" w:color="000000" w:fill="FFFFFF"/>
            <w:noWrap/>
            <w:vAlign w:val="center"/>
            <w:hideMark/>
          </w:tcPr>
          <w:p w:rsidR="00191861" w:rsidRPr="00AF6309" w:rsidRDefault="00191861" w:rsidP="00AF6309">
            <w:pPr>
              <w:ind w:left="-101" w:right="-111"/>
              <w:jc w:val="center"/>
              <w:rPr>
                <w:sz w:val="20"/>
                <w:szCs w:val="20"/>
              </w:rPr>
            </w:pPr>
            <w:r w:rsidRPr="00AF6309">
              <w:rPr>
                <w:sz w:val="20"/>
                <w:szCs w:val="20"/>
              </w:rPr>
              <w:t>99,9</w:t>
            </w:r>
          </w:p>
        </w:tc>
        <w:tc>
          <w:tcPr>
            <w:tcW w:w="945"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188,2</w:t>
            </w:r>
          </w:p>
        </w:tc>
        <w:tc>
          <w:tcPr>
            <w:tcW w:w="1040" w:type="dxa"/>
            <w:shd w:val="clear" w:color="000000" w:fill="FFFFFF"/>
            <w:vAlign w:val="center"/>
            <w:hideMark/>
          </w:tcPr>
          <w:p w:rsidR="00191861" w:rsidRPr="00AF6309" w:rsidRDefault="00191861" w:rsidP="00191861">
            <w:pPr>
              <w:ind w:left="57" w:right="57"/>
              <w:jc w:val="center"/>
              <w:rPr>
                <w:sz w:val="20"/>
                <w:szCs w:val="20"/>
              </w:rPr>
            </w:pPr>
            <w:r w:rsidRPr="00AF6309">
              <w:rPr>
                <w:sz w:val="20"/>
                <w:szCs w:val="20"/>
              </w:rPr>
              <w:t>188,2</w:t>
            </w:r>
          </w:p>
        </w:tc>
      </w:tr>
      <w:tr w:rsidR="00467F9C" w:rsidRPr="00AF6309" w:rsidTr="00AF6309">
        <w:trPr>
          <w:trHeight w:val="150"/>
          <w:jc w:val="center"/>
        </w:trPr>
        <w:tc>
          <w:tcPr>
            <w:tcW w:w="2547" w:type="dxa"/>
            <w:shd w:val="clear" w:color="000000" w:fill="FFFFFF"/>
            <w:vAlign w:val="center"/>
            <w:hideMark/>
          </w:tcPr>
          <w:p w:rsidR="00191861" w:rsidRPr="00AF6309" w:rsidRDefault="00191861" w:rsidP="00191861">
            <w:pPr>
              <w:ind w:left="57" w:right="57"/>
              <w:rPr>
                <w:sz w:val="20"/>
                <w:szCs w:val="20"/>
              </w:rPr>
            </w:pPr>
            <w:r w:rsidRPr="00AF6309">
              <w:rPr>
                <w:sz w:val="20"/>
                <w:szCs w:val="20"/>
              </w:rPr>
              <w:t>Культура</w:t>
            </w:r>
          </w:p>
        </w:tc>
        <w:tc>
          <w:tcPr>
            <w:tcW w:w="1154"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12,5</w:t>
            </w:r>
          </w:p>
        </w:tc>
        <w:tc>
          <w:tcPr>
            <w:tcW w:w="992"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0,2</w:t>
            </w:r>
          </w:p>
        </w:tc>
        <w:tc>
          <w:tcPr>
            <w:tcW w:w="707" w:type="dxa"/>
            <w:shd w:val="clear" w:color="000000" w:fill="FFFFFF"/>
            <w:noWrap/>
            <w:vAlign w:val="center"/>
            <w:hideMark/>
          </w:tcPr>
          <w:p w:rsidR="00191861" w:rsidRPr="00AF6309" w:rsidRDefault="00191861" w:rsidP="00AF6309">
            <w:pPr>
              <w:ind w:right="-95"/>
              <w:jc w:val="center"/>
              <w:rPr>
                <w:sz w:val="20"/>
                <w:szCs w:val="20"/>
              </w:rPr>
            </w:pPr>
            <w:r w:rsidRPr="00AF6309">
              <w:rPr>
                <w:sz w:val="20"/>
                <w:szCs w:val="20"/>
              </w:rPr>
              <w:t>1,3</w:t>
            </w:r>
          </w:p>
        </w:tc>
        <w:tc>
          <w:tcPr>
            <w:tcW w:w="1138"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192,4</w:t>
            </w:r>
          </w:p>
        </w:tc>
        <w:tc>
          <w:tcPr>
            <w:tcW w:w="850"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185,4</w:t>
            </w:r>
          </w:p>
        </w:tc>
        <w:tc>
          <w:tcPr>
            <w:tcW w:w="568" w:type="dxa"/>
            <w:shd w:val="clear" w:color="000000" w:fill="FFFFFF"/>
            <w:noWrap/>
            <w:vAlign w:val="center"/>
            <w:hideMark/>
          </w:tcPr>
          <w:p w:rsidR="00191861" w:rsidRPr="00AF6309" w:rsidRDefault="00191861" w:rsidP="00AF6309">
            <w:pPr>
              <w:ind w:left="-101" w:right="-111"/>
              <w:jc w:val="center"/>
              <w:rPr>
                <w:sz w:val="20"/>
                <w:szCs w:val="20"/>
              </w:rPr>
            </w:pPr>
            <w:r w:rsidRPr="00AF6309">
              <w:rPr>
                <w:sz w:val="20"/>
                <w:szCs w:val="20"/>
              </w:rPr>
              <w:t>96,4</w:t>
            </w:r>
          </w:p>
        </w:tc>
        <w:tc>
          <w:tcPr>
            <w:tcW w:w="945" w:type="dxa"/>
            <w:shd w:val="clear" w:color="000000" w:fill="FFFFFF"/>
            <w:vAlign w:val="center"/>
            <w:hideMark/>
          </w:tcPr>
          <w:p w:rsidR="00191861" w:rsidRPr="00AF6309" w:rsidRDefault="00191861" w:rsidP="00191861">
            <w:pPr>
              <w:ind w:left="57" w:right="57"/>
              <w:jc w:val="center"/>
              <w:rPr>
                <w:sz w:val="20"/>
                <w:szCs w:val="20"/>
              </w:rPr>
            </w:pPr>
            <w:r w:rsidRPr="00AF6309">
              <w:rPr>
                <w:sz w:val="20"/>
                <w:szCs w:val="20"/>
              </w:rPr>
              <w:t>13,1</w:t>
            </w:r>
          </w:p>
        </w:tc>
        <w:tc>
          <w:tcPr>
            <w:tcW w:w="1040" w:type="dxa"/>
            <w:shd w:val="clear" w:color="000000" w:fill="FFFFFF"/>
            <w:vAlign w:val="center"/>
            <w:hideMark/>
          </w:tcPr>
          <w:p w:rsidR="00191861" w:rsidRPr="00AF6309" w:rsidRDefault="00191861" w:rsidP="00191861">
            <w:pPr>
              <w:ind w:left="57" w:right="57"/>
              <w:jc w:val="center"/>
              <w:rPr>
                <w:sz w:val="20"/>
                <w:szCs w:val="20"/>
              </w:rPr>
            </w:pPr>
            <w:r w:rsidRPr="00AF6309">
              <w:rPr>
                <w:sz w:val="20"/>
                <w:szCs w:val="20"/>
              </w:rPr>
              <w:t>13,1</w:t>
            </w:r>
          </w:p>
        </w:tc>
      </w:tr>
      <w:tr w:rsidR="00467F9C" w:rsidRPr="00AF6309" w:rsidTr="00AF6309">
        <w:trPr>
          <w:trHeight w:val="196"/>
          <w:jc w:val="center"/>
        </w:trPr>
        <w:tc>
          <w:tcPr>
            <w:tcW w:w="2547" w:type="dxa"/>
            <w:shd w:val="clear" w:color="000000" w:fill="FFFFFF"/>
            <w:vAlign w:val="center"/>
            <w:hideMark/>
          </w:tcPr>
          <w:p w:rsidR="00191861" w:rsidRPr="00AF6309" w:rsidRDefault="00191861" w:rsidP="00191861">
            <w:pPr>
              <w:ind w:left="57" w:right="57"/>
              <w:rPr>
                <w:sz w:val="20"/>
                <w:szCs w:val="20"/>
              </w:rPr>
            </w:pPr>
            <w:r w:rsidRPr="00AF6309">
              <w:rPr>
                <w:sz w:val="20"/>
                <w:szCs w:val="20"/>
              </w:rPr>
              <w:t>МСП и поддержка индивидуальной предпринимательской инициативы</w:t>
            </w:r>
          </w:p>
        </w:tc>
        <w:tc>
          <w:tcPr>
            <w:tcW w:w="1154"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110,0</w:t>
            </w:r>
          </w:p>
        </w:tc>
        <w:tc>
          <w:tcPr>
            <w:tcW w:w="992"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109,7</w:t>
            </w:r>
          </w:p>
        </w:tc>
        <w:tc>
          <w:tcPr>
            <w:tcW w:w="707" w:type="dxa"/>
            <w:shd w:val="clear" w:color="000000" w:fill="FFFFFF"/>
            <w:noWrap/>
            <w:vAlign w:val="center"/>
            <w:hideMark/>
          </w:tcPr>
          <w:p w:rsidR="00191861" w:rsidRPr="00AF6309" w:rsidRDefault="00191861" w:rsidP="00AF6309">
            <w:pPr>
              <w:ind w:right="-95"/>
              <w:jc w:val="center"/>
              <w:rPr>
                <w:sz w:val="20"/>
                <w:szCs w:val="20"/>
              </w:rPr>
            </w:pPr>
            <w:r w:rsidRPr="00AF6309">
              <w:rPr>
                <w:sz w:val="20"/>
                <w:szCs w:val="20"/>
              </w:rPr>
              <w:t>99,7</w:t>
            </w:r>
          </w:p>
        </w:tc>
        <w:tc>
          <w:tcPr>
            <w:tcW w:w="1138"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109,8</w:t>
            </w:r>
          </w:p>
        </w:tc>
        <w:tc>
          <w:tcPr>
            <w:tcW w:w="850"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109,7</w:t>
            </w:r>
          </w:p>
        </w:tc>
        <w:tc>
          <w:tcPr>
            <w:tcW w:w="568" w:type="dxa"/>
            <w:shd w:val="clear" w:color="000000" w:fill="FFFFFF"/>
            <w:noWrap/>
            <w:vAlign w:val="center"/>
            <w:hideMark/>
          </w:tcPr>
          <w:p w:rsidR="00191861" w:rsidRPr="00AF6309" w:rsidRDefault="00191861" w:rsidP="00AF6309">
            <w:pPr>
              <w:ind w:left="-101" w:right="-111"/>
              <w:jc w:val="center"/>
              <w:rPr>
                <w:sz w:val="20"/>
                <w:szCs w:val="20"/>
              </w:rPr>
            </w:pPr>
            <w:r w:rsidRPr="00AF6309">
              <w:rPr>
                <w:sz w:val="20"/>
                <w:szCs w:val="20"/>
              </w:rPr>
              <w:t>99,9</w:t>
            </w:r>
          </w:p>
        </w:tc>
        <w:tc>
          <w:tcPr>
            <w:tcW w:w="945" w:type="dxa"/>
            <w:shd w:val="clear" w:color="000000" w:fill="FFFFFF"/>
            <w:vAlign w:val="center"/>
            <w:hideMark/>
          </w:tcPr>
          <w:p w:rsidR="00191861" w:rsidRPr="00AF6309" w:rsidRDefault="00191861" w:rsidP="00191861">
            <w:pPr>
              <w:ind w:left="57" w:right="57"/>
              <w:jc w:val="center"/>
              <w:rPr>
                <w:sz w:val="20"/>
                <w:szCs w:val="20"/>
              </w:rPr>
            </w:pPr>
            <w:r w:rsidRPr="00AF6309">
              <w:rPr>
                <w:sz w:val="20"/>
                <w:szCs w:val="20"/>
              </w:rPr>
              <w:t>102,7</w:t>
            </w:r>
          </w:p>
        </w:tc>
        <w:tc>
          <w:tcPr>
            <w:tcW w:w="1040" w:type="dxa"/>
            <w:shd w:val="clear" w:color="000000" w:fill="FFFFFF"/>
            <w:vAlign w:val="center"/>
            <w:hideMark/>
          </w:tcPr>
          <w:p w:rsidR="00191861" w:rsidRPr="00AF6309" w:rsidRDefault="00191861" w:rsidP="00191861">
            <w:pPr>
              <w:ind w:left="57" w:right="57"/>
              <w:jc w:val="center"/>
              <w:rPr>
                <w:sz w:val="20"/>
                <w:szCs w:val="20"/>
              </w:rPr>
            </w:pPr>
            <w:r w:rsidRPr="00AF6309">
              <w:rPr>
                <w:sz w:val="20"/>
                <w:szCs w:val="20"/>
              </w:rPr>
              <w:t>102,7</w:t>
            </w:r>
          </w:p>
        </w:tc>
      </w:tr>
      <w:tr w:rsidR="00467F9C" w:rsidRPr="00AF6309" w:rsidTr="00AF6309">
        <w:trPr>
          <w:trHeight w:val="150"/>
          <w:jc w:val="center"/>
        </w:trPr>
        <w:tc>
          <w:tcPr>
            <w:tcW w:w="2547" w:type="dxa"/>
            <w:shd w:val="clear" w:color="000000" w:fill="FFFFFF"/>
            <w:vAlign w:val="center"/>
            <w:hideMark/>
          </w:tcPr>
          <w:p w:rsidR="00191861" w:rsidRPr="00AF6309" w:rsidRDefault="00191861" w:rsidP="00191861">
            <w:pPr>
              <w:ind w:left="57" w:right="57"/>
              <w:rPr>
                <w:sz w:val="20"/>
                <w:szCs w:val="20"/>
              </w:rPr>
            </w:pPr>
            <w:r w:rsidRPr="00AF6309">
              <w:rPr>
                <w:sz w:val="20"/>
                <w:szCs w:val="20"/>
              </w:rPr>
              <w:t>Международная кооперация и экспорт</w:t>
            </w:r>
          </w:p>
        </w:tc>
        <w:tc>
          <w:tcPr>
            <w:tcW w:w="1154"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х</w:t>
            </w:r>
          </w:p>
        </w:tc>
        <w:tc>
          <w:tcPr>
            <w:tcW w:w="992"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х</w:t>
            </w:r>
          </w:p>
        </w:tc>
        <w:tc>
          <w:tcPr>
            <w:tcW w:w="707" w:type="dxa"/>
            <w:shd w:val="clear" w:color="000000" w:fill="FFFFFF"/>
            <w:noWrap/>
            <w:vAlign w:val="center"/>
            <w:hideMark/>
          </w:tcPr>
          <w:p w:rsidR="00191861" w:rsidRPr="00AF6309" w:rsidRDefault="00191861" w:rsidP="00AF6309">
            <w:pPr>
              <w:ind w:right="-95"/>
              <w:jc w:val="center"/>
              <w:rPr>
                <w:sz w:val="20"/>
                <w:szCs w:val="20"/>
              </w:rPr>
            </w:pPr>
            <w:r w:rsidRPr="00AF6309">
              <w:rPr>
                <w:sz w:val="20"/>
                <w:szCs w:val="20"/>
              </w:rPr>
              <w:t>х</w:t>
            </w:r>
          </w:p>
        </w:tc>
        <w:tc>
          <w:tcPr>
            <w:tcW w:w="1138"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х</w:t>
            </w:r>
          </w:p>
        </w:tc>
        <w:tc>
          <w:tcPr>
            <w:tcW w:w="850"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х</w:t>
            </w:r>
          </w:p>
        </w:tc>
        <w:tc>
          <w:tcPr>
            <w:tcW w:w="568" w:type="dxa"/>
            <w:shd w:val="clear" w:color="000000" w:fill="FFFFFF"/>
            <w:noWrap/>
            <w:vAlign w:val="center"/>
            <w:hideMark/>
          </w:tcPr>
          <w:p w:rsidR="00191861" w:rsidRPr="00AF6309" w:rsidRDefault="00191861" w:rsidP="00AF6309">
            <w:pPr>
              <w:ind w:left="-101" w:right="-111"/>
              <w:jc w:val="center"/>
              <w:rPr>
                <w:sz w:val="20"/>
                <w:szCs w:val="20"/>
              </w:rPr>
            </w:pPr>
            <w:r w:rsidRPr="00AF6309">
              <w:rPr>
                <w:sz w:val="20"/>
                <w:szCs w:val="20"/>
              </w:rPr>
              <w:t>х</w:t>
            </w:r>
          </w:p>
        </w:tc>
        <w:tc>
          <w:tcPr>
            <w:tcW w:w="945"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х</w:t>
            </w:r>
          </w:p>
        </w:tc>
        <w:tc>
          <w:tcPr>
            <w:tcW w:w="1040"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х</w:t>
            </w:r>
          </w:p>
        </w:tc>
      </w:tr>
      <w:tr w:rsidR="00467F9C" w:rsidRPr="00AF6309" w:rsidTr="00AF6309">
        <w:trPr>
          <w:trHeight w:val="196"/>
          <w:jc w:val="center"/>
        </w:trPr>
        <w:tc>
          <w:tcPr>
            <w:tcW w:w="2547" w:type="dxa"/>
            <w:shd w:val="clear" w:color="000000" w:fill="FFFFFF"/>
            <w:vAlign w:val="center"/>
            <w:hideMark/>
          </w:tcPr>
          <w:p w:rsidR="00191861" w:rsidRPr="00AF6309" w:rsidRDefault="00191861" w:rsidP="00191861">
            <w:pPr>
              <w:ind w:left="57" w:right="57"/>
              <w:rPr>
                <w:sz w:val="20"/>
                <w:szCs w:val="20"/>
              </w:rPr>
            </w:pPr>
            <w:r w:rsidRPr="00AF6309">
              <w:rPr>
                <w:sz w:val="20"/>
                <w:szCs w:val="20"/>
              </w:rPr>
              <w:t>Производительность труда и поддержка занятости</w:t>
            </w:r>
          </w:p>
        </w:tc>
        <w:tc>
          <w:tcPr>
            <w:tcW w:w="1154"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х</w:t>
            </w:r>
          </w:p>
        </w:tc>
        <w:tc>
          <w:tcPr>
            <w:tcW w:w="992"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х</w:t>
            </w:r>
          </w:p>
        </w:tc>
        <w:tc>
          <w:tcPr>
            <w:tcW w:w="707" w:type="dxa"/>
            <w:shd w:val="clear" w:color="000000" w:fill="FFFFFF"/>
            <w:noWrap/>
            <w:vAlign w:val="center"/>
            <w:hideMark/>
          </w:tcPr>
          <w:p w:rsidR="00191861" w:rsidRPr="00AF6309" w:rsidRDefault="00191861" w:rsidP="00AF6309">
            <w:pPr>
              <w:ind w:right="-95"/>
              <w:jc w:val="center"/>
              <w:rPr>
                <w:sz w:val="20"/>
                <w:szCs w:val="20"/>
              </w:rPr>
            </w:pPr>
            <w:r w:rsidRPr="00AF6309">
              <w:rPr>
                <w:sz w:val="20"/>
                <w:szCs w:val="20"/>
              </w:rPr>
              <w:t>х</w:t>
            </w:r>
          </w:p>
        </w:tc>
        <w:tc>
          <w:tcPr>
            <w:tcW w:w="1138"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х</w:t>
            </w:r>
          </w:p>
        </w:tc>
        <w:tc>
          <w:tcPr>
            <w:tcW w:w="850"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х</w:t>
            </w:r>
          </w:p>
        </w:tc>
        <w:tc>
          <w:tcPr>
            <w:tcW w:w="568" w:type="dxa"/>
            <w:shd w:val="clear" w:color="000000" w:fill="FFFFFF"/>
            <w:noWrap/>
            <w:vAlign w:val="center"/>
            <w:hideMark/>
          </w:tcPr>
          <w:p w:rsidR="00191861" w:rsidRPr="00AF6309" w:rsidRDefault="00191861" w:rsidP="00AF6309">
            <w:pPr>
              <w:ind w:left="-101" w:right="-111"/>
              <w:jc w:val="center"/>
              <w:rPr>
                <w:sz w:val="20"/>
                <w:szCs w:val="20"/>
              </w:rPr>
            </w:pPr>
            <w:r w:rsidRPr="00AF6309">
              <w:rPr>
                <w:sz w:val="20"/>
                <w:szCs w:val="20"/>
              </w:rPr>
              <w:t>х</w:t>
            </w:r>
          </w:p>
        </w:tc>
        <w:tc>
          <w:tcPr>
            <w:tcW w:w="945"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х</w:t>
            </w:r>
          </w:p>
        </w:tc>
        <w:tc>
          <w:tcPr>
            <w:tcW w:w="1040" w:type="dxa"/>
            <w:shd w:val="clear" w:color="000000" w:fill="FFFFFF"/>
            <w:noWrap/>
            <w:vAlign w:val="center"/>
            <w:hideMark/>
          </w:tcPr>
          <w:p w:rsidR="00191861" w:rsidRPr="00AF6309" w:rsidRDefault="00191861" w:rsidP="00191861">
            <w:pPr>
              <w:ind w:left="57" w:right="57"/>
              <w:jc w:val="center"/>
              <w:rPr>
                <w:sz w:val="20"/>
                <w:szCs w:val="20"/>
              </w:rPr>
            </w:pPr>
            <w:r w:rsidRPr="00AF6309">
              <w:rPr>
                <w:sz w:val="20"/>
                <w:szCs w:val="20"/>
              </w:rPr>
              <w:t>х</w:t>
            </w:r>
          </w:p>
        </w:tc>
      </w:tr>
      <w:tr w:rsidR="00467F9C" w:rsidRPr="00AF6309" w:rsidTr="00AF6309">
        <w:trPr>
          <w:trHeight w:val="312"/>
          <w:jc w:val="center"/>
        </w:trPr>
        <w:tc>
          <w:tcPr>
            <w:tcW w:w="2547" w:type="dxa"/>
            <w:shd w:val="clear" w:color="000000" w:fill="FFFFFF"/>
            <w:vAlign w:val="center"/>
            <w:hideMark/>
          </w:tcPr>
          <w:p w:rsidR="00191861" w:rsidRPr="00AF6309" w:rsidRDefault="00191861" w:rsidP="00191861">
            <w:pPr>
              <w:ind w:left="57" w:right="57"/>
              <w:jc w:val="both"/>
              <w:rPr>
                <w:b/>
                <w:bCs/>
                <w:sz w:val="20"/>
                <w:szCs w:val="20"/>
              </w:rPr>
            </w:pPr>
            <w:r w:rsidRPr="00AF6309">
              <w:rPr>
                <w:b/>
                <w:bCs/>
                <w:sz w:val="20"/>
                <w:szCs w:val="20"/>
              </w:rPr>
              <w:t>Всего  </w:t>
            </w:r>
          </w:p>
        </w:tc>
        <w:tc>
          <w:tcPr>
            <w:tcW w:w="1154" w:type="dxa"/>
            <w:shd w:val="clear" w:color="000000" w:fill="FFFFFF"/>
            <w:noWrap/>
            <w:vAlign w:val="center"/>
            <w:hideMark/>
          </w:tcPr>
          <w:p w:rsidR="00191861" w:rsidRPr="00AF6309" w:rsidRDefault="00191861" w:rsidP="00191861">
            <w:pPr>
              <w:ind w:left="57" w:right="57"/>
              <w:jc w:val="center"/>
              <w:rPr>
                <w:b/>
                <w:bCs/>
                <w:sz w:val="20"/>
                <w:szCs w:val="20"/>
              </w:rPr>
            </w:pPr>
            <w:r w:rsidRPr="00AF6309">
              <w:rPr>
                <w:b/>
                <w:bCs/>
                <w:sz w:val="20"/>
                <w:szCs w:val="20"/>
              </w:rPr>
              <w:t>3 317,2</w:t>
            </w:r>
          </w:p>
        </w:tc>
        <w:tc>
          <w:tcPr>
            <w:tcW w:w="992" w:type="dxa"/>
            <w:shd w:val="clear" w:color="000000" w:fill="FFFFFF"/>
            <w:noWrap/>
            <w:vAlign w:val="center"/>
            <w:hideMark/>
          </w:tcPr>
          <w:p w:rsidR="00191861" w:rsidRPr="00AF6309" w:rsidRDefault="00191861" w:rsidP="00191861">
            <w:pPr>
              <w:ind w:left="57" w:right="57"/>
              <w:jc w:val="center"/>
              <w:rPr>
                <w:b/>
                <w:bCs/>
                <w:sz w:val="20"/>
                <w:szCs w:val="20"/>
              </w:rPr>
            </w:pPr>
            <w:r w:rsidRPr="00AF6309">
              <w:rPr>
                <w:b/>
                <w:bCs/>
                <w:sz w:val="20"/>
                <w:szCs w:val="20"/>
              </w:rPr>
              <w:t>2 805,5</w:t>
            </w:r>
          </w:p>
        </w:tc>
        <w:tc>
          <w:tcPr>
            <w:tcW w:w="707" w:type="dxa"/>
            <w:shd w:val="clear" w:color="000000" w:fill="FFFFFF"/>
            <w:noWrap/>
            <w:vAlign w:val="center"/>
            <w:hideMark/>
          </w:tcPr>
          <w:p w:rsidR="00191861" w:rsidRPr="00AF6309" w:rsidRDefault="00191861" w:rsidP="00AF6309">
            <w:pPr>
              <w:ind w:right="-95"/>
              <w:jc w:val="center"/>
              <w:rPr>
                <w:b/>
                <w:bCs/>
                <w:sz w:val="20"/>
                <w:szCs w:val="20"/>
              </w:rPr>
            </w:pPr>
            <w:r w:rsidRPr="00AF6309">
              <w:rPr>
                <w:b/>
                <w:bCs/>
                <w:sz w:val="20"/>
                <w:szCs w:val="20"/>
              </w:rPr>
              <w:t>84,6</w:t>
            </w:r>
          </w:p>
        </w:tc>
        <w:tc>
          <w:tcPr>
            <w:tcW w:w="1138" w:type="dxa"/>
            <w:shd w:val="clear" w:color="000000" w:fill="FFFFFF"/>
            <w:noWrap/>
            <w:vAlign w:val="center"/>
            <w:hideMark/>
          </w:tcPr>
          <w:p w:rsidR="00191861" w:rsidRPr="00AF6309" w:rsidRDefault="00191861" w:rsidP="00191861">
            <w:pPr>
              <w:ind w:left="57" w:right="-100"/>
              <w:jc w:val="center"/>
              <w:rPr>
                <w:b/>
                <w:bCs/>
                <w:sz w:val="20"/>
                <w:szCs w:val="20"/>
              </w:rPr>
            </w:pPr>
            <w:r w:rsidRPr="00AF6309">
              <w:rPr>
                <w:b/>
                <w:bCs/>
                <w:sz w:val="20"/>
                <w:szCs w:val="20"/>
              </w:rPr>
              <w:t>3 392,2</w:t>
            </w:r>
          </w:p>
        </w:tc>
        <w:tc>
          <w:tcPr>
            <w:tcW w:w="850" w:type="dxa"/>
            <w:shd w:val="clear" w:color="000000" w:fill="FFFFFF"/>
            <w:noWrap/>
            <w:vAlign w:val="center"/>
            <w:hideMark/>
          </w:tcPr>
          <w:p w:rsidR="00191861" w:rsidRPr="00AF6309" w:rsidRDefault="00191861" w:rsidP="00191861">
            <w:pPr>
              <w:ind w:left="-113" w:right="-111" w:firstLine="93"/>
              <w:jc w:val="center"/>
              <w:rPr>
                <w:b/>
                <w:bCs/>
                <w:sz w:val="20"/>
                <w:szCs w:val="20"/>
              </w:rPr>
            </w:pPr>
            <w:r w:rsidRPr="00AF6309">
              <w:rPr>
                <w:b/>
                <w:bCs/>
                <w:sz w:val="20"/>
                <w:szCs w:val="20"/>
              </w:rPr>
              <w:t>2 981,8</w:t>
            </w:r>
          </w:p>
        </w:tc>
        <w:tc>
          <w:tcPr>
            <w:tcW w:w="568" w:type="dxa"/>
            <w:shd w:val="clear" w:color="000000" w:fill="FFFFFF"/>
            <w:noWrap/>
            <w:vAlign w:val="center"/>
            <w:hideMark/>
          </w:tcPr>
          <w:p w:rsidR="00191861" w:rsidRPr="00AF6309" w:rsidRDefault="00191861" w:rsidP="00AF6309">
            <w:pPr>
              <w:ind w:left="-101" w:right="-111"/>
              <w:jc w:val="center"/>
              <w:rPr>
                <w:b/>
                <w:bCs/>
                <w:sz w:val="20"/>
                <w:szCs w:val="20"/>
              </w:rPr>
            </w:pPr>
            <w:r w:rsidRPr="00AF6309">
              <w:rPr>
                <w:b/>
                <w:bCs/>
                <w:sz w:val="20"/>
                <w:szCs w:val="20"/>
              </w:rPr>
              <w:t>87,9</w:t>
            </w:r>
          </w:p>
        </w:tc>
        <w:tc>
          <w:tcPr>
            <w:tcW w:w="945" w:type="dxa"/>
            <w:shd w:val="clear" w:color="000000" w:fill="FFFFFF"/>
            <w:noWrap/>
            <w:vAlign w:val="center"/>
            <w:hideMark/>
          </w:tcPr>
          <w:p w:rsidR="00191861" w:rsidRPr="00AF6309" w:rsidRDefault="00191861" w:rsidP="00191861">
            <w:pPr>
              <w:ind w:left="57" w:right="57"/>
              <w:jc w:val="center"/>
              <w:rPr>
                <w:b/>
                <w:bCs/>
                <w:sz w:val="20"/>
                <w:szCs w:val="20"/>
              </w:rPr>
            </w:pPr>
            <w:r w:rsidRPr="00AF6309">
              <w:rPr>
                <w:b/>
                <w:bCs/>
                <w:sz w:val="20"/>
                <w:szCs w:val="20"/>
              </w:rPr>
              <w:t>1 810,7</w:t>
            </w:r>
          </w:p>
        </w:tc>
        <w:tc>
          <w:tcPr>
            <w:tcW w:w="1040" w:type="dxa"/>
            <w:shd w:val="clear" w:color="000000" w:fill="FFFFFF"/>
            <w:vAlign w:val="center"/>
            <w:hideMark/>
          </w:tcPr>
          <w:p w:rsidR="00191861" w:rsidRPr="00AF6309" w:rsidRDefault="00191861" w:rsidP="00191861">
            <w:pPr>
              <w:ind w:left="57" w:right="57"/>
              <w:jc w:val="center"/>
              <w:rPr>
                <w:b/>
                <w:bCs/>
                <w:sz w:val="20"/>
                <w:szCs w:val="20"/>
              </w:rPr>
            </w:pPr>
            <w:r w:rsidRPr="00AF6309">
              <w:rPr>
                <w:b/>
                <w:bCs/>
                <w:sz w:val="20"/>
                <w:szCs w:val="20"/>
              </w:rPr>
              <w:t>1 747,0</w:t>
            </w:r>
          </w:p>
        </w:tc>
      </w:tr>
    </w:tbl>
    <w:p w:rsidR="00191861" w:rsidRPr="00467F9C" w:rsidRDefault="00191861" w:rsidP="00191861">
      <w:pPr>
        <w:ind w:left="57" w:right="57"/>
        <w:jc w:val="both"/>
      </w:pPr>
      <w:r w:rsidRPr="00467F9C">
        <w:t>* с учетом средств местных бюджетов и внебюджетных источников финансирования.</w:t>
      </w:r>
    </w:p>
    <w:p w:rsidR="00191861" w:rsidRPr="00467F9C" w:rsidRDefault="00191861" w:rsidP="00191861">
      <w:pPr>
        <w:spacing w:before="120"/>
        <w:ind w:left="57" w:right="57" w:firstLine="652"/>
        <w:jc w:val="both"/>
        <w:rPr>
          <w:sz w:val="28"/>
          <w:szCs w:val="28"/>
        </w:rPr>
      </w:pPr>
      <w:r w:rsidRPr="00467F9C">
        <w:rPr>
          <w:sz w:val="28"/>
          <w:szCs w:val="28"/>
        </w:rPr>
        <w:t>По представленной Проектным офисом информации о реализации региональных в 2021 году (далее – Информация):</w:t>
      </w:r>
    </w:p>
    <w:p w:rsidR="00191861" w:rsidRPr="00467F9C" w:rsidRDefault="00191861" w:rsidP="00191861">
      <w:pPr>
        <w:ind w:left="57" w:right="57" w:firstLine="651"/>
        <w:jc w:val="both"/>
        <w:rPr>
          <w:sz w:val="28"/>
          <w:szCs w:val="28"/>
        </w:rPr>
      </w:pPr>
      <w:r w:rsidRPr="00467F9C">
        <w:rPr>
          <w:sz w:val="28"/>
          <w:szCs w:val="28"/>
        </w:rPr>
        <w:t>- за 2021 год достигнуто исполнение 88 показателей</w:t>
      </w:r>
      <w:r w:rsidRPr="00467F9C">
        <w:rPr>
          <w:rStyle w:val="ab"/>
          <w:sz w:val="28"/>
          <w:szCs w:val="28"/>
        </w:rPr>
        <w:footnoteReference w:id="119"/>
      </w:r>
      <w:r w:rsidRPr="00467F9C">
        <w:rPr>
          <w:sz w:val="28"/>
          <w:szCs w:val="28"/>
        </w:rPr>
        <w:t xml:space="preserve"> значений региональных проектов (или 77,2%) из 114 установленных показателей (без нулевых значений). Недостижение отмечено по 26 показателям (или 22,8%); </w:t>
      </w:r>
    </w:p>
    <w:p w:rsidR="00191861" w:rsidRPr="00467F9C" w:rsidRDefault="00191861" w:rsidP="00191861">
      <w:pPr>
        <w:ind w:left="57" w:right="57" w:firstLine="651"/>
        <w:jc w:val="both"/>
        <w:rPr>
          <w:sz w:val="28"/>
          <w:szCs w:val="28"/>
        </w:rPr>
      </w:pPr>
      <w:r w:rsidRPr="00467F9C">
        <w:rPr>
          <w:sz w:val="28"/>
          <w:szCs w:val="28"/>
        </w:rPr>
        <w:lastRenderedPageBreak/>
        <w:t xml:space="preserve">- на 1 января 2022 года достигнуто 117 результатов (или 88,0%) из 133 установленных (без нулевых значений). Недостижение отмечено по 16 результатам (или 12,0%). </w:t>
      </w:r>
    </w:p>
    <w:p w:rsidR="00191861" w:rsidRPr="00467F9C" w:rsidRDefault="00191861" w:rsidP="00191861">
      <w:pPr>
        <w:ind w:left="57" w:right="57" w:firstLine="651"/>
        <w:jc w:val="both"/>
        <w:rPr>
          <w:sz w:val="28"/>
          <w:szCs w:val="28"/>
        </w:rPr>
      </w:pPr>
      <w:r w:rsidRPr="00467F9C">
        <w:rPr>
          <w:sz w:val="28"/>
          <w:szCs w:val="28"/>
        </w:rPr>
        <w:t>- в 2021 году размещено 178 закупок в рамках реализации мероприятий региональных проектов на общую сумму 1 980,3 млн. рублей. По результатам закупок заключено контрактов (договоров) на сумму 1 962,8 млн. рублей (за счет всех источников финансирования).</w:t>
      </w:r>
    </w:p>
    <w:p w:rsidR="00191861" w:rsidRPr="00467F9C" w:rsidRDefault="00191861" w:rsidP="00191861">
      <w:pPr>
        <w:ind w:left="57" w:right="57"/>
        <w:jc w:val="both"/>
        <w:rPr>
          <w:sz w:val="28"/>
          <w:szCs w:val="28"/>
        </w:rPr>
      </w:pPr>
      <w:r w:rsidRPr="00467F9C">
        <w:rPr>
          <w:sz w:val="28"/>
          <w:szCs w:val="28"/>
        </w:rPr>
        <w:tab/>
        <w:t xml:space="preserve">Счетная палата отмечает, что отраженный в Информации (Приложение №4) рейтинг кассового исполнения региональных проектов не информативен, так как в общем объеме кассовых расходов отражаются, в том числе, авансовые платежи по государственным и муниципальным контрактам, гранты со сроком исполнения за пределами отчетного периода и межбюджетные трансферты в форме субсидий, неиспользованные остатки по которым в 2022 году возвращены в окружной бюджет. </w:t>
      </w:r>
    </w:p>
    <w:p w:rsidR="00191861" w:rsidRPr="00467F9C" w:rsidRDefault="00191861" w:rsidP="00191861">
      <w:pPr>
        <w:ind w:left="57" w:right="57"/>
        <w:jc w:val="both"/>
        <w:rPr>
          <w:sz w:val="28"/>
          <w:szCs w:val="28"/>
        </w:rPr>
      </w:pPr>
      <w:r w:rsidRPr="00467F9C">
        <w:rPr>
          <w:sz w:val="28"/>
          <w:szCs w:val="28"/>
        </w:rPr>
        <w:tab/>
        <w:t>В 2021 году Счетной палатой в рамках экспертно-аналитической деятельности осуществлялись:</w:t>
      </w:r>
    </w:p>
    <w:p w:rsidR="00191861" w:rsidRPr="00467F9C" w:rsidRDefault="00191861" w:rsidP="00191861">
      <w:pPr>
        <w:ind w:left="57" w:right="57"/>
        <w:jc w:val="both"/>
        <w:rPr>
          <w:sz w:val="28"/>
          <w:szCs w:val="28"/>
        </w:rPr>
      </w:pPr>
      <w:r w:rsidRPr="00467F9C">
        <w:rPr>
          <w:sz w:val="28"/>
          <w:szCs w:val="28"/>
        </w:rPr>
        <w:tab/>
        <w:t>- ежемесячный мониторинг реализации на территории Чукотского автономного округа национальных проектов, определенных Указом Президента Российской Федерации «О национальных целях и стратегических задачах развития Российской Федерации на период до 2024 года»</w:t>
      </w:r>
      <w:r w:rsidRPr="00467F9C">
        <w:rPr>
          <w:rStyle w:val="ab"/>
          <w:sz w:val="28"/>
          <w:szCs w:val="28"/>
        </w:rPr>
        <w:footnoteReference w:id="120"/>
      </w:r>
      <w:r w:rsidRPr="00467F9C">
        <w:rPr>
          <w:sz w:val="28"/>
          <w:szCs w:val="28"/>
        </w:rPr>
        <w:t>;</w:t>
      </w:r>
    </w:p>
    <w:p w:rsidR="00191861" w:rsidRPr="00467F9C" w:rsidRDefault="00191861" w:rsidP="00191861">
      <w:pPr>
        <w:ind w:left="57" w:right="57"/>
        <w:jc w:val="both"/>
        <w:rPr>
          <w:sz w:val="28"/>
          <w:szCs w:val="28"/>
        </w:rPr>
      </w:pPr>
      <w:r w:rsidRPr="00467F9C">
        <w:rPr>
          <w:sz w:val="28"/>
          <w:szCs w:val="28"/>
        </w:rPr>
        <w:tab/>
        <w:t xml:space="preserve">- оценка хода реализации региональных проектов в Чукотском автономном округе за 2020 год, за 1 квартал, полугодие и 9 месяцев 2021 года. </w:t>
      </w:r>
    </w:p>
    <w:p w:rsidR="00191861" w:rsidRPr="00467F9C" w:rsidRDefault="00191861" w:rsidP="00191861">
      <w:pPr>
        <w:ind w:left="57" w:right="57"/>
        <w:jc w:val="both"/>
        <w:rPr>
          <w:sz w:val="28"/>
          <w:szCs w:val="28"/>
        </w:rPr>
      </w:pPr>
      <w:r w:rsidRPr="00467F9C">
        <w:rPr>
          <w:b/>
          <w:sz w:val="28"/>
          <w:szCs w:val="28"/>
        </w:rPr>
        <w:tab/>
      </w:r>
      <w:r w:rsidRPr="00467F9C">
        <w:rPr>
          <w:sz w:val="28"/>
          <w:szCs w:val="28"/>
        </w:rPr>
        <w:t>Проведено три контрольных мероприятия по проверке использования бюджетных средств, направленных на реализацию мероприятий трех региональных проектов.</w:t>
      </w:r>
    </w:p>
    <w:p w:rsidR="00191861" w:rsidRPr="00467F9C" w:rsidRDefault="00191861" w:rsidP="00191861">
      <w:pPr>
        <w:spacing w:before="120" w:after="120"/>
        <w:ind w:left="57" w:right="57"/>
        <w:jc w:val="both"/>
        <w:rPr>
          <w:b/>
          <w:sz w:val="28"/>
          <w:szCs w:val="28"/>
        </w:rPr>
      </w:pPr>
      <w:r w:rsidRPr="00467F9C">
        <w:rPr>
          <w:sz w:val="28"/>
          <w:szCs w:val="28"/>
        </w:rPr>
        <w:tab/>
      </w:r>
      <w:r w:rsidRPr="00467F9C">
        <w:rPr>
          <w:b/>
          <w:sz w:val="28"/>
          <w:szCs w:val="28"/>
        </w:rPr>
        <w:t>2. Исполнение региональных проектов Чукотского автономного округа за 2021 год</w:t>
      </w:r>
    </w:p>
    <w:p w:rsidR="00191861" w:rsidRPr="00467F9C" w:rsidRDefault="00191861" w:rsidP="00191861">
      <w:pPr>
        <w:ind w:left="57" w:right="57"/>
        <w:jc w:val="both"/>
        <w:rPr>
          <w:sz w:val="28"/>
          <w:szCs w:val="28"/>
        </w:rPr>
      </w:pPr>
      <w:r w:rsidRPr="00467F9C">
        <w:rPr>
          <w:b/>
          <w:sz w:val="28"/>
          <w:szCs w:val="28"/>
        </w:rPr>
        <w:tab/>
        <w:t>2.1.</w:t>
      </w:r>
      <w:r w:rsidRPr="00467F9C">
        <w:rPr>
          <w:sz w:val="28"/>
          <w:szCs w:val="28"/>
        </w:rPr>
        <w:t xml:space="preserve"> В рамках национального проекта </w:t>
      </w:r>
      <w:r w:rsidRPr="00467F9C">
        <w:rPr>
          <w:b/>
          <w:sz w:val="28"/>
          <w:szCs w:val="28"/>
        </w:rPr>
        <w:t>«Демография»</w:t>
      </w:r>
      <w:r w:rsidRPr="00467F9C">
        <w:rPr>
          <w:sz w:val="28"/>
          <w:szCs w:val="28"/>
        </w:rPr>
        <w:t xml:space="preserve"> на территории Чукотского автономного округа реализуются пять региональных проектов, мероприятия которых интегрированы в пять государственных программ Чукотского автономного округа. </w:t>
      </w:r>
    </w:p>
    <w:p w:rsidR="00191861" w:rsidRPr="00467F9C" w:rsidRDefault="00191861" w:rsidP="00191861">
      <w:pPr>
        <w:ind w:left="57" w:right="57"/>
        <w:jc w:val="both"/>
        <w:rPr>
          <w:sz w:val="28"/>
          <w:szCs w:val="28"/>
        </w:rPr>
      </w:pPr>
      <w:r w:rsidRPr="00467F9C">
        <w:rPr>
          <w:sz w:val="28"/>
          <w:szCs w:val="28"/>
        </w:rPr>
        <w:tab/>
        <w:t xml:space="preserve">На реализацию региональных проектов национального проекта «Демография» в 2021 году из окружного бюджета направлено 524,7 млн. рублей или 77,9 % от утвержденных сводной бюджетной росписью ассигнований, из них 291,1 млн. рублей – средства федерального бюджета. </w:t>
      </w:r>
    </w:p>
    <w:p w:rsidR="00191861" w:rsidRPr="00467F9C" w:rsidRDefault="00191861" w:rsidP="00191861">
      <w:pPr>
        <w:ind w:left="57" w:right="57"/>
        <w:jc w:val="both"/>
        <w:rPr>
          <w:sz w:val="28"/>
          <w:szCs w:val="28"/>
        </w:rPr>
      </w:pPr>
      <w:r w:rsidRPr="00467F9C">
        <w:rPr>
          <w:sz w:val="28"/>
          <w:szCs w:val="28"/>
        </w:rPr>
        <w:tab/>
        <w:t>По отчетам о ходе реализации РП на их реализацию направлено 525,5 млн. рублей, фактическое выполнение мероприятий региональных проектов составило 529,3 млн. рублей или 100,9 % от объема полученных бюджетных ассигнований на их реализацию</w:t>
      </w:r>
      <w:r w:rsidRPr="00467F9C">
        <w:rPr>
          <w:rStyle w:val="ab"/>
          <w:sz w:val="28"/>
          <w:szCs w:val="28"/>
        </w:rPr>
        <w:footnoteReference w:id="121"/>
      </w:r>
      <w:r w:rsidRPr="00467F9C">
        <w:rPr>
          <w:sz w:val="28"/>
          <w:szCs w:val="28"/>
        </w:rPr>
        <w:t>(рис. 2).</w:t>
      </w:r>
      <w:r w:rsidRPr="00467F9C">
        <w:rPr>
          <w:sz w:val="28"/>
          <w:szCs w:val="28"/>
        </w:rPr>
        <w:tab/>
      </w:r>
    </w:p>
    <w:p w:rsidR="00191861" w:rsidRPr="00467F9C" w:rsidRDefault="00191861" w:rsidP="00191861">
      <w:pPr>
        <w:ind w:left="57" w:right="57"/>
        <w:jc w:val="both"/>
        <w:rPr>
          <w:sz w:val="28"/>
          <w:szCs w:val="28"/>
        </w:rPr>
      </w:pP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r>
    </w:p>
    <w:p w:rsidR="00191861" w:rsidRPr="00467F9C" w:rsidRDefault="00191861" w:rsidP="00191861">
      <w:pPr>
        <w:ind w:left="57" w:right="57"/>
        <w:jc w:val="center"/>
        <w:rPr>
          <w:sz w:val="28"/>
          <w:szCs w:val="28"/>
        </w:rPr>
      </w:pPr>
      <w:r w:rsidRPr="00467F9C">
        <w:rPr>
          <w:noProof/>
          <w:sz w:val="28"/>
          <w:szCs w:val="28"/>
        </w:rPr>
        <w:lastRenderedPageBreak/>
        <w:drawing>
          <wp:inline distT="0" distB="0" distL="0" distR="0" wp14:anchorId="23CF57DC" wp14:editId="646A66C4">
            <wp:extent cx="5818909" cy="1068779"/>
            <wp:effectExtent l="0" t="0" r="10795" b="17145"/>
            <wp:docPr id="20" name="Диаграмма 2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4EB489B-D2EF-4753-8DBA-684C1AFC9B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91861" w:rsidRPr="00467F9C" w:rsidRDefault="00191861" w:rsidP="00191861">
      <w:pPr>
        <w:ind w:left="57" w:right="57"/>
        <w:jc w:val="both"/>
      </w:pPr>
      <w:r w:rsidRPr="00467F9C">
        <w:rPr>
          <w:sz w:val="28"/>
          <w:szCs w:val="28"/>
        </w:rPr>
        <w:t xml:space="preserve">                                                     </w:t>
      </w:r>
      <w:r w:rsidRPr="00467F9C">
        <w:t>Рис. 2 (млн. руб</w:t>
      </w:r>
      <w:r w:rsidR="00101017">
        <w:t>лей</w:t>
      </w:r>
      <w:r w:rsidRPr="00467F9C">
        <w:t>)</w:t>
      </w:r>
    </w:p>
    <w:p w:rsidR="00191861" w:rsidRPr="00467F9C" w:rsidRDefault="00191861" w:rsidP="00191861">
      <w:pPr>
        <w:ind w:left="57" w:right="57"/>
        <w:jc w:val="both"/>
        <w:rPr>
          <w:sz w:val="6"/>
          <w:szCs w:val="6"/>
        </w:rPr>
      </w:pPr>
      <w:r w:rsidRPr="00467F9C">
        <w:rPr>
          <w:sz w:val="28"/>
          <w:szCs w:val="28"/>
        </w:rPr>
        <w:tab/>
      </w:r>
    </w:p>
    <w:p w:rsidR="00191861" w:rsidRPr="00467F9C" w:rsidRDefault="00191861" w:rsidP="00191861">
      <w:pPr>
        <w:ind w:left="57" w:right="57" w:firstLine="652"/>
        <w:jc w:val="both"/>
        <w:rPr>
          <w:sz w:val="28"/>
          <w:szCs w:val="28"/>
        </w:rPr>
      </w:pPr>
      <w:r w:rsidRPr="00467F9C">
        <w:rPr>
          <w:sz w:val="28"/>
          <w:szCs w:val="28"/>
        </w:rPr>
        <w:t>В рамках реализации мероприятий трех региональных проектов НП «Демография» заключены государственные (муниципальные) контракты на общую сумму 1 137,5 млн. рублей, из них государственные (муниципальные) контракты на общую сумму 1 023,2 млн. рублей со сроком исполнения после 1 января 2022 года.</w:t>
      </w:r>
    </w:p>
    <w:p w:rsidR="00191861" w:rsidRPr="00467F9C" w:rsidRDefault="00191861" w:rsidP="00191861">
      <w:pPr>
        <w:ind w:left="57" w:right="57"/>
        <w:jc w:val="both"/>
        <w:rPr>
          <w:sz w:val="28"/>
          <w:szCs w:val="28"/>
        </w:rPr>
      </w:pPr>
      <w:r w:rsidRPr="00467F9C">
        <w:rPr>
          <w:sz w:val="28"/>
          <w:szCs w:val="28"/>
        </w:rPr>
        <w:tab/>
        <w:t xml:space="preserve">Установленные паспортами региональных проектов на 2021 год показатели достигнуты по одному из пяти региональных проектов (свыше 95 % или превышены плановые показатели). </w:t>
      </w:r>
    </w:p>
    <w:p w:rsidR="00191861" w:rsidRPr="00467F9C" w:rsidRDefault="00191861" w:rsidP="00191861">
      <w:pPr>
        <w:ind w:left="57" w:right="57"/>
        <w:jc w:val="both"/>
        <w:rPr>
          <w:sz w:val="28"/>
          <w:szCs w:val="28"/>
        </w:rPr>
      </w:pPr>
      <w:r w:rsidRPr="00467F9C">
        <w:rPr>
          <w:sz w:val="28"/>
          <w:szCs w:val="28"/>
        </w:rPr>
        <w:tab/>
        <w:t xml:space="preserve">Анализ отчетов о ходе реализации региональных проектов за 2021 год и данных, предоставленных ответственными исполнителями мероприятий </w:t>
      </w:r>
      <w:proofErr w:type="spellStart"/>
      <w:r w:rsidRPr="00467F9C">
        <w:rPr>
          <w:sz w:val="28"/>
          <w:szCs w:val="28"/>
        </w:rPr>
        <w:t>регпроектов</w:t>
      </w:r>
      <w:proofErr w:type="spellEnd"/>
      <w:r w:rsidRPr="00467F9C">
        <w:rPr>
          <w:sz w:val="28"/>
          <w:szCs w:val="28"/>
        </w:rPr>
        <w:t>, показал следующее.</w:t>
      </w:r>
    </w:p>
    <w:p w:rsidR="00191861" w:rsidRPr="00467F9C" w:rsidRDefault="00191861" w:rsidP="00191861">
      <w:pPr>
        <w:spacing w:before="80"/>
        <w:ind w:left="57" w:right="57"/>
        <w:jc w:val="both"/>
        <w:rPr>
          <w:sz w:val="28"/>
          <w:szCs w:val="28"/>
        </w:rPr>
      </w:pPr>
      <w:r w:rsidRPr="00467F9C">
        <w:rPr>
          <w:sz w:val="28"/>
          <w:szCs w:val="28"/>
        </w:rPr>
        <w:tab/>
        <w:t xml:space="preserve">1) Паспортом </w:t>
      </w:r>
      <w:r w:rsidRPr="00467F9C">
        <w:rPr>
          <w:b/>
          <w:sz w:val="28"/>
          <w:szCs w:val="28"/>
        </w:rPr>
        <w:t>регионального проекта «Разработка и реализация программы системной поддержки и повышения качества жизни граждан старшего поколения («Старшее поколение»)»</w:t>
      </w:r>
      <w:r w:rsidRPr="00467F9C">
        <w:rPr>
          <w:sz w:val="28"/>
          <w:szCs w:val="28"/>
        </w:rPr>
        <w:t xml:space="preserve"> в 2021 году предусмотрено финансовое обеспечение расходов за счет средств окружного бюджета в сумме 19,5 млн. рублей </w:t>
      </w:r>
      <w:r w:rsidRPr="00467F9C">
        <w:rPr>
          <w:bCs/>
          <w:sz w:val="28"/>
          <w:szCs w:val="28"/>
        </w:rPr>
        <w:t xml:space="preserve">по подготовке проектной документации и выполнению инженерных изысканий в 2021 году </w:t>
      </w:r>
      <w:r w:rsidRPr="00467F9C">
        <w:rPr>
          <w:sz w:val="28"/>
          <w:szCs w:val="28"/>
        </w:rPr>
        <w:t xml:space="preserve">на строительство объекта «Дом для граждан старшего возраста» в </w:t>
      </w:r>
      <w:proofErr w:type="spellStart"/>
      <w:r w:rsidRPr="00467F9C">
        <w:rPr>
          <w:sz w:val="28"/>
          <w:szCs w:val="28"/>
        </w:rPr>
        <w:t>пгт</w:t>
      </w:r>
      <w:proofErr w:type="spellEnd"/>
      <w:r w:rsidRPr="00467F9C">
        <w:rPr>
          <w:sz w:val="28"/>
          <w:szCs w:val="28"/>
        </w:rPr>
        <w:t xml:space="preserve">. </w:t>
      </w:r>
      <w:proofErr w:type="spellStart"/>
      <w:r w:rsidRPr="00467F9C">
        <w:rPr>
          <w:sz w:val="28"/>
          <w:szCs w:val="28"/>
        </w:rPr>
        <w:t>Эгвекинот</w:t>
      </w:r>
      <w:proofErr w:type="spellEnd"/>
      <w:r w:rsidRPr="00467F9C">
        <w:rPr>
          <w:sz w:val="28"/>
          <w:szCs w:val="28"/>
        </w:rPr>
        <w:t xml:space="preserve"> на 100 койко-мест по </w:t>
      </w:r>
      <w:r w:rsidRPr="00467F9C">
        <w:rPr>
          <w:bCs/>
          <w:sz w:val="28"/>
          <w:szCs w:val="28"/>
        </w:rPr>
        <w:t xml:space="preserve">государственному контракту, заключенному между ГКУ «УКС ЧАО» и НАО «Чукотская торговая компания» со сроком реализации до 31.12.2024. Цена контракта 743,4 млн. рублей, что превышает общий объем бюджетных ассигнований, предусмотренных паспортом регионального проекта по данному мероприятию на период 2020-2024 годов (355,4 млн. рублей).  В отчетном периоде </w:t>
      </w:r>
      <w:r w:rsidRPr="00467F9C">
        <w:rPr>
          <w:sz w:val="28"/>
          <w:szCs w:val="28"/>
        </w:rPr>
        <w:t>финансирование мероприятия не осуществлялось в связи</w:t>
      </w:r>
      <w:r w:rsidRPr="00467F9C">
        <w:rPr>
          <w:bCs/>
          <w:sz w:val="28"/>
          <w:szCs w:val="28"/>
        </w:rPr>
        <w:t xml:space="preserve"> с задержкой исполнения подрядчиком обязательств по контракту – не получено положительное заключение государственной экспертизы и положительное заключение о достоверности определения сметной стоимости объекта капитального строительства. </w:t>
      </w:r>
      <w:r w:rsidRPr="00467F9C">
        <w:rPr>
          <w:rFonts w:eastAsia="Calibri"/>
          <w:sz w:val="28"/>
          <w:szCs w:val="28"/>
        </w:rPr>
        <w:t>В</w:t>
      </w:r>
      <w:r w:rsidRPr="00467F9C">
        <w:rPr>
          <w:sz w:val="28"/>
          <w:szCs w:val="28"/>
        </w:rPr>
        <w:t xml:space="preserve"> декабре 2021 года заключено дополнительное соглашение к Государственному контракту о продлении сроков проектирования и прохождения государственной экспертизы объекта. </w:t>
      </w:r>
    </w:p>
    <w:p w:rsidR="00191861" w:rsidRPr="00467F9C" w:rsidRDefault="00191861" w:rsidP="00191861">
      <w:pPr>
        <w:ind w:left="57" w:right="57"/>
        <w:jc w:val="both"/>
        <w:rPr>
          <w:sz w:val="28"/>
          <w:szCs w:val="28"/>
        </w:rPr>
      </w:pPr>
      <w:r w:rsidRPr="00467F9C">
        <w:rPr>
          <w:sz w:val="28"/>
          <w:szCs w:val="28"/>
        </w:rPr>
        <w:tab/>
        <w:t xml:space="preserve">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паспортом регионального проекта предусмотрено финансирование в сумме 0,01 млн. рублей. При этом, в Отчете о результатах реализации РП за 2021 года данное мероприятие исключено. На реализацию мероприятия в отчетном периоде направлено 0,01 млн. рублей средств федерального бюджета, выполнение составило 100% от полученного финансирования. </w:t>
      </w:r>
    </w:p>
    <w:p w:rsidR="00191861" w:rsidRPr="00467F9C" w:rsidRDefault="00191861" w:rsidP="00191861">
      <w:pPr>
        <w:ind w:left="57" w:right="57"/>
        <w:jc w:val="both"/>
        <w:rPr>
          <w:sz w:val="28"/>
          <w:szCs w:val="28"/>
        </w:rPr>
      </w:pPr>
      <w:r w:rsidRPr="00467F9C">
        <w:rPr>
          <w:sz w:val="28"/>
          <w:szCs w:val="28"/>
        </w:rPr>
        <w:tab/>
        <w:t xml:space="preserve">По состоянию на 01.01.2022 года показатель «Доля лиц старше трудоспособного возраста, у которых выявлены заболевания и патологические </w:t>
      </w:r>
      <w:r w:rsidRPr="00467F9C">
        <w:rPr>
          <w:sz w:val="28"/>
          <w:szCs w:val="28"/>
        </w:rPr>
        <w:lastRenderedPageBreak/>
        <w:t xml:space="preserve">состояния, находящихся под диспансерным наблюдением» выполнен на 73,6% от планового значения по причине приостановления профилактических осмотров и диспансеризации граждан старше трудоспособного возраста, в связи с новой </w:t>
      </w:r>
      <w:proofErr w:type="spellStart"/>
      <w:r w:rsidRPr="00467F9C">
        <w:rPr>
          <w:sz w:val="28"/>
          <w:szCs w:val="28"/>
        </w:rPr>
        <w:t>короновирусной</w:t>
      </w:r>
      <w:proofErr w:type="spellEnd"/>
      <w:r w:rsidRPr="00467F9C">
        <w:rPr>
          <w:sz w:val="28"/>
          <w:szCs w:val="28"/>
        </w:rPr>
        <w:t xml:space="preserve"> инфекцией.</w:t>
      </w:r>
    </w:p>
    <w:p w:rsidR="00191861" w:rsidRPr="00467F9C" w:rsidRDefault="00191861" w:rsidP="00191861">
      <w:pPr>
        <w:spacing w:before="80"/>
        <w:ind w:left="57" w:right="57"/>
        <w:jc w:val="both"/>
        <w:rPr>
          <w:sz w:val="28"/>
          <w:szCs w:val="28"/>
        </w:rPr>
      </w:pPr>
      <w:r w:rsidRPr="00467F9C">
        <w:rPr>
          <w:sz w:val="28"/>
          <w:szCs w:val="28"/>
        </w:rPr>
        <w:tab/>
        <w:t xml:space="preserve">2) Паспортом </w:t>
      </w:r>
      <w:r w:rsidRPr="00467F9C">
        <w:rPr>
          <w:b/>
          <w:sz w:val="28"/>
          <w:szCs w:val="28"/>
        </w:rPr>
        <w:t>регионального проекта «Формирование системы мотивации граждан к здоровому образу жизни, включая здоровое питание и отказ от вредных привычек»</w:t>
      </w:r>
      <w:r w:rsidRPr="00467F9C">
        <w:rPr>
          <w:sz w:val="28"/>
          <w:szCs w:val="28"/>
        </w:rPr>
        <w:t xml:space="preserve"> в 2021 году предусмотрено финансовое обеспечение в сумме 6,89 млн. рублей на реализацию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 СБР утверждены бюджетные ассигнования на предоставление грантов в целях реализации проектов, направленных на формирование у населения мотивации к здоровому образу жизни и отказу от вредных привычек, на снижение потребления алкоголя, профилактику алкоголизма и его последствий и на реализацию региональных программ по формированию приверженности здоровому образу жизни в сумме 6,89 млн. рублей. На эти цели в отчетном периоде из окружного бюджета направлены средства в полном объеме, по результатам состоявшегося конкурса победителям выданы гранты, которые полностью реализованы:</w:t>
      </w:r>
    </w:p>
    <w:p w:rsidR="00191861" w:rsidRPr="00467F9C" w:rsidRDefault="00191861" w:rsidP="00191861">
      <w:pPr>
        <w:ind w:left="57" w:right="57"/>
        <w:jc w:val="both"/>
        <w:rPr>
          <w:sz w:val="28"/>
          <w:szCs w:val="28"/>
        </w:rPr>
      </w:pPr>
      <w:r w:rsidRPr="00467F9C">
        <w:rPr>
          <w:sz w:val="28"/>
          <w:szCs w:val="28"/>
        </w:rPr>
        <w:tab/>
        <w:t>- 4,5 млн. рублей «Православной религиозной организации Анадырская и Чукотская епархия Русской Православной Церкви (Анадырская и Чукотская епархия)» - проект направлен на формирование у населения мотивации к здоровому образу жизни и отказу от вредных привычек;</w:t>
      </w:r>
    </w:p>
    <w:p w:rsidR="00191861" w:rsidRPr="00467F9C" w:rsidRDefault="00191861" w:rsidP="00191861">
      <w:pPr>
        <w:ind w:left="57" w:right="57"/>
        <w:jc w:val="both"/>
        <w:rPr>
          <w:sz w:val="28"/>
          <w:szCs w:val="28"/>
        </w:rPr>
      </w:pPr>
      <w:r w:rsidRPr="00467F9C">
        <w:rPr>
          <w:sz w:val="28"/>
          <w:szCs w:val="28"/>
        </w:rPr>
        <w:tab/>
        <w:t>- 2,0 млн. рублей Некоммерческому учреждению «Чукотский совет по развитию местных инициатив» - проекты направлены на снижение потребления алкоголя, профилактику алкоголизма и его последствий;</w:t>
      </w:r>
    </w:p>
    <w:p w:rsidR="00191861" w:rsidRPr="00467F9C" w:rsidRDefault="00191861" w:rsidP="00191861">
      <w:pPr>
        <w:ind w:left="57" w:right="57"/>
        <w:jc w:val="both"/>
        <w:rPr>
          <w:sz w:val="28"/>
          <w:szCs w:val="28"/>
        </w:rPr>
      </w:pPr>
      <w:r w:rsidRPr="00467F9C">
        <w:rPr>
          <w:sz w:val="28"/>
          <w:szCs w:val="28"/>
        </w:rPr>
        <w:tab/>
        <w:t>- 0,39 млн. рублей Общественной организации Чукотское автономное окружное отделение общероссийской общественной организации «Российский красный крест» - региональные программы по формированию приверженности здоровому образу жизни с привлечением волонтерских движений.</w:t>
      </w:r>
    </w:p>
    <w:p w:rsidR="00191861" w:rsidRPr="00467F9C" w:rsidRDefault="00191861" w:rsidP="00191861">
      <w:pPr>
        <w:ind w:left="57" w:right="57"/>
        <w:jc w:val="both"/>
        <w:rPr>
          <w:sz w:val="28"/>
          <w:szCs w:val="28"/>
        </w:rPr>
      </w:pPr>
      <w:r w:rsidRPr="00467F9C">
        <w:rPr>
          <w:sz w:val="28"/>
          <w:szCs w:val="28"/>
        </w:rPr>
        <w:tab/>
        <w:t xml:space="preserve">По состоянию на 01.01.2022 года не достигнут показатель «Темпы прироста первичной заболеваемости ожирением, убывающий» по причине снижения количества профилактических осмотров граждан в связи с новой </w:t>
      </w:r>
      <w:proofErr w:type="spellStart"/>
      <w:r w:rsidRPr="00467F9C">
        <w:rPr>
          <w:sz w:val="28"/>
          <w:szCs w:val="28"/>
        </w:rPr>
        <w:t>короновирусной</w:t>
      </w:r>
      <w:proofErr w:type="spellEnd"/>
      <w:r w:rsidRPr="00467F9C">
        <w:rPr>
          <w:sz w:val="28"/>
          <w:szCs w:val="28"/>
        </w:rPr>
        <w:t xml:space="preserve"> инфекцией.</w:t>
      </w:r>
    </w:p>
    <w:p w:rsidR="00191861" w:rsidRPr="00467F9C" w:rsidRDefault="00191861" w:rsidP="00191861">
      <w:pPr>
        <w:spacing w:before="80"/>
        <w:ind w:left="57" w:right="57"/>
        <w:jc w:val="both"/>
        <w:rPr>
          <w:sz w:val="28"/>
          <w:szCs w:val="28"/>
        </w:rPr>
      </w:pPr>
      <w:r w:rsidRPr="00467F9C">
        <w:rPr>
          <w:sz w:val="28"/>
          <w:szCs w:val="28"/>
        </w:rPr>
        <w:tab/>
        <w:t xml:space="preserve">3) В рамках </w:t>
      </w:r>
      <w:r w:rsidRPr="00467F9C">
        <w:rPr>
          <w:b/>
          <w:sz w:val="28"/>
          <w:szCs w:val="28"/>
        </w:rPr>
        <w:t xml:space="preserve">регионального проекта «Финансовая поддержка семей при рождении детей» </w:t>
      </w:r>
      <w:r w:rsidRPr="00467F9C">
        <w:rPr>
          <w:sz w:val="28"/>
          <w:szCs w:val="28"/>
        </w:rPr>
        <w:t>осуществлялось 11 мероприятий, направленных на поддержку семей при рождении (усыновлении) первого ребенка и (или) второго ребёнка, третьего или последующих детей, малоимущих семей. На эти цели в отчетном периоде направлено 351,4 млн. рублей, из них 244,4 млн. рублей средства федерального бюджета.</w:t>
      </w:r>
    </w:p>
    <w:p w:rsidR="00191861" w:rsidRPr="00467F9C" w:rsidRDefault="00191861" w:rsidP="00191861">
      <w:pPr>
        <w:ind w:left="57" w:right="57"/>
        <w:jc w:val="both"/>
        <w:rPr>
          <w:sz w:val="28"/>
          <w:szCs w:val="28"/>
        </w:rPr>
      </w:pPr>
      <w:r w:rsidRPr="00467F9C">
        <w:rPr>
          <w:sz w:val="28"/>
          <w:szCs w:val="28"/>
        </w:rPr>
        <w:tab/>
        <w:t>Плановые результаты и контрольные точки регионального проекта достигнуты.</w:t>
      </w:r>
    </w:p>
    <w:p w:rsidR="00191861" w:rsidRPr="00467F9C" w:rsidRDefault="00191861" w:rsidP="00191861">
      <w:pPr>
        <w:spacing w:before="80"/>
        <w:ind w:left="57" w:right="57"/>
        <w:jc w:val="both"/>
        <w:rPr>
          <w:sz w:val="28"/>
          <w:szCs w:val="28"/>
        </w:rPr>
      </w:pPr>
      <w:r w:rsidRPr="00467F9C">
        <w:rPr>
          <w:sz w:val="28"/>
          <w:szCs w:val="28"/>
        </w:rPr>
        <w:tab/>
        <w:t xml:space="preserve">4) В рамках </w:t>
      </w:r>
      <w:r w:rsidRPr="00467F9C">
        <w:rPr>
          <w:b/>
          <w:sz w:val="28"/>
          <w:szCs w:val="28"/>
        </w:rPr>
        <w:t xml:space="preserve">регионального проекта «Содействие занятости» </w:t>
      </w:r>
      <w:r w:rsidRPr="00467F9C">
        <w:rPr>
          <w:sz w:val="28"/>
          <w:szCs w:val="28"/>
        </w:rPr>
        <w:t xml:space="preserve">осуществляется реализация мероприятия «Строительство объекта «Детский сад в г. Анадырь» (далее – Объект) на 60 мест для детей от 1,5 до 3 лет. </w:t>
      </w:r>
    </w:p>
    <w:p w:rsidR="00191861" w:rsidRPr="00467F9C" w:rsidRDefault="00191861" w:rsidP="00191861">
      <w:pPr>
        <w:ind w:left="57" w:right="57"/>
        <w:jc w:val="both"/>
        <w:rPr>
          <w:sz w:val="28"/>
          <w:szCs w:val="28"/>
        </w:rPr>
      </w:pPr>
      <w:r w:rsidRPr="00467F9C">
        <w:rPr>
          <w:sz w:val="28"/>
          <w:szCs w:val="28"/>
        </w:rPr>
        <w:lastRenderedPageBreak/>
        <w:tab/>
        <w:t xml:space="preserve">На 2021 год паспортом и сводной бюджетной росписью предусмотрено направить 172,8 млн. рублей (из них средства федерального бюджета – 45,5 млн. рублей) на выполнение работ по строительству Объекта по государственному контракту, заключенному в 2020 году с ООО «ЧСБК» на общую сумму 333,5 млн. рублей и сроком реализации до 30.11.2022 года. В отчетном периоде на реализацию мероприятия направлено 58,95 млн. рублей, в том числе 45,5 млн. рублей средства федерального бюджета. Согласно представленным ответственным исполнителем данным, по состоянию на 01.01.2022 года стоимость фактически выполненных Подрядчиком работ по контракту составляет 63,6 млн. рублей или 56,8% от направленных бюджетных ассигнований в виде авансовых платежей в 2020 и 2021 годах (111,9 млн. рублей). </w:t>
      </w:r>
    </w:p>
    <w:p w:rsidR="00191861" w:rsidRPr="00467F9C" w:rsidRDefault="00191861" w:rsidP="00191861">
      <w:pPr>
        <w:ind w:left="57" w:right="57"/>
        <w:jc w:val="both"/>
        <w:rPr>
          <w:sz w:val="28"/>
          <w:szCs w:val="28"/>
        </w:rPr>
      </w:pPr>
      <w:r w:rsidRPr="00467F9C">
        <w:rPr>
          <w:sz w:val="28"/>
          <w:szCs w:val="28"/>
        </w:rPr>
        <w:tab/>
        <w:t xml:space="preserve">Подрядчиком не выполнены в 2021 году работы на общую сумму 111,6 млн. рублей по причине кризиса в глобальной логистике, а именно в ограничении портами приема и доставки генеральных грузов в Чукотский автономный округ.  Готовность объекта составляет 19%. По состоянию на 1 января 2022 года объем авансовых платежей, перечисленных подрядчику, составил 48,35 млн. рублей. Низкие темпы фактического выполнения Подрядчиком работ по контракту создают риски невыполнения мероприятия регионального проекта к установленному сроку – 31.12.2022 года. Наличие критических отклонений в установленных сроках окончания строительства отмечено в Отчете о ходе реализации регионального проекта за 2021 год. </w:t>
      </w:r>
    </w:p>
    <w:p w:rsidR="00191861" w:rsidRPr="00467F9C" w:rsidRDefault="00191861" w:rsidP="00191861">
      <w:pPr>
        <w:spacing w:before="80"/>
        <w:ind w:left="57" w:right="57"/>
        <w:jc w:val="both"/>
        <w:rPr>
          <w:sz w:val="28"/>
          <w:szCs w:val="28"/>
        </w:rPr>
      </w:pPr>
      <w:r w:rsidRPr="00467F9C">
        <w:rPr>
          <w:sz w:val="28"/>
          <w:szCs w:val="28"/>
        </w:rPr>
        <w:tab/>
        <w:t xml:space="preserve">5) Паспортом </w:t>
      </w:r>
      <w:r w:rsidRPr="00467F9C">
        <w:rPr>
          <w:b/>
          <w:sz w:val="28"/>
          <w:szCs w:val="28"/>
        </w:rPr>
        <w:t>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(Спорт- норма жизни)»</w:t>
      </w:r>
      <w:r w:rsidRPr="00467F9C">
        <w:rPr>
          <w:sz w:val="28"/>
          <w:szCs w:val="28"/>
        </w:rPr>
        <w:t xml:space="preserve"> на 2021 год предусмотрена реализация 10 мероприятий с объемом финансовых ресурсов 122,2 млн. рублей, из них 56,3 млн. рублей – на строительство многофункциональной спортивной площадки с искусственным покрытием в </w:t>
      </w:r>
      <w:proofErr w:type="spellStart"/>
      <w:r w:rsidRPr="00467F9C">
        <w:rPr>
          <w:sz w:val="28"/>
          <w:szCs w:val="28"/>
        </w:rPr>
        <w:t>г.Билибино</w:t>
      </w:r>
      <w:proofErr w:type="spellEnd"/>
      <w:r w:rsidRPr="00467F9C">
        <w:rPr>
          <w:sz w:val="28"/>
          <w:szCs w:val="28"/>
        </w:rPr>
        <w:t xml:space="preserve">. </w:t>
      </w:r>
    </w:p>
    <w:p w:rsidR="00191861" w:rsidRPr="00467F9C" w:rsidRDefault="00191861" w:rsidP="00191861">
      <w:pPr>
        <w:ind w:left="57" w:right="57"/>
        <w:jc w:val="both"/>
        <w:rPr>
          <w:sz w:val="28"/>
          <w:szCs w:val="28"/>
        </w:rPr>
      </w:pPr>
      <w:r w:rsidRPr="00467F9C">
        <w:rPr>
          <w:sz w:val="28"/>
          <w:szCs w:val="28"/>
        </w:rPr>
        <w:tab/>
        <w:t xml:space="preserve">На реализацию мероприятий регионального проекта в отчетном периоде направлено 107,4 млн. рублей (из них 0,79 млн. рублей – средства федерального бюджета) или 87,9% от утвержденных назначений. Менее 90% плановых назначений направлено на следующие мероприятия РП: </w:t>
      </w:r>
    </w:p>
    <w:p w:rsidR="00191861" w:rsidRPr="00467F9C" w:rsidRDefault="00191861" w:rsidP="00191861">
      <w:pPr>
        <w:ind w:left="57" w:right="57"/>
        <w:jc w:val="both"/>
        <w:rPr>
          <w:sz w:val="28"/>
          <w:szCs w:val="28"/>
        </w:rPr>
      </w:pPr>
      <w:r w:rsidRPr="00467F9C">
        <w:rPr>
          <w:sz w:val="28"/>
          <w:szCs w:val="28"/>
        </w:rPr>
        <w:tab/>
        <w:t>- реализация мероприятий Всероссийского физкультурно-спортивного комплекса «Готов к труду и обороне» (ГТО) – (18,6%);</w:t>
      </w:r>
    </w:p>
    <w:p w:rsidR="00191861" w:rsidRPr="00467F9C" w:rsidRDefault="00191861" w:rsidP="00191861">
      <w:pPr>
        <w:ind w:left="57" w:right="57"/>
        <w:jc w:val="both"/>
        <w:rPr>
          <w:sz w:val="28"/>
          <w:szCs w:val="28"/>
        </w:rPr>
      </w:pPr>
      <w:r w:rsidRPr="00467F9C">
        <w:rPr>
          <w:sz w:val="28"/>
          <w:szCs w:val="28"/>
        </w:rPr>
        <w:tab/>
        <w:t>- физкультурно-оздоровительная работа с населением (64,7%);</w:t>
      </w:r>
    </w:p>
    <w:p w:rsidR="00191861" w:rsidRPr="00467F9C" w:rsidRDefault="00191861" w:rsidP="00191861">
      <w:pPr>
        <w:ind w:left="57" w:right="57"/>
        <w:jc w:val="both"/>
        <w:rPr>
          <w:sz w:val="28"/>
          <w:szCs w:val="28"/>
        </w:rPr>
      </w:pPr>
      <w:r w:rsidRPr="00467F9C">
        <w:rPr>
          <w:sz w:val="28"/>
          <w:szCs w:val="28"/>
        </w:rPr>
        <w:tab/>
        <w:t>- развитие и поддержка национальных видов спорта (73,8%);</w:t>
      </w:r>
    </w:p>
    <w:p w:rsidR="00191861" w:rsidRPr="00467F9C" w:rsidRDefault="00191861" w:rsidP="00191861">
      <w:pPr>
        <w:ind w:left="57" w:right="57"/>
        <w:jc w:val="both"/>
        <w:rPr>
          <w:sz w:val="28"/>
          <w:szCs w:val="28"/>
        </w:rPr>
      </w:pPr>
      <w:r w:rsidRPr="00467F9C">
        <w:rPr>
          <w:sz w:val="28"/>
          <w:szCs w:val="28"/>
        </w:rPr>
        <w:tab/>
        <w:t>- развитие детско-юношеского и молодежного спорта (85,9%);</w:t>
      </w:r>
    </w:p>
    <w:p w:rsidR="00191861" w:rsidRPr="00467F9C" w:rsidRDefault="00191861" w:rsidP="00191861">
      <w:pPr>
        <w:ind w:left="57" w:right="57"/>
        <w:jc w:val="both"/>
        <w:rPr>
          <w:sz w:val="28"/>
          <w:szCs w:val="28"/>
        </w:rPr>
      </w:pPr>
      <w:r w:rsidRPr="00467F9C">
        <w:rPr>
          <w:sz w:val="28"/>
          <w:szCs w:val="28"/>
        </w:rPr>
        <w:tab/>
        <w:t>- организация и проведение летней физкультурно-оздоровительной кампании для учащихся учреждений дополнительного образования детей физкультурно-спортивной направленности (86,5%).</w:t>
      </w:r>
    </w:p>
    <w:p w:rsidR="00191861" w:rsidRPr="00467F9C" w:rsidRDefault="00191861" w:rsidP="00191861">
      <w:pPr>
        <w:ind w:left="57" w:right="57"/>
        <w:jc w:val="both"/>
        <w:rPr>
          <w:sz w:val="28"/>
          <w:szCs w:val="28"/>
        </w:rPr>
      </w:pPr>
      <w:r w:rsidRPr="00467F9C">
        <w:rPr>
          <w:sz w:val="28"/>
          <w:szCs w:val="28"/>
        </w:rPr>
        <w:tab/>
        <w:t xml:space="preserve">Основная причина проведения мероприятий не в полном объеме - ограничительные меры из-за угрозы распространения </w:t>
      </w:r>
      <w:proofErr w:type="spellStart"/>
      <w:r w:rsidRPr="00467F9C">
        <w:rPr>
          <w:sz w:val="28"/>
          <w:szCs w:val="28"/>
        </w:rPr>
        <w:t>коронавирусной</w:t>
      </w:r>
      <w:proofErr w:type="spellEnd"/>
      <w:r w:rsidRPr="00467F9C">
        <w:rPr>
          <w:sz w:val="28"/>
          <w:szCs w:val="28"/>
        </w:rPr>
        <w:t xml:space="preserve"> инфекции.</w:t>
      </w:r>
    </w:p>
    <w:p w:rsidR="00191861" w:rsidRPr="00467F9C" w:rsidRDefault="00191861" w:rsidP="00191861">
      <w:pPr>
        <w:ind w:left="57" w:right="57"/>
        <w:jc w:val="both"/>
        <w:rPr>
          <w:sz w:val="28"/>
          <w:szCs w:val="28"/>
        </w:rPr>
      </w:pPr>
      <w:r w:rsidRPr="00467F9C">
        <w:rPr>
          <w:sz w:val="28"/>
          <w:szCs w:val="28"/>
        </w:rPr>
        <w:tab/>
        <w:t xml:space="preserve">Выполнение мероприятий составило 100% от объема полученного финансирования. </w:t>
      </w:r>
    </w:p>
    <w:p w:rsidR="00191861" w:rsidRPr="00467F9C" w:rsidRDefault="00191861" w:rsidP="00191861">
      <w:pPr>
        <w:ind w:left="57" w:right="57"/>
        <w:jc w:val="both"/>
        <w:rPr>
          <w:sz w:val="28"/>
          <w:szCs w:val="28"/>
        </w:rPr>
      </w:pPr>
      <w:r w:rsidRPr="00467F9C">
        <w:rPr>
          <w:sz w:val="28"/>
          <w:szCs w:val="28"/>
        </w:rPr>
        <w:lastRenderedPageBreak/>
        <w:tab/>
        <w:t>В рамках РП за счет средств окружного бюджета с 2020 года осуществляется с</w:t>
      </w:r>
      <w:r w:rsidRPr="00467F9C">
        <w:rPr>
          <w:bCs/>
          <w:iCs/>
          <w:sz w:val="28"/>
          <w:szCs w:val="28"/>
        </w:rPr>
        <w:t>троительство объекта</w:t>
      </w:r>
      <w:r w:rsidRPr="00467F9C">
        <w:rPr>
          <w:sz w:val="28"/>
          <w:szCs w:val="28"/>
        </w:rPr>
        <w:t xml:space="preserve"> </w:t>
      </w:r>
      <w:r w:rsidRPr="00467F9C">
        <w:rPr>
          <w:bCs/>
          <w:iCs/>
          <w:sz w:val="28"/>
          <w:szCs w:val="28"/>
        </w:rPr>
        <w:t>«Многофункциональная спортивная площадка с искусственным покрытием в г. Билибино».</w:t>
      </w:r>
      <w:r w:rsidRPr="00467F9C">
        <w:rPr>
          <w:sz w:val="28"/>
          <w:szCs w:val="28"/>
        </w:rPr>
        <w:t xml:space="preserve"> Срок окончания работ до 30.12.2022 года, стоимость – 58,8 млн. рублей. </w:t>
      </w:r>
    </w:p>
    <w:p w:rsidR="00191861" w:rsidRPr="00467F9C" w:rsidRDefault="00191861" w:rsidP="00191861">
      <w:pPr>
        <w:ind w:left="57" w:right="57"/>
        <w:jc w:val="both"/>
        <w:rPr>
          <w:sz w:val="28"/>
          <w:szCs w:val="28"/>
        </w:rPr>
      </w:pPr>
      <w:r w:rsidRPr="00467F9C">
        <w:rPr>
          <w:sz w:val="28"/>
          <w:szCs w:val="28"/>
        </w:rPr>
        <w:tab/>
        <w:t>В отчетном периоде строительные работы по объекту выполнены на общую сумму 53,6 млн. рублей. Готовность объекта составляет 96,6%. Не выполнены работы по укладке резинового покрытия на площади 238 м</w:t>
      </w:r>
      <w:r w:rsidRPr="00467F9C">
        <w:rPr>
          <w:sz w:val="28"/>
          <w:szCs w:val="28"/>
          <w:vertAlign w:val="superscript"/>
        </w:rPr>
        <w:t xml:space="preserve">2 </w:t>
      </w:r>
      <w:r w:rsidRPr="00467F9C">
        <w:rPr>
          <w:sz w:val="28"/>
          <w:szCs w:val="28"/>
        </w:rPr>
        <w:t>(проектная площадь 3735 м</w:t>
      </w:r>
      <w:r w:rsidRPr="00467F9C">
        <w:rPr>
          <w:sz w:val="28"/>
          <w:szCs w:val="28"/>
          <w:vertAlign w:val="superscript"/>
        </w:rPr>
        <w:t>2</w:t>
      </w:r>
      <w:r w:rsidRPr="00467F9C">
        <w:rPr>
          <w:sz w:val="28"/>
          <w:szCs w:val="28"/>
        </w:rPr>
        <w:t xml:space="preserve">). Завершение работ планируется до 01.06.2022 года. </w:t>
      </w:r>
    </w:p>
    <w:p w:rsidR="00191861" w:rsidRPr="00467F9C" w:rsidRDefault="00191861" w:rsidP="00191861">
      <w:pPr>
        <w:spacing w:before="120"/>
        <w:ind w:left="57" w:right="57"/>
        <w:jc w:val="both"/>
        <w:rPr>
          <w:sz w:val="28"/>
          <w:szCs w:val="28"/>
        </w:rPr>
      </w:pPr>
      <w:r w:rsidRPr="00467F9C">
        <w:rPr>
          <w:b/>
          <w:sz w:val="28"/>
          <w:szCs w:val="28"/>
        </w:rPr>
        <w:tab/>
        <w:t>2.2.</w:t>
      </w:r>
      <w:r w:rsidRPr="00467F9C">
        <w:rPr>
          <w:sz w:val="28"/>
          <w:szCs w:val="28"/>
        </w:rPr>
        <w:t xml:space="preserve"> В рамках национального проекта </w:t>
      </w:r>
      <w:r w:rsidRPr="00467F9C">
        <w:rPr>
          <w:b/>
          <w:sz w:val="28"/>
          <w:szCs w:val="28"/>
        </w:rPr>
        <w:t>«Здравоохранение»</w:t>
      </w:r>
      <w:r w:rsidRPr="00467F9C">
        <w:rPr>
          <w:sz w:val="28"/>
          <w:szCs w:val="28"/>
        </w:rPr>
        <w:t xml:space="preserve"> на территории Чукотского автономного округа реализуются семь региональных проектов, мероприятия которых интегрированы в государственную программу «Развитие здравоохранения Чукотского автономного округа». По региональным проектам «Развитие детского здравоохранения, включая создание современной инфраструктуры оказания медицинской помощи детям» и «Развитие экспорта медицинских услуг» в текущем году финансовое обеспечение не предусмотрено.</w:t>
      </w:r>
    </w:p>
    <w:p w:rsidR="00191861" w:rsidRDefault="00191861" w:rsidP="00191861">
      <w:pPr>
        <w:spacing w:after="80"/>
        <w:ind w:left="57" w:right="57"/>
        <w:jc w:val="both"/>
        <w:rPr>
          <w:sz w:val="28"/>
          <w:szCs w:val="28"/>
        </w:rPr>
      </w:pPr>
      <w:r w:rsidRPr="00467F9C">
        <w:rPr>
          <w:sz w:val="28"/>
          <w:szCs w:val="28"/>
        </w:rPr>
        <w:tab/>
        <w:t>На реализацию региональных проектов в рамках НП «Здравоохранение» в 2021 году из окружного бюджета направлено 440,3 млн. рублей или 94,7% от утвержденных СБР ассигнований. Фактическое выполнение мероприятий РП составило 436,8 млн. рублей или 99,2% от полученного финансирования (рис.3).</w:t>
      </w:r>
    </w:p>
    <w:p w:rsidR="00101017" w:rsidRPr="00467F9C" w:rsidRDefault="00101017" w:rsidP="00191861">
      <w:pPr>
        <w:spacing w:after="80"/>
        <w:ind w:left="57" w:right="57"/>
        <w:jc w:val="both"/>
        <w:rPr>
          <w:sz w:val="28"/>
          <w:szCs w:val="28"/>
        </w:rPr>
      </w:pPr>
    </w:p>
    <w:p w:rsidR="00191861" w:rsidRPr="00467F9C" w:rsidRDefault="00191861" w:rsidP="00191861">
      <w:pPr>
        <w:ind w:left="57" w:right="57"/>
        <w:jc w:val="center"/>
        <w:rPr>
          <w:sz w:val="28"/>
          <w:szCs w:val="28"/>
          <w:highlight w:val="cyan"/>
        </w:rPr>
      </w:pPr>
      <w:r w:rsidRPr="00467F9C">
        <w:rPr>
          <w:noProof/>
          <w:sz w:val="28"/>
          <w:szCs w:val="28"/>
        </w:rPr>
        <w:drawing>
          <wp:inline distT="0" distB="0" distL="0" distR="0" wp14:anchorId="60F550DB" wp14:editId="3E2BD1BA">
            <wp:extent cx="5617028" cy="997527"/>
            <wp:effectExtent l="0" t="0" r="3175" b="12700"/>
            <wp:docPr id="21" name="Диаграмма 2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E388CFE-AFC3-46A6-B599-92EC6449BD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91861" w:rsidRPr="00467F9C" w:rsidRDefault="00191861" w:rsidP="00191861">
      <w:pPr>
        <w:ind w:left="57" w:right="57"/>
        <w:jc w:val="center"/>
      </w:pPr>
      <w:r w:rsidRPr="00467F9C">
        <w:t>Рис. 3 (млн. рублей)</w:t>
      </w:r>
    </w:p>
    <w:p w:rsidR="00191861" w:rsidRPr="00467F9C" w:rsidRDefault="00191861" w:rsidP="00191861">
      <w:pPr>
        <w:spacing w:before="80"/>
        <w:ind w:left="57" w:right="57"/>
        <w:jc w:val="both"/>
        <w:rPr>
          <w:sz w:val="28"/>
          <w:szCs w:val="28"/>
        </w:rPr>
      </w:pPr>
      <w:r w:rsidRPr="00467F9C">
        <w:rPr>
          <w:sz w:val="28"/>
          <w:szCs w:val="28"/>
        </w:rPr>
        <w:tab/>
        <w:t xml:space="preserve">В рамках реализации мероприятий четырёх региональных проектов НП «Здравоохранение» заключены государственные (муниципальные) контракты на общую сумму 464,2 млн. рублей, из них государственные (муниципальные) контракты на общую сумму 28,0 млн. рублей со сроком исполнения после 1 января 2022 года. </w:t>
      </w:r>
    </w:p>
    <w:p w:rsidR="00191861" w:rsidRPr="00467F9C" w:rsidRDefault="00191861" w:rsidP="00191861">
      <w:pPr>
        <w:ind w:left="57" w:right="57"/>
        <w:jc w:val="both"/>
        <w:rPr>
          <w:sz w:val="28"/>
          <w:szCs w:val="28"/>
        </w:rPr>
      </w:pPr>
      <w:r w:rsidRPr="00467F9C">
        <w:rPr>
          <w:sz w:val="28"/>
          <w:szCs w:val="28"/>
        </w:rPr>
        <w:tab/>
        <w:t xml:space="preserve">Установленные паспортами региональных проектов на 2021 год показатели достигнуты по трем региональным проектам (свыше 90 % или превышены плановые показатели). </w:t>
      </w:r>
    </w:p>
    <w:p w:rsidR="00191861" w:rsidRPr="00467F9C" w:rsidRDefault="00191861" w:rsidP="00191861">
      <w:pPr>
        <w:ind w:left="57" w:right="57"/>
        <w:jc w:val="both"/>
        <w:rPr>
          <w:sz w:val="28"/>
          <w:szCs w:val="28"/>
        </w:rPr>
      </w:pPr>
      <w:r w:rsidRPr="00467F9C">
        <w:rPr>
          <w:sz w:val="28"/>
          <w:szCs w:val="28"/>
        </w:rPr>
        <w:tab/>
        <w:t>Анализ отчетов о ходе реализации региональных проектов за 2021 год и данных, предоставленных Департаментом здравоохранения Чукотского автономного округа, показал следующее.</w:t>
      </w:r>
    </w:p>
    <w:p w:rsidR="00191861" w:rsidRPr="00467F9C" w:rsidRDefault="00191861" w:rsidP="00191861">
      <w:pPr>
        <w:spacing w:before="80"/>
        <w:ind w:left="57" w:right="57"/>
        <w:jc w:val="both"/>
        <w:rPr>
          <w:sz w:val="28"/>
          <w:szCs w:val="28"/>
        </w:rPr>
      </w:pPr>
      <w:r w:rsidRPr="00467F9C">
        <w:rPr>
          <w:sz w:val="28"/>
          <w:szCs w:val="28"/>
        </w:rPr>
        <w:tab/>
        <w:t xml:space="preserve">1) В рамках реализации </w:t>
      </w:r>
      <w:r w:rsidRPr="00467F9C">
        <w:rPr>
          <w:b/>
          <w:sz w:val="28"/>
          <w:szCs w:val="28"/>
        </w:rPr>
        <w:t>РП «Развитие системы оказания первичной медико-санитарной помощи»</w:t>
      </w:r>
      <w:r w:rsidRPr="00467F9C">
        <w:rPr>
          <w:sz w:val="28"/>
          <w:szCs w:val="28"/>
        </w:rPr>
        <w:t xml:space="preserve"> СБР утверждены бюджетные ассигнования на санитарно-авиационную помощь, оснащение медицинских организаций передвижными медицинскими комплексами в объеме 387,8 млн. рублей. За отчетный период на реализацию регионального проекта направлено 363,3 млн. рублей, в том числе 263,7 млн. рублей средства федерального бюджета, выполнение составило 100% от полученного финансирования. </w:t>
      </w:r>
    </w:p>
    <w:p w:rsidR="00191861" w:rsidRPr="00467F9C" w:rsidRDefault="00191861" w:rsidP="00191861">
      <w:pPr>
        <w:ind w:left="57" w:right="57"/>
        <w:jc w:val="both"/>
        <w:rPr>
          <w:sz w:val="28"/>
          <w:szCs w:val="28"/>
        </w:rPr>
      </w:pPr>
      <w:r w:rsidRPr="00467F9C">
        <w:rPr>
          <w:sz w:val="28"/>
          <w:szCs w:val="28"/>
        </w:rPr>
        <w:lastRenderedPageBreak/>
        <w:tab/>
        <w:t>Мероприятие «Обеспечение закупки авиационных работ в целях оказания медицинской помощи» выполнено в полном объеме, по состоянию на 01.01.2022 года осуществлено 212 вылетов санитарной авиации на общую сумму 339,0 млн. рублей.</w:t>
      </w:r>
    </w:p>
    <w:p w:rsidR="00191861" w:rsidRPr="00467F9C" w:rsidRDefault="00191861" w:rsidP="00191861">
      <w:pPr>
        <w:ind w:left="57" w:right="57"/>
        <w:jc w:val="both"/>
        <w:rPr>
          <w:sz w:val="28"/>
          <w:szCs w:val="28"/>
        </w:rPr>
      </w:pPr>
      <w:r w:rsidRPr="00467F9C">
        <w:rPr>
          <w:sz w:val="28"/>
          <w:szCs w:val="28"/>
        </w:rPr>
        <w:tab/>
        <w:t xml:space="preserve">В рамках мероприятия проекта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 Департаментом здравоохранения заключены государственные контракты на закупку двух кабинетов передвижных для маммографии на общую сумму 47,8 млн. рублей, из них 12,7 млн. рублей средства федерального бюджета. По состоянию на 01.01.2022 года один кабинет стоимостью 23,3 млн. рублей поставлен, поставка второго кабинета стоимостью 24,5 млн. рублей осуществлена в феврале 2022 года. </w:t>
      </w:r>
    </w:p>
    <w:p w:rsidR="00191861" w:rsidRPr="00467F9C" w:rsidRDefault="00191861" w:rsidP="00191861">
      <w:pPr>
        <w:ind w:left="57" w:right="57"/>
        <w:jc w:val="both"/>
        <w:rPr>
          <w:sz w:val="28"/>
          <w:szCs w:val="28"/>
        </w:rPr>
      </w:pPr>
      <w:r w:rsidRPr="00467F9C">
        <w:rPr>
          <w:sz w:val="28"/>
          <w:szCs w:val="28"/>
        </w:rPr>
        <w:tab/>
        <w:t>Счетная палата отмечает, что Планом реализации РП паспорта регионального проекта предусмотрена реализация в 2021 году следующих мероприятий:</w:t>
      </w:r>
    </w:p>
    <w:p w:rsidR="00191861" w:rsidRPr="00467F9C" w:rsidRDefault="00191861" w:rsidP="00191861">
      <w:pPr>
        <w:ind w:left="57" w:right="57"/>
        <w:jc w:val="both"/>
        <w:rPr>
          <w:sz w:val="28"/>
          <w:szCs w:val="28"/>
        </w:rPr>
      </w:pPr>
      <w:r w:rsidRPr="00467F9C">
        <w:rPr>
          <w:sz w:val="28"/>
          <w:szCs w:val="28"/>
        </w:rPr>
        <w:tab/>
        <w:t xml:space="preserve">- замена 1 из 4-х находящихся в аварийном состоянии, требующих сноса и реконструкции, а также капитального ремонта фельдшерско-акушерских пунктов (далее - ФАП) в селах </w:t>
      </w:r>
      <w:proofErr w:type="spellStart"/>
      <w:r w:rsidRPr="00467F9C">
        <w:rPr>
          <w:sz w:val="28"/>
          <w:szCs w:val="28"/>
        </w:rPr>
        <w:t>Янракыннот</w:t>
      </w:r>
      <w:proofErr w:type="spellEnd"/>
      <w:r w:rsidRPr="00467F9C">
        <w:rPr>
          <w:sz w:val="28"/>
          <w:szCs w:val="28"/>
        </w:rPr>
        <w:t xml:space="preserve">, Чуванское, Ламутское, </w:t>
      </w:r>
      <w:proofErr w:type="spellStart"/>
      <w:r w:rsidRPr="00467F9C">
        <w:rPr>
          <w:sz w:val="28"/>
          <w:szCs w:val="28"/>
        </w:rPr>
        <w:t>Биллингс</w:t>
      </w:r>
      <w:proofErr w:type="spellEnd"/>
      <w:r w:rsidRPr="00467F9C">
        <w:rPr>
          <w:sz w:val="28"/>
          <w:szCs w:val="28"/>
        </w:rPr>
        <w:t>;</w:t>
      </w:r>
    </w:p>
    <w:p w:rsidR="00191861" w:rsidRPr="00467F9C" w:rsidRDefault="00191861" w:rsidP="00191861">
      <w:pPr>
        <w:ind w:left="57" w:right="57"/>
        <w:jc w:val="both"/>
        <w:rPr>
          <w:sz w:val="28"/>
          <w:szCs w:val="28"/>
        </w:rPr>
      </w:pPr>
      <w:r w:rsidRPr="00467F9C">
        <w:rPr>
          <w:sz w:val="28"/>
          <w:szCs w:val="28"/>
        </w:rPr>
        <w:tab/>
        <w:t xml:space="preserve">- капитальный ремонт одного из двух ФАП в селах </w:t>
      </w:r>
      <w:proofErr w:type="spellStart"/>
      <w:r w:rsidRPr="00467F9C">
        <w:rPr>
          <w:sz w:val="28"/>
          <w:szCs w:val="28"/>
        </w:rPr>
        <w:t>Нунлингран</w:t>
      </w:r>
      <w:proofErr w:type="spellEnd"/>
      <w:r w:rsidRPr="00467F9C">
        <w:rPr>
          <w:sz w:val="28"/>
          <w:szCs w:val="28"/>
        </w:rPr>
        <w:t xml:space="preserve"> и </w:t>
      </w:r>
      <w:proofErr w:type="spellStart"/>
      <w:r w:rsidRPr="00467F9C">
        <w:rPr>
          <w:sz w:val="28"/>
          <w:szCs w:val="28"/>
        </w:rPr>
        <w:t>Энмелен</w:t>
      </w:r>
      <w:proofErr w:type="spellEnd"/>
      <w:r w:rsidRPr="00467F9C">
        <w:rPr>
          <w:sz w:val="28"/>
          <w:szCs w:val="28"/>
        </w:rPr>
        <w:t xml:space="preserve"> или одной из двух врачебных амбулаторий в селах </w:t>
      </w:r>
      <w:proofErr w:type="spellStart"/>
      <w:r w:rsidRPr="00467F9C">
        <w:rPr>
          <w:sz w:val="28"/>
          <w:szCs w:val="28"/>
        </w:rPr>
        <w:t>Сиреники</w:t>
      </w:r>
      <w:proofErr w:type="spellEnd"/>
      <w:r w:rsidRPr="00467F9C">
        <w:rPr>
          <w:sz w:val="28"/>
          <w:szCs w:val="28"/>
        </w:rPr>
        <w:t xml:space="preserve"> и </w:t>
      </w:r>
      <w:proofErr w:type="spellStart"/>
      <w:r w:rsidRPr="00467F9C">
        <w:rPr>
          <w:sz w:val="28"/>
          <w:szCs w:val="28"/>
        </w:rPr>
        <w:t>Амгуэма</w:t>
      </w:r>
      <w:proofErr w:type="spellEnd"/>
      <w:r w:rsidRPr="00467F9C">
        <w:rPr>
          <w:sz w:val="28"/>
          <w:szCs w:val="28"/>
        </w:rPr>
        <w:t>;</w:t>
      </w:r>
    </w:p>
    <w:p w:rsidR="00191861" w:rsidRPr="00467F9C" w:rsidRDefault="00191861" w:rsidP="00191861">
      <w:pPr>
        <w:ind w:left="57" w:right="57"/>
        <w:jc w:val="both"/>
        <w:rPr>
          <w:sz w:val="28"/>
          <w:szCs w:val="28"/>
        </w:rPr>
      </w:pPr>
      <w:r w:rsidRPr="00467F9C">
        <w:rPr>
          <w:sz w:val="28"/>
          <w:szCs w:val="28"/>
        </w:rPr>
        <w:tab/>
        <w:t xml:space="preserve">- текущий ремонт одного из шести находящихся в аварийном состоянии ФАП в селах </w:t>
      </w:r>
      <w:proofErr w:type="spellStart"/>
      <w:r w:rsidRPr="00467F9C">
        <w:rPr>
          <w:sz w:val="28"/>
          <w:szCs w:val="28"/>
        </w:rPr>
        <w:t>Краснено</w:t>
      </w:r>
      <w:proofErr w:type="spellEnd"/>
      <w:r w:rsidRPr="00467F9C">
        <w:rPr>
          <w:sz w:val="28"/>
          <w:szCs w:val="28"/>
        </w:rPr>
        <w:t xml:space="preserve">, Снежное, </w:t>
      </w:r>
      <w:proofErr w:type="spellStart"/>
      <w:r w:rsidRPr="00467F9C">
        <w:rPr>
          <w:sz w:val="28"/>
          <w:szCs w:val="28"/>
        </w:rPr>
        <w:t>Алькатваам</w:t>
      </w:r>
      <w:proofErr w:type="spellEnd"/>
      <w:r w:rsidRPr="00467F9C">
        <w:rPr>
          <w:sz w:val="28"/>
          <w:szCs w:val="28"/>
        </w:rPr>
        <w:t xml:space="preserve">, </w:t>
      </w:r>
      <w:proofErr w:type="spellStart"/>
      <w:r w:rsidRPr="00467F9C">
        <w:rPr>
          <w:sz w:val="28"/>
          <w:szCs w:val="28"/>
        </w:rPr>
        <w:t>Уэлькаль</w:t>
      </w:r>
      <w:proofErr w:type="spellEnd"/>
      <w:r w:rsidRPr="00467F9C">
        <w:rPr>
          <w:sz w:val="28"/>
          <w:szCs w:val="28"/>
        </w:rPr>
        <w:t xml:space="preserve">, </w:t>
      </w:r>
      <w:proofErr w:type="spellStart"/>
      <w:r w:rsidRPr="00467F9C">
        <w:rPr>
          <w:sz w:val="28"/>
          <w:szCs w:val="28"/>
        </w:rPr>
        <w:t>Нутэпельмен</w:t>
      </w:r>
      <w:proofErr w:type="spellEnd"/>
      <w:r w:rsidRPr="00467F9C">
        <w:rPr>
          <w:sz w:val="28"/>
          <w:szCs w:val="28"/>
        </w:rPr>
        <w:t xml:space="preserve"> и </w:t>
      </w:r>
      <w:proofErr w:type="spellStart"/>
      <w:r w:rsidRPr="00467F9C">
        <w:rPr>
          <w:sz w:val="28"/>
          <w:szCs w:val="28"/>
        </w:rPr>
        <w:t>Айон</w:t>
      </w:r>
      <w:proofErr w:type="spellEnd"/>
      <w:r w:rsidRPr="00467F9C">
        <w:rPr>
          <w:sz w:val="28"/>
          <w:szCs w:val="28"/>
        </w:rPr>
        <w:t xml:space="preserve">. </w:t>
      </w:r>
    </w:p>
    <w:p w:rsidR="00191861" w:rsidRPr="00467F9C" w:rsidRDefault="00191861" w:rsidP="00191861">
      <w:pPr>
        <w:ind w:left="57" w:right="57"/>
        <w:jc w:val="both"/>
        <w:rPr>
          <w:sz w:val="28"/>
          <w:szCs w:val="28"/>
        </w:rPr>
      </w:pPr>
      <w:r w:rsidRPr="00467F9C">
        <w:rPr>
          <w:sz w:val="28"/>
          <w:szCs w:val="28"/>
        </w:rPr>
        <w:tab/>
        <w:t xml:space="preserve">При этом, финансовое обеспечение на реализацию данных мероприятий паспортом регионального проекта не предусмотрено. Выполнение мероприятий осуществляется в рамках реализации мероприятий Государственной программы Чукотского автономного округа «Развитие здравоохранения Чукотского автономного округа». </w:t>
      </w:r>
    </w:p>
    <w:p w:rsidR="00191861" w:rsidRPr="00467F9C" w:rsidRDefault="00191861" w:rsidP="00191861">
      <w:pPr>
        <w:spacing w:before="80"/>
        <w:ind w:left="57" w:right="57"/>
        <w:jc w:val="both"/>
        <w:rPr>
          <w:sz w:val="28"/>
          <w:szCs w:val="28"/>
        </w:rPr>
      </w:pPr>
      <w:r w:rsidRPr="00467F9C">
        <w:rPr>
          <w:sz w:val="28"/>
          <w:szCs w:val="28"/>
        </w:rPr>
        <w:tab/>
        <w:t>2) </w:t>
      </w:r>
      <w:r w:rsidRPr="00467F9C">
        <w:rPr>
          <w:b/>
          <w:sz w:val="28"/>
          <w:szCs w:val="28"/>
        </w:rPr>
        <w:t>Региональным проектом «Борьба с сердечно-сосудистыми заболеваниями»</w:t>
      </w:r>
      <w:r w:rsidRPr="00467F9C">
        <w:rPr>
          <w:sz w:val="28"/>
          <w:szCs w:val="28"/>
        </w:rPr>
        <w:t xml:space="preserve"> на оснащение оборудованием региональных сосудистых центров и первичных сосудистых отделений, а также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направлено 6,8 млн. рублей (100% от утвержденных СБР ассигнований), выполнение составило 100% от полученного финансирования.</w:t>
      </w:r>
    </w:p>
    <w:p w:rsidR="00191861" w:rsidRPr="00467F9C" w:rsidRDefault="00191861" w:rsidP="00191861">
      <w:pPr>
        <w:ind w:left="57" w:right="57"/>
        <w:jc w:val="both"/>
        <w:rPr>
          <w:sz w:val="28"/>
          <w:szCs w:val="28"/>
        </w:rPr>
      </w:pPr>
      <w:r w:rsidRPr="00467F9C">
        <w:rPr>
          <w:sz w:val="28"/>
          <w:szCs w:val="28"/>
        </w:rPr>
        <w:tab/>
        <w:t>Проведенная в 2021 году Счетной палатой п</w:t>
      </w:r>
      <w:r w:rsidRPr="00467F9C">
        <w:rPr>
          <w:rStyle w:val="ad"/>
          <w:color w:val="auto"/>
          <w:sz w:val="28"/>
          <w:szCs w:val="28"/>
        </w:rPr>
        <w:t>роверка использования бюджетных средств, предоставленных на реализацию мероприятий РП «Борьба с сердечно-сосудистыми заболеваниями» в рамках национального проекта «Здравоохранение»</w:t>
      </w:r>
      <w:r w:rsidRPr="00467F9C">
        <w:rPr>
          <w:rStyle w:val="ad"/>
          <w:color w:val="auto"/>
          <w:sz w:val="28"/>
          <w:szCs w:val="28"/>
          <w:lang w:val="en-US"/>
        </w:rPr>
        <w:t> </w:t>
      </w:r>
      <w:r w:rsidRPr="00467F9C">
        <w:rPr>
          <w:rStyle w:val="ad"/>
          <w:color w:val="auto"/>
          <w:sz w:val="28"/>
          <w:szCs w:val="28"/>
        </w:rPr>
        <w:t>в</w:t>
      </w:r>
      <w:r w:rsidRPr="00467F9C">
        <w:rPr>
          <w:rStyle w:val="ad"/>
          <w:color w:val="auto"/>
          <w:sz w:val="28"/>
          <w:szCs w:val="28"/>
          <w:lang w:val="en-US"/>
        </w:rPr>
        <w:t> </w:t>
      </w:r>
      <w:r w:rsidRPr="00467F9C">
        <w:rPr>
          <w:rStyle w:val="ad"/>
          <w:color w:val="auto"/>
          <w:sz w:val="28"/>
          <w:szCs w:val="28"/>
        </w:rPr>
        <w:t>2019-2020</w:t>
      </w:r>
      <w:r w:rsidRPr="00467F9C">
        <w:rPr>
          <w:rStyle w:val="ad"/>
          <w:color w:val="auto"/>
          <w:sz w:val="28"/>
          <w:szCs w:val="28"/>
          <w:lang w:val="en-US"/>
        </w:rPr>
        <w:t> </w:t>
      </w:r>
      <w:r w:rsidRPr="00467F9C">
        <w:rPr>
          <w:rStyle w:val="ad"/>
          <w:color w:val="auto"/>
          <w:sz w:val="28"/>
          <w:szCs w:val="28"/>
        </w:rPr>
        <w:t xml:space="preserve">годах и за 9 месяцев 2021 года </w:t>
      </w:r>
      <w:r w:rsidRPr="00467F9C">
        <w:rPr>
          <w:sz w:val="28"/>
          <w:szCs w:val="28"/>
        </w:rPr>
        <w:t>показала, что</w:t>
      </w:r>
      <w:r w:rsidRPr="00467F9C">
        <w:rPr>
          <w:bCs/>
          <w:iCs/>
          <w:sz w:val="28"/>
          <w:szCs w:val="28"/>
        </w:rPr>
        <w:t xml:space="preserve"> закупки медицинского оборудования и лекарственных препаратов осуществлялись </w:t>
      </w:r>
      <w:r w:rsidRPr="00467F9C">
        <w:rPr>
          <w:sz w:val="28"/>
          <w:szCs w:val="28"/>
        </w:rPr>
        <w:t>Департаментом здравоохранения Чукотского автономного округа и ГБУЗ «Чукотская окружная больница» в соответствии с требованиями законодательства в сфере закупок, бюджетные средства, предусмотренные на реализацию мероприятий проекта, использованы по назначению.</w:t>
      </w:r>
    </w:p>
    <w:p w:rsidR="00191861" w:rsidRPr="00467F9C" w:rsidRDefault="00191861" w:rsidP="00191861">
      <w:pPr>
        <w:spacing w:before="80" w:after="80"/>
        <w:ind w:left="57" w:right="57"/>
        <w:jc w:val="both"/>
        <w:rPr>
          <w:sz w:val="28"/>
          <w:szCs w:val="28"/>
        </w:rPr>
      </w:pPr>
      <w:r w:rsidRPr="00467F9C">
        <w:rPr>
          <w:sz w:val="28"/>
          <w:szCs w:val="28"/>
        </w:rPr>
        <w:lastRenderedPageBreak/>
        <w:tab/>
        <w:t xml:space="preserve">3) На переоснащение медицинских организаций, оказывающих медицинскую помощь больным с онкологическими заболеваниями, в рамках </w:t>
      </w:r>
      <w:r w:rsidRPr="00467F9C">
        <w:rPr>
          <w:b/>
          <w:sz w:val="28"/>
          <w:szCs w:val="28"/>
        </w:rPr>
        <w:t xml:space="preserve">РП «Борьба с онкологическими заболеваниями» </w:t>
      </w:r>
      <w:r w:rsidRPr="00467F9C">
        <w:rPr>
          <w:sz w:val="28"/>
          <w:szCs w:val="28"/>
        </w:rPr>
        <w:t xml:space="preserve">направлено 6,6 млн. рублей (средств федерального бюджета) или 100% от утвержденных СБР ассигнований, выполнение составило 100% от полученного финансирования. Приобретено и поставлено медицинское оборудование: стол операционный хирургический многофункциональный универсальный, ультразвуковой гармонический скальпель и электрохирургический блок. </w:t>
      </w:r>
    </w:p>
    <w:p w:rsidR="00191861" w:rsidRPr="00467F9C" w:rsidRDefault="00191861" w:rsidP="00191861">
      <w:pPr>
        <w:ind w:left="57" w:right="57"/>
        <w:jc w:val="both"/>
        <w:rPr>
          <w:sz w:val="28"/>
          <w:szCs w:val="28"/>
        </w:rPr>
      </w:pPr>
      <w:r w:rsidRPr="00467F9C">
        <w:rPr>
          <w:bCs/>
          <w:sz w:val="28"/>
          <w:szCs w:val="28"/>
        </w:rPr>
        <w:tab/>
        <w:t xml:space="preserve">4) На реализацию </w:t>
      </w:r>
      <w:r w:rsidRPr="00467F9C">
        <w:rPr>
          <w:b/>
          <w:bCs/>
          <w:sz w:val="28"/>
          <w:szCs w:val="28"/>
        </w:rPr>
        <w:t>РП «</w:t>
      </w:r>
      <w:r w:rsidRPr="00467F9C">
        <w:rPr>
          <w:b/>
          <w:sz w:val="28"/>
          <w:szCs w:val="28"/>
        </w:rPr>
        <w:t xml:space="preserve">Создание единого цифрового контура в здравоохранении Чукотского автономного округа на основе Региональной медицинской информационной системы» </w:t>
      </w:r>
      <w:r w:rsidRPr="00467F9C">
        <w:rPr>
          <w:sz w:val="28"/>
          <w:szCs w:val="28"/>
        </w:rPr>
        <w:t>в 2021 году</w:t>
      </w:r>
      <w:r w:rsidRPr="00467F9C">
        <w:rPr>
          <w:b/>
          <w:sz w:val="28"/>
          <w:szCs w:val="28"/>
        </w:rPr>
        <w:t xml:space="preserve"> </w:t>
      </w:r>
      <w:r w:rsidRPr="00467F9C">
        <w:rPr>
          <w:sz w:val="28"/>
          <w:szCs w:val="28"/>
        </w:rPr>
        <w:t xml:space="preserve">направлены бюджетные ассигнования в объеме 62,8 млн. рублей (или 100% от утвержденных СБР ассигнований), в том числе 42,2 млн. рублей средства федерального бюджета. Фактическое выполнение мероприятий РП составило 59,3 млн. рублей или 94,4% от направленного финансирования: оказаны услуги по сопровождению и модификации (путем предоставления обновленных версий) программного комплекса «Здравоохранение», поставлено оборудование. По состоянию на 01.01.2022 года не поставлено компьютерное и прочее оборудование на общую сумму 3,5 млн. рублей, поставка и оплата которого осуществлена в 2022 году. По итогам реализации РП существуют не значительные отклонения в сроках достижения установленных Паспортом показателей РП. </w:t>
      </w:r>
    </w:p>
    <w:p w:rsidR="00191861" w:rsidRPr="00467F9C" w:rsidRDefault="00191861" w:rsidP="00191861">
      <w:pPr>
        <w:spacing w:before="80"/>
        <w:ind w:left="57" w:right="57"/>
        <w:jc w:val="both"/>
        <w:rPr>
          <w:sz w:val="28"/>
          <w:szCs w:val="28"/>
        </w:rPr>
      </w:pPr>
      <w:r w:rsidRPr="00467F9C">
        <w:rPr>
          <w:sz w:val="28"/>
          <w:szCs w:val="28"/>
        </w:rPr>
        <w:tab/>
        <w:t xml:space="preserve">5) В 2021 году реализация </w:t>
      </w:r>
      <w:r w:rsidRPr="00467F9C">
        <w:rPr>
          <w:b/>
          <w:sz w:val="28"/>
          <w:szCs w:val="28"/>
        </w:rPr>
        <w:t>РП «Развитие детского здравоохранения, включая создание современной инфраструктуры оказания медицинской помощи детям»</w:t>
      </w:r>
      <w:r w:rsidRPr="00467F9C">
        <w:rPr>
          <w:sz w:val="28"/>
          <w:szCs w:val="28"/>
        </w:rPr>
        <w:t xml:space="preserve"> осуществлялась без финансового обеспечения.  Достижение двух из девяти утвержденных целевых показателей составило менее 60,0% плановых значений (таблица №4).</w:t>
      </w:r>
    </w:p>
    <w:p w:rsidR="00191861" w:rsidRPr="00467F9C" w:rsidRDefault="00191861" w:rsidP="00191861">
      <w:pPr>
        <w:spacing w:before="80"/>
        <w:ind w:left="57" w:right="57"/>
        <w:jc w:val="right"/>
        <w:rPr>
          <w:sz w:val="28"/>
          <w:szCs w:val="28"/>
        </w:rPr>
      </w:pP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t>Таблица №4</w:t>
      </w:r>
    </w:p>
    <w:tbl>
      <w:tblPr>
        <w:tblW w:w="9918" w:type="dxa"/>
        <w:jc w:val="center"/>
        <w:tblLayout w:type="fixed"/>
        <w:tblLook w:val="04A0" w:firstRow="1" w:lastRow="0" w:firstColumn="1" w:lastColumn="0" w:noHBand="0" w:noVBand="1"/>
      </w:tblPr>
      <w:tblGrid>
        <w:gridCol w:w="6799"/>
        <w:gridCol w:w="1418"/>
        <w:gridCol w:w="652"/>
        <w:gridCol w:w="1049"/>
      </w:tblGrid>
      <w:tr w:rsidR="00467F9C" w:rsidRPr="00101017" w:rsidTr="00101017">
        <w:trPr>
          <w:trHeight w:val="129"/>
          <w:tblHeader/>
          <w:jc w:val="center"/>
        </w:trPr>
        <w:tc>
          <w:tcPr>
            <w:tcW w:w="67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101017" w:rsidRDefault="00191861" w:rsidP="00191861">
            <w:pPr>
              <w:ind w:left="57" w:right="57"/>
              <w:jc w:val="center"/>
              <w:rPr>
                <w:bCs/>
                <w:sz w:val="20"/>
                <w:szCs w:val="20"/>
              </w:rPr>
            </w:pPr>
            <w:r w:rsidRPr="00101017">
              <w:rPr>
                <w:sz w:val="20"/>
                <w:szCs w:val="20"/>
              </w:rPr>
              <w:t>н</w:t>
            </w:r>
            <w:r w:rsidRPr="00101017">
              <w:rPr>
                <w:bCs/>
                <w:sz w:val="20"/>
                <w:szCs w:val="20"/>
              </w:rPr>
              <w:t>аименование показателя</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101017" w:rsidRDefault="00191861" w:rsidP="00191861">
            <w:pPr>
              <w:ind w:left="57" w:right="57"/>
              <w:jc w:val="center"/>
              <w:rPr>
                <w:b/>
                <w:bCs/>
                <w:sz w:val="20"/>
                <w:szCs w:val="20"/>
              </w:rPr>
            </w:pPr>
            <w:r w:rsidRPr="00101017">
              <w:rPr>
                <w:b/>
                <w:bCs/>
                <w:sz w:val="20"/>
                <w:szCs w:val="20"/>
              </w:rPr>
              <w:t>Значение целей и показателей</w:t>
            </w:r>
          </w:p>
        </w:tc>
      </w:tr>
      <w:tr w:rsidR="00467F9C" w:rsidRPr="00101017" w:rsidTr="00101017">
        <w:trPr>
          <w:trHeight w:val="633"/>
          <w:tblHeader/>
          <w:jc w:val="center"/>
        </w:trPr>
        <w:tc>
          <w:tcPr>
            <w:tcW w:w="6799" w:type="dxa"/>
            <w:vMerge/>
            <w:tcBorders>
              <w:top w:val="single" w:sz="4" w:space="0" w:color="auto"/>
              <w:left w:val="single" w:sz="4" w:space="0" w:color="auto"/>
              <w:bottom w:val="single" w:sz="4" w:space="0" w:color="auto"/>
              <w:right w:val="single" w:sz="4" w:space="0" w:color="auto"/>
            </w:tcBorders>
            <w:vAlign w:val="center"/>
            <w:hideMark/>
          </w:tcPr>
          <w:p w:rsidR="00191861" w:rsidRPr="00101017" w:rsidRDefault="00191861" w:rsidP="00191861">
            <w:pPr>
              <w:ind w:left="57" w:right="57"/>
              <w:jc w:val="both"/>
              <w:rPr>
                <w:b/>
                <w:bCs/>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91861" w:rsidRPr="00101017" w:rsidRDefault="00191861" w:rsidP="00191861">
            <w:pPr>
              <w:ind w:left="-112" w:right="-60"/>
              <w:jc w:val="center"/>
              <w:rPr>
                <w:sz w:val="20"/>
                <w:szCs w:val="20"/>
              </w:rPr>
            </w:pPr>
            <w:r w:rsidRPr="00101017">
              <w:rPr>
                <w:sz w:val="20"/>
                <w:szCs w:val="20"/>
              </w:rPr>
              <w:t>Плановое значение на конец года</w:t>
            </w:r>
          </w:p>
        </w:tc>
        <w:tc>
          <w:tcPr>
            <w:tcW w:w="652" w:type="dxa"/>
            <w:tcBorders>
              <w:top w:val="nil"/>
              <w:left w:val="nil"/>
              <w:bottom w:val="single" w:sz="4" w:space="0" w:color="auto"/>
              <w:right w:val="single" w:sz="4" w:space="0" w:color="auto"/>
            </w:tcBorders>
            <w:shd w:val="clear" w:color="auto" w:fill="auto"/>
          </w:tcPr>
          <w:p w:rsidR="00191861" w:rsidRPr="00101017" w:rsidRDefault="00191861" w:rsidP="00191861">
            <w:pPr>
              <w:ind w:left="-160" w:right="-109"/>
              <w:jc w:val="center"/>
              <w:rPr>
                <w:sz w:val="20"/>
                <w:szCs w:val="20"/>
              </w:rPr>
            </w:pPr>
            <w:r w:rsidRPr="00101017">
              <w:rPr>
                <w:sz w:val="20"/>
                <w:szCs w:val="20"/>
              </w:rPr>
              <w:t>Отчет</w:t>
            </w:r>
          </w:p>
        </w:tc>
        <w:tc>
          <w:tcPr>
            <w:tcW w:w="1049" w:type="dxa"/>
            <w:tcBorders>
              <w:top w:val="nil"/>
              <w:left w:val="nil"/>
              <w:bottom w:val="single" w:sz="4" w:space="0" w:color="auto"/>
              <w:right w:val="single" w:sz="4" w:space="0" w:color="auto"/>
            </w:tcBorders>
          </w:tcPr>
          <w:p w:rsidR="00191861" w:rsidRPr="00101017" w:rsidRDefault="00191861" w:rsidP="00191861">
            <w:pPr>
              <w:ind w:left="-111" w:right="-99"/>
              <w:jc w:val="center"/>
              <w:rPr>
                <w:sz w:val="20"/>
                <w:szCs w:val="20"/>
              </w:rPr>
            </w:pPr>
            <w:r w:rsidRPr="00101017">
              <w:rPr>
                <w:sz w:val="20"/>
                <w:szCs w:val="20"/>
              </w:rPr>
              <w:t>% достижения</w:t>
            </w:r>
          </w:p>
        </w:tc>
      </w:tr>
      <w:tr w:rsidR="00467F9C" w:rsidRPr="00101017" w:rsidTr="00101017">
        <w:trPr>
          <w:trHeight w:val="129"/>
          <w:tblHeader/>
          <w:jc w:val="center"/>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101017" w:rsidRDefault="00191861" w:rsidP="00191861">
            <w:pPr>
              <w:ind w:left="57" w:right="57"/>
              <w:jc w:val="center"/>
              <w:rPr>
                <w:sz w:val="20"/>
                <w:szCs w:val="20"/>
              </w:rPr>
            </w:pPr>
            <w:r w:rsidRPr="00101017">
              <w:rPr>
                <w:sz w:val="20"/>
                <w:szCs w:val="20"/>
              </w:rPr>
              <w:t>1</w:t>
            </w:r>
          </w:p>
        </w:tc>
        <w:tc>
          <w:tcPr>
            <w:tcW w:w="1418" w:type="dxa"/>
            <w:tcBorders>
              <w:top w:val="nil"/>
              <w:left w:val="nil"/>
              <w:bottom w:val="single" w:sz="4" w:space="0" w:color="auto"/>
              <w:right w:val="single" w:sz="4" w:space="0" w:color="auto"/>
            </w:tcBorders>
            <w:shd w:val="clear" w:color="auto" w:fill="auto"/>
            <w:vAlign w:val="center"/>
            <w:hideMark/>
          </w:tcPr>
          <w:p w:rsidR="00191861" w:rsidRPr="00101017" w:rsidRDefault="00191861" w:rsidP="00191861">
            <w:pPr>
              <w:ind w:left="57" w:right="57"/>
              <w:jc w:val="center"/>
              <w:rPr>
                <w:sz w:val="20"/>
                <w:szCs w:val="20"/>
              </w:rPr>
            </w:pPr>
            <w:r w:rsidRPr="00101017">
              <w:rPr>
                <w:sz w:val="20"/>
                <w:szCs w:val="20"/>
              </w:rPr>
              <w:t>2</w:t>
            </w:r>
          </w:p>
        </w:tc>
        <w:tc>
          <w:tcPr>
            <w:tcW w:w="652" w:type="dxa"/>
            <w:tcBorders>
              <w:top w:val="nil"/>
              <w:left w:val="nil"/>
              <w:bottom w:val="single" w:sz="4" w:space="0" w:color="auto"/>
              <w:right w:val="single" w:sz="4" w:space="0" w:color="auto"/>
            </w:tcBorders>
            <w:shd w:val="clear" w:color="auto" w:fill="auto"/>
            <w:vAlign w:val="center"/>
            <w:hideMark/>
          </w:tcPr>
          <w:p w:rsidR="00191861" w:rsidRPr="00101017" w:rsidRDefault="00191861" w:rsidP="00191861">
            <w:pPr>
              <w:ind w:left="57" w:right="57"/>
              <w:jc w:val="center"/>
              <w:rPr>
                <w:sz w:val="20"/>
                <w:szCs w:val="20"/>
              </w:rPr>
            </w:pPr>
            <w:r w:rsidRPr="00101017">
              <w:rPr>
                <w:sz w:val="20"/>
                <w:szCs w:val="20"/>
              </w:rPr>
              <w:t>3</w:t>
            </w:r>
          </w:p>
        </w:tc>
        <w:tc>
          <w:tcPr>
            <w:tcW w:w="1049" w:type="dxa"/>
            <w:tcBorders>
              <w:top w:val="nil"/>
              <w:left w:val="nil"/>
              <w:bottom w:val="single" w:sz="4" w:space="0" w:color="auto"/>
              <w:right w:val="single" w:sz="4" w:space="0" w:color="auto"/>
            </w:tcBorders>
          </w:tcPr>
          <w:p w:rsidR="00191861" w:rsidRPr="00101017" w:rsidRDefault="00191861" w:rsidP="00191861">
            <w:pPr>
              <w:ind w:left="57" w:right="57"/>
              <w:jc w:val="center"/>
              <w:rPr>
                <w:sz w:val="20"/>
                <w:szCs w:val="20"/>
              </w:rPr>
            </w:pPr>
            <w:r w:rsidRPr="00101017">
              <w:rPr>
                <w:sz w:val="20"/>
                <w:szCs w:val="20"/>
              </w:rPr>
              <w:t>4</w:t>
            </w:r>
          </w:p>
        </w:tc>
      </w:tr>
      <w:tr w:rsidR="00467F9C" w:rsidRPr="00101017" w:rsidTr="00101017">
        <w:trPr>
          <w:trHeight w:val="187"/>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191861" w:rsidRDefault="00191861" w:rsidP="00191861">
            <w:pPr>
              <w:ind w:right="57"/>
              <w:jc w:val="both"/>
              <w:rPr>
                <w:sz w:val="20"/>
                <w:szCs w:val="20"/>
              </w:rPr>
            </w:pPr>
            <w:r w:rsidRPr="00101017">
              <w:rPr>
                <w:sz w:val="20"/>
                <w:szCs w:val="20"/>
              </w:rPr>
              <w:t>Снижение младенческой смертности (до 4,5 случая на 1 тыс. родившихся детей), промилле (0,1 %)</w:t>
            </w:r>
          </w:p>
          <w:p w:rsidR="00101017" w:rsidRPr="00101017" w:rsidRDefault="00101017" w:rsidP="00191861">
            <w:pPr>
              <w:ind w:right="57"/>
              <w:jc w:val="both"/>
              <w:rPr>
                <w:sz w:val="4"/>
                <w:szCs w:val="4"/>
              </w:rPr>
            </w:pPr>
          </w:p>
          <w:p w:rsidR="00191861" w:rsidRPr="00101017" w:rsidRDefault="00191861" w:rsidP="00191861">
            <w:pPr>
              <w:ind w:right="57"/>
              <w:jc w:val="both"/>
              <w:rPr>
                <w:sz w:val="20"/>
                <w:szCs w:val="20"/>
              </w:rPr>
            </w:pPr>
          </w:p>
        </w:tc>
        <w:tc>
          <w:tcPr>
            <w:tcW w:w="1418" w:type="dxa"/>
            <w:tcBorders>
              <w:top w:val="nil"/>
              <w:left w:val="nil"/>
              <w:bottom w:val="single" w:sz="4" w:space="0" w:color="auto"/>
              <w:right w:val="single" w:sz="4" w:space="0" w:color="auto"/>
            </w:tcBorders>
            <w:shd w:val="clear" w:color="auto" w:fill="auto"/>
          </w:tcPr>
          <w:p w:rsidR="00191861" w:rsidRPr="00101017" w:rsidRDefault="00191861" w:rsidP="00191861">
            <w:pPr>
              <w:ind w:left="57" w:right="57"/>
              <w:jc w:val="center"/>
              <w:rPr>
                <w:sz w:val="20"/>
                <w:szCs w:val="20"/>
              </w:rPr>
            </w:pPr>
            <w:r w:rsidRPr="00101017">
              <w:rPr>
                <w:sz w:val="20"/>
                <w:szCs w:val="20"/>
              </w:rPr>
              <w:t>8,8</w:t>
            </w:r>
          </w:p>
        </w:tc>
        <w:tc>
          <w:tcPr>
            <w:tcW w:w="652" w:type="dxa"/>
            <w:tcBorders>
              <w:top w:val="nil"/>
              <w:left w:val="nil"/>
              <w:bottom w:val="single" w:sz="4" w:space="0" w:color="auto"/>
              <w:right w:val="single" w:sz="4" w:space="0" w:color="auto"/>
            </w:tcBorders>
            <w:shd w:val="clear" w:color="auto" w:fill="auto"/>
          </w:tcPr>
          <w:p w:rsidR="00191861" w:rsidRPr="00101017" w:rsidRDefault="00191861" w:rsidP="00101017">
            <w:pPr>
              <w:ind w:left="57" w:right="57" w:hanging="57"/>
              <w:jc w:val="center"/>
              <w:rPr>
                <w:sz w:val="20"/>
                <w:szCs w:val="20"/>
              </w:rPr>
            </w:pPr>
            <w:r w:rsidRPr="00101017">
              <w:rPr>
                <w:sz w:val="20"/>
                <w:szCs w:val="20"/>
              </w:rPr>
              <w:t>16,1</w:t>
            </w:r>
          </w:p>
        </w:tc>
        <w:tc>
          <w:tcPr>
            <w:tcW w:w="1049" w:type="dxa"/>
            <w:tcBorders>
              <w:top w:val="nil"/>
              <w:left w:val="nil"/>
              <w:bottom w:val="single" w:sz="4" w:space="0" w:color="auto"/>
              <w:right w:val="single" w:sz="4" w:space="0" w:color="auto"/>
            </w:tcBorders>
          </w:tcPr>
          <w:p w:rsidR="00191861" w:rsidRPr="00101017" w:rsidRDefault="00191861" w:rsidP="00191861">
            <w:pPr>
              <w:ind w:left="57" w:right="57"/>
              <w:jc w:val="center"/>
              <w:rPr>
                <w:sz w:val="20"/>
                <w:szCs w:val="20"/>
              </w:rPr>
            </w:pPr>
            <w:r w:rsidRPr="00101017">
              <w:rPr>
                <w:sz w:val="20"/>
                <w:szCs w:val="20"/>
              </w:rPr>
              <w:t>54,6</w:t>
            </w:r>
          </w:p>
        </w:tc>
      </w:tr>
      <w:tr w:rsidR="00467F9C" w:rsidRPr="00101017" w:rsidTr="00101017">
        <w:trPr>
          <w:trHeight w:val="456"/>
          <w:jc w:val="center"/>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rsidR="00191861" w:rsidRDefault="00191861" w:rsidP="00101017">
            <w:pPr>
              <w:ind w:left="57" w:right="57"/>
              <w:jc w:val="both"/>
              <w:rPr>
                <w:sz w:val="20"/>
                <w:szCs w:val="20"/>
              </w:rPr>
            </w:pPr>
            <w:r w:rsidRPr="00101017">
              <w:rPr>
                <w:sz w:val="20"/>
                <w:szCs w:val="20"/>
              </w:rPr>
              <w:t>Смертность детей в возрасте 0-4 года на 1000 родившихся живыми, промилле (0,1 %)</w:t>
            </w:r>
          </w:p>
          <w:p w:rsidR="00101017" w:rsidRPr="00101017" w:rsidRDefault="00101017" w:rsidP="00101017">
            <w:pPr>
              <w:ind w:left="57" w:right="57"/>
              <w:jc w:val="both"/>
              <w:rPr>
                <w:sz w:val="4"/>
                <w:szCs w:val="4"/>
              </w:rPr>
            </w:pPr>
          </w:p>
        </w:tc>
        <w:tc>
          <w:tcPr>
            <w:tcW w:w="1418" w:type="dxa"/>
            <w:tcBorders>
              <w:top w:val="single" w:sz="4" w:space="0" w:color="auto"/>
              <w:left w:val="nil"/>
              <w:bottom w:val="single" w:sz="4" w:space="0" w:color="auto"/>
              <w:right w:val="single" w:sz="4" w:space="0" w:color="auto"/>
            </w:tcBorders>
            <w:shd w:val="clear" w:color="auto" w:fill="auto"/>
          </w:tcPr>
          <w:p w:rsidR="00191861" w:rsidRPr="00101017" w:rsidRDefault="00191861" w:rsidP="00191861">
            <w:pPr>
              <w:ind w:left="57" w:right="57"/>
              <w:jc w:val="center"/>
              <w:rPr>
                <w:sz w:val="20"/>
                <w:szCs w:val="20"/>
              </w:rPr>
            </w:pPr>
            <w:r w:rsidRPr="00101017">
              <w:rPr>
                <w:sz w:val="20"/>
                <w:szCs w:val="20"/>
              </w:rPr>
              <w:t>12,7</w:t>
            </w:r>
          </w:p>
        </w:tc>
        <w:tc>
          <w:tcPr>
            <w:tcW w:w="652" w:type="dxa"/>
            <w:tcBorders>
              <w:top w:val="single" w:sz="4" w:space="0" w:color="auto"/>
              <w:left w:val="nil"/>
              <w:bottom w:val="single" w:sz="4" w:space="0" w:color="auto"/>
              <w:right w:val="single" w:sz="4" w:space="0" w:color="auto"/>
            </w:tcBorders>
            <w:shd w:val="clear" w:color="auto" w:fill="auto"/>
          </w:tcPr>
          <w:p w:rsidR="00191861" w:rsidRPr="00101017" w:rsidRDefault="00191861" w:rsidP="00101017">
            <w:pPr>
              <w:ind w:left="57" w:right="57" w:hanging="57"/>
              <w:jc w:val="center"/>
              <w:rPr>
                <w:sz w:val="20"/>
                <w:szCs w:val="20"/>
              </w:rPr>
            </w:pPr>
            <w:r w:rsidRPr="00101017">
              <w:rPr>
                <w:sz w:val="20"/>
                <w:szCs w:val="20"/>
              </w:rPr>
              <w:t>22,2</w:t>
            </w:r>
          </w:p>
        </w:tc>
        <w:tc>
          <w:tcPr>
            <w:tcW w:w="1049" w:type="dxa"/>
            <w:tcBorders>
              <w:top w:val="single" w:sz="4" w:space="0" w:color="auto"/>
              <w:left w:val="nil"/>
              <w:bottom w:val="single" w:sz="4" w:space="0" w:color="auto"/>
              <w:right w:val="single" w:sz="4" w:space="0" w:color="auto"/>
            </w:tcBorders>
          </w:tcPr>
          <w:p w:rsidR="00191861" w:rsidRPr="00101017" w:rsidRDefault="00191861" w:rsidP="00191861">
            <w:pPr>
              <w:ind w:left="57" w:right="57"/>
              <w:jc w:val="center"/>
              <w:rPr>
                <w:sz w:val="20"/>
                <w:szCs w:val="20"/>
              </w:rPr>
            </w:pPr>
            <w:r w:rsidRPr="00101017">
              <w:rPr>
                <w:sz w:val="20"/>
                <w:szCs w:val="20"/>
              </w:rPr>
              <w:t>57,2</w:t>
            </w:r>
          </w:p>
        </w:tc>
      </w:tr>
    </w:tbl>
    <w:p w:rsidR="00191861" w:rsidRPr="00467F9C" w:rsidRDefault="00191861" w:rsidP="00191861">
      <w:pPr>
        <w:spacing w:before="120"/>
        <w:ind w:left="57" w:right="57" w:firstLine="652"/>
        <w:jc w:val="both"/>
        <w:rPr>
          <w:sz w:val="28"/>
          <w:szCs w:val="28"/>
        </w:rPr>
      </w:pPr>
      <w:r w:rsidRPr="00467F9C">
        <w:rPr>
          <w:sz w:val="28"/>
          <w:szCs w:val="28"/>
        </w:rPr>
        <w:t xml:space="preserve">6) В рамках </w:t>
      </w:r>
      <w:r w:rsidRPr="00467F9C">
        <w:rPr>
          <w:b/>
          <w:sz w:val="28"/>
          <w:szCs w:val="28"/>
        </w:rPr>
        <w:t>РП «Обеспечение медицинских организаций системы здравоохранения квалифицированными кадрами»</w:t>
      </w:r>
      <w:r w:rsidRPr="00467F9C">
        <w:rPr>
          <w:sz w:val="28"/>
          <w:szCs w:val="28"/>
        </w:rPr>
        <w:t xml:space="preserve"> предусмотрено финансирование в размере 0,87 млн. рублей на предоставление мер социальной поддержки студентам медицинских ВУЗов и медицинским работникам в целях привлечения молодых специалистов в учреждения здравоохранения округа, направлено из окружного бюджета на реализацию мероприятия 0,87 млн. рублей, выполнение составило 100% от полученного финансирования.</w:t>
      </w:r>
    </w:p>
    <w:p w:rsidR="00191861" w:rsidRPr="00467F9C" w:rsidRDefault="00191861" w:rsidP="00191861">
      <w:pPr>
        <w:spacing w:before="80" w:after="80"/>
        <w:ind w:left="57" w:right="57"/>
        <w:jc w:val="both"/>
        <w:rPr>
          <w:sz w:val="28"/>
          <w:szCs w:val="28"/>
        </w:rPr>
      </w:pPr>
      <w:r w:rsidRPr="00467F9C">
        <w:rPr>
          <w:bCs/>
          <w:sz w:val="28"/>
          <w:szCs w:val="28"/>
        </w:rPr>
        <w:lastRenderedPageBreak/>
        <w:tab/>
      </w:r>
      <w:r w:rsidRPr="00467F9C">
        <w:rPr>
          <w:b/>
          <w:sz w:val="28"/>
          <w:szCs w:val="28"/>
        </w:rPr>
        <w:t>2.3.</w:t>
      </w:r>
      <w:r w:rsidRPr="00467F9C">
        <w:rPr>
          <w:sz w:val="28"/>
          <w:szCs w:val="28"/>
        </w:rPr>
        <w:t xml:space="preserve"> Национальный проект </w:t>
      </w:r>
      <w:r w:rsidRPr="00467F9C">
        <w:rPr>
          <w:b/>
          <w:sz w:val="28"/>
          <w:szCs w:val="28"/>
        </w:rPr>
        <w:t>«Образование»</w:t>
      </w:r>
      <w:r w:rsidRPr="00467F9C">
        <w:rPr>
          <w:sz w:val="28"/>
          <w:szCs w:val="28"/>
        </w:rPr>
        <w:t xml:space="preserve"> на территории Чукотского автономного округа реализуется в рамках шести региональных проектов</w:t>
      </w:r>
      <w:r w:rsidRPr="00467F9C">
        <w:rPr>
          <w:rStyle w:val="ab"/>
          <w:sz w:val="28"/>
          <w:szCs w:val="28"/>
        </w:rPr>
        <w:footnoteReference w:id="122"/>
      </w:r>
      <w:r w:rsidRPr="00467F9C">
        <w:rPr>
          <w:sz w:val="28"/>
          <w:szCs w:val="28"/>
        </w:rPr>
        <w:t xml:space="preserve">, мероприятия которых интегрированы в государственную программу «Развитие образования и науки Чукотского автономного округа». По региональным проектам «Социальная активность» и «Патриотическое воспитание граждан Российской Федерации» в 2021 году финансовое обеспечение не предусмотрено. </w:t>
      </w:r>
    </w:p>
    <w:p w:rsidR="00191861" w:rsidRPr="00467F9C" w:rsidRDefault="00191861" w:rsidP="00191861">
      <w:pPr>
        <w:ind w:left="57" w:right="57" w:firstLine="651"/>
        <w:jc w:val="both"/>
        <w:rPr>
          <w:sz w:val="28"/>
          <w:szCs w:val="28"/>
        </w:rPr>
      </w:pPr>
      <w:r w:rsidRPr="00467F9C">
        <w:rPr>
          <w:sz w:val="28"/>
          <w:szCs w:val="28"/>
        </w:rPr>
        <w:t xml:space="preserve">В 2021 году на реализацию четырёх региональных проектов СБР утверждены бюджетные ассигнования в объеме 367,9 млн. рублей, направлено на их реализацию 287,5 млн. рублей или 78,7% от утвержденных СБР ассигнований, из них 231,7 млн. рублей (80,6%) направлено в виде авансовых платежей. Выполнение составило 58,2 млн. рублей или 20,2% от полученного финансирования (рис.4). </w:t>
      </w:r>
    </w:p>
    <w:p w:rsidR="00191861" w:rsidRPr="00467F9C" w:rsidRDefault="00191861" w:rsidP="00191861">
      <w:pPr>
        <w:ind w:left="57" w:right="57"/>
        <w:jc w:val="both"/>
        <w:rPr>
          <w:sz w:val="28"/>
          <w:szCs w:val="28"/>
        </w:rPr>
      </w:pPr>
      <w:r w:rsidRPr="00467F9C">
        <w:rPr>
          <w:sz w:val="28"/>
          <w:szCs w:val="28"/>
        </w:rPr>
        <w:tab/>
      </w:r>
      <w:r w:rsidRPr="00467F9C">
        <w:rPr>
          <w:sz w:val="28"/>
          <w:szCs w:val="28"/>
        </w:rPr>
        <w:tab/>
      </w:r>
      <w:r w:rsidRPr="00467F9C">
        <w:rPr>
          <w:sz w:val="28"/>
          <w:szCs w:val="28"/>
        </w:rPr>
        <w:tab/>
      </w:r>
      <w:r w:rsidRPr="00467F9C">
        <w:rPr>
          <w:noProof/>
          <w:sz w:val="28"/>
          <w:szCs w:val="28"/>
        </w:rPr>
        <w:drawing>
          <wp:inline distT="0" distB="0" distL="0" distR="0" wp14:anchorId="3219A330" wp14:editId="1C964161">
            <wp:extent cx="5537835" cy="922675"/>
            <wp:effectExtent l="0" t="0" r="5715" b="10795"/>
            <wp:docPr id="22" name="Диаграмма 2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2C24858-48C4-4253-A842-B8E0A59A56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91861" w:rsidRPr="00467F9C" w:rsidRDefault="00191861" w:rsidP="00191861">
      <w:pPr>
        <w:ind w:left="57" w:right="57"/>
        <w:jc w:val="both"/>
      </w:pP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r>
      <w:r w:rsidRPr="00467F9C">
        <w:t>Рис. 4 (млн. рублей)</w:t>
      </w:r>
    </w:p>
    <w:p w:rsidR="00191861" w:rsidRPr="00467F9C" w:rsidRDefault="00191861" w:rsidP="00191861">
      <w:pPr>
        <w:ind w:left="57" w:right="57"/>
        <w:jc w:val="both"/>
        <w:rPr>
          <w:sz w:val="6"/>
          <w:szCs w:val="6"/>
        </w:rPr>
      </w:pPr>
      <w:r w:rsidRPr="00467F9C">
        <w:rPr>
          <w:sz w:val="28"/>
          <w:szCs w:val="28"/>
        </w:rPr>
        <w:tab/>
      </w:r>
    </w:p>
    <w:p w:rsidR="00191861" w:rsidRPr="00467F9C" w:rsidRDefault="00191861" w:rsidP="00191861">
      <w:pPr>
        <w:ind w:left="57" w:right="57" w:firstLine="652"/>
        <w:jc w:val="both"/>
        <w:rPr>
          <w:sz w:val="28"/>
          <w:szCs w:val="28"/>
        </w:rPr>
      </w:pPr>
      <w:r w:rsidRPr="00467F9C">
        <w:rPr>
          <w:sz w:val="28"/>
          <w:szCs w:val="28"/>
        </w:rPr>
        <w:t>В рамках реализации мероприятий четырёх региональных проектов НП «Образование» заключены государственные (муниципальные) контракты на общую сумму 893,9 млн. рублей, из них государственные (муниципальные) контракты на общую сумму 423,9 млн. рублей со сроком исполнения после 1 января 2022 года.</w:t>
      </w:r>
    </w:p>
    <w:p w:rsidR="00191861" w:rsidRPr="00467F9C" w:rsidRDefault="00191861" w:rsidP="00191861">
      <w:pPr>
        <w:ind w:left="57" w:right="57"/>
        <w:jc w:val="both"/>
        <w:rPr>
          <w:sz w:val="28"/>
          <w:szCs w:val="28"/>
        </w:rPr>
      </w:pPr>
      <w:r w:rsidRPr="00467F9C">
        <w:rPr>
          <w:sz w:val="28"/>
          <w:szCs w:val="28"/>
        </w:rPr>
        <w:tab/>
        <w:t xml:space="preserve">Установленные паспортами региональных проектов на 2021 год показатели достигнуты по четырем региональным проектам. </w:t>
      </w:r>
    </w:p>
    <w:p w:rsidR="00191861" w:rsidRPr="00467F9C" w:rsidRDefault="00191861" w:rsidP="00191861">
      <w:pPr>
        <w:ind w:left="57" w:right="57"/>
        <w:jc w:val="both"/>
        <w:rPr>
          <w:sz w:val="28"/>
          <w:szCs w:val="28"/>
        </w:rPr>
      </w:pPr>
      <w:r w:rsidRPr="00467F9C">
        <w:rPr>
          <w:sz w:val="28"/>
          <w:szCs w:val="28"/>
        </w:rPr>
        <w:tab/>
        <w:t>Анализ отчетов о ходе реализации региональных проектов за 2021 год и данных, предоставленных Департаментом образования и науки Чукотского автономного округа, показал следующее.</w:t>
      </w:r>
    </w:p>
    <w:p w:rsidR="00191861" w:rsidRPr="00467F9C" w:rsidRDefault="00191861" w:rsidP="00191861">
      <w:pPr>
        <w:spacing w:before="80"/>
        <w:ind w:left="57" w:right="57"/>
        <w:jc w:val="both"/>
        <w:rPr>
          <w:sz w:val="28"/>
          <w:szCs w:val="28"/>
        </w:rPr>
      </w:pPr>
      <w:r w:rsidRPr="00467F9C">
        <w:rPr>
          <w:sz w:val="28"/>
          <w:szCs w:val="28"/>
        </w:rPr>
        <w:tab/>
        <w:t xml:space="preserve"> </w:t>
      </w:r>
      <w:r w:rsidRPr="00467F9C">
        <w:rPr>
          <w:b/>
          <w:sz w:val="28"/>
          <w:szCs w:val="28"/>
        </w:rPr>
        <w:t>1)</w:t>
      </w:r>
      <w:r w:rsidRPr="00467F9C">
        <w:rPr>
          <w:sz w:val="28"/>
          <w:szCs w:val="28"/>
        </w:rPr>
        <w:t xml:space="preserve"> На реализацию </w:t>
      </w:r>
      <w:r w:rsidRPr="00467F9C">
        <w:rPr>
          <w:b/>
          <w:sz w:val="28"/>
          <w:szCs w:val="28"/>
        </w:rPr>
        <w:t>РП «Современная школа»</w:t>
      </w:r>
      <w:r w:rsidRPr="00467F9C">
        <w:rPr>
          <w:sz w:val="28"/>
          <w:szCs w:val="28"/>
        </w:rPr>
        <w:t xml:space="preserve"> в отчетном периоде направлено 262,9 млн. рублей или 78,2% от утвержденных СБР ассигнований, из которых: </w:t>
      </w:r>
    </w:p>
    <w:p w:rsidR="00191861" w:rsidRPr="00467F9C" w:rsidRDefault="00191861" w:rsidP="00191861">
      <w:pPr>
        <w:ind w:left="57" w:right="57"/>
        <w:jc w:val="both"/>
        <w:rPr>
          <w:sz w:val="28"/>
          <w:szCs w:val="28"/>
        </w:rPr>
      </w:pPr>
      <w:r w:rsidRPr="00467F9C">
        <w:rPr>
          <w:sz w:val="28"/>
          <w:szCs w:val="28"/>
        </w:rPr>
        <w:tab/>
        <w:t xml:space="preserve">18,9 млн. рублей - на обновление материально-технической базы для формирования у обучающихся современных технологических и гуманитарных навыков и реализацию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 В 2021 году созданы и начали свою работу при 7 общеобразовательных организациях округа Центры образования гуманитарного и цифрового профилей «Точка роста», </w:t>
      </w:r>
      <w:r w:rsidRPr="00467F9C">
        <w:rPr>
          <w:bCs/>
          <w:sz w:val="28"/>
          <w:szCs w:val="28"/>
        </w:rPr>
        <w:t>открыт Центр непрерывного повышения педагогического мастерства</w:t>
      </w:r>
      <w:r w:rsidRPr="00467F9C">
        <w:rPr>
          <w:sz w:val="28"/>
          <w:szCs w:val="28"/>
        </w:rPr>
        <w:t>;</w:t>
      </w:r>
    </w:p>
    <w:p w:rsidR="00191861" w:rsidRPr="00467F9C" w:rsidRDefault="00191861" w:rsidP="00191861">
      <w:pPr>
        <w:ind w:left="57" w:right="57"/>
        <w:jc w:val="both"/>
        <w:rPr>
          <w:sz w:val="28"/>
          <w:szCs w:val="28"/>
        </w:rPr>
      </w:pPr>
      <w:r w:rsidRPr="00467F9C">
        <w:rPr>
          <w:sz w:val="28"/>
          <w:szCs w:val="28"/>
        </w:rPr>
        <w:tab/>
        <w:t xml:space="preserve">95,3 млн. рублей - на строительство школы в </w:t>
      </w:r>
      <w:proofErr w:type="spellStart"/>
      <w:r w:rsidRPr="00467F9C">
        <w:rPr>
          <w:sz w:val="28"/>
          <w:szCs w:val="28"/>
        </w:rPr>
        <w:t>с.Островное</w:t>
      </w:r>
      <w:proofErr w:type="spellEnd"/>
      <w:r w:rsidRPr="00467F9C">
        <w:rPr>
          <w:sz w:val="28"/>
          <w:szCs w:val="28"/>
        </w:rPr>
        <w:t xml:space="preserve">, из них - 92,9 млн. рублей оплачен аванс АО «ЧТК». При этом, на строительство школы в 2020 году АО «ЧТК» перечислен аванс в сумме 160,7 млн. рублей. В 2021 году стоимость </w:t>
      </w:r>
      <w:r w:rsidRPr="00467F9C">
        <w:rPr>
          <w:sz w:val="28"/>
          <w:szCs w:val="28"/>
        </w:rPr>
        <w:lastRenderedPageBreak/>
        <w:t xml:space="preserve">фактически выполненных работ по строительству школы составила 4,8 млн. рублей. По состоянию на 1 января 2022 года сумма перечисленного подрядчику в 2020-2021 годах аванса составила 251,2 млн. рублей. </w:t>
      </w:r>
      <w:r w:rsidRPr="00467F9C">
        <w:rPr>
          <w:rFonts w:eastAsia="Calibri"/>
          <w:sz w:val="28"/>
          <w:szCs w:val="28"/>
        </w:rPr>
        <w:t xml:space="preserve">Срок ввода объекта перенесен с 2021 на 2022 год по следующими причинам: срок разработки проектно-сметной документации увеличен из-за отдаленности населенного пункта и сложностью геологических изысканий, отсутствие потенциальных подрядчиков, большой перерыв в подготовке ПСД, вызванный ограничительными мерами, связанными с распространением новой </w:t>
      </w:r>
      <w:proofErr w:type="spellStart"/>
      <w:r w:rsidRPr="00467F9C">
        <w:rPr>
          <w:rFonts w:eastAsia="Calibri"/>
          <w:sz w:val="28"/>
          <w:szCs w:val="28"/>
        </w:rPr>
        <w:t>коронавирусной</w:t>
      </w:r>
      <w:proofErr w:type="spellEnd"/>
      <w:r w:rsidRPr="00467F9C">
        <w:rPr>
          <w:rFonts w:eastAsia="Calibri"/>
          <w:sz w:val="28"/>
          <w:szCs w:val="28"/>
        </w:rPr>
        <w:t xml:space="preserve"> инфекции. Планируемая дата ввода объекта 31.12.2022г.</w:t>
      </w:r>
      <w:r w:rsidRPr="00467F9C">
        <w:rPr>
          <w:sz w:val="28"/>
          <w:szCs w:val="28"/>
        </w:rPr>
        <w:t xml:space="preserve"> В отчете о ходе реализации РП по данному мероприятию отмечено наличие критических отклонений в ходе реализации мероприятия;</w:t>
      </w:r>
    </w:p>
    <w:p w:rsidR="00191861" w:rsidRPr="00467F9C" w:rsidRDefault="00191861" w:rsidP="00191861">
      <w:pPr>
        <w:ind w:left="57" w:right="57"/>
        <w:jc w:val="both"/>
        <w:rPr>
          <w:rFonts w:eastAsia="Calibri"/>
          <w:sz w:val="28"/>
          <w:szCs w:val="28"/>
        </w:rPr>
      </w:pPr>
      <w:r w:rsidRPr="00467F9C">
        <w:rPr>
          <w:sz w:val="28"/>
          <w:szCs w:val="28"/>
        </w:rPr>
        <w:tab/>
        <w:t xml:space="preserve">148,7 млн. рублей – на строительство начальной школы в </w:t>
      </w:r>
      <w:proofErr w:type="spellStart"/>
      <w:r w:rsidRPr="00467F9C">
        <w:rPr>
          <w:sz w:val="28"/>
          <w:szCs w:val="28"/>
        </w:rPr>
        <w:t>с.Лорино</w:t>
      </w:r>
      <w:proofErr w:type="spellEnd"/>
      <w:r w:rsidRPr="00467F9C">
        <w:rPr>
          <w:sz w:val="28"/>
          <w:szCs w:val="28"/>
        </w:rPr>
        <w:t xml:space="preserve">, из них 138,8 млн. рублей в виде авансовых платежей ООО «Северный Трест» на выполнение работ по объекту «Начальная школа в </w:t>
      </w:r>
      <w:proofErr w:type="spellStart"/>
      <w:r w:rsidRPr="00467F9C">
        <w:rPr>
          <w:sz w:val="28"/>
          <w:szCs w:val="28"/>
        </w:rPr>
        <w:t>с.Лорино</w:t>
      </w:r>
      <w:proofErr w:type="spellEnd"/>
      <w:r w:rsidRPr="00467F9C">
        <w:rPr>
          <w:sz w:val="28"/>
          <w:szCs w:val="28"/>
        </w:rPr>
        <w:t xml:space="preserve">». Контракт с ООО «Северный Трест» заключен на полный цикл, стоимость контракта 303,1 млн. рублей (2021 – 148,6 млн. рублей, 2022 – 133,7 млн. рублей, 2023 – 20,8 млн. рублей). Срок завершения работ – 30.12.2023г. Мероприятия по контракту реализуются в соответствии с Графиком выполнения работ по подготовке проектной документации. В отчетном периоде фактическое выполнение работ по строительству начальной школы в </w:t>
      </w:r>
      <w:proofErr w:type="spellStart"/>
      <w:r w:rsidRPr="00467F9C">
        <w:rPr>
          <w:sz w:val="28"/>
          <w:szCs w:val="28"/>
        </w:rPr>
        <w:t>с.Лорино</w:t>
      </w:r>
      <w:proofErr w:type="spellEnd"/>
      <w:r w:rsidRPr="00467F9C">
        <w:rPr>
          <w:sz w:val="28"/>
          <w:szCs w:val="28"/>
        </w:rPr>
        <w:t xml:space="preserve"> составило 9,9 млн. рублей: проектно-изыскательские работы для строительства школы (9,5 млн. рублей) и </w:t>
      </w:r>
      <w:r w:rsidRPr="00467F9C">
        <w:rPr>
          <w:rFonts w:eastAsia="Calibri"/>
          <w:sz w:val="28"/>
          <w:szCs w:val="28"/>
        </w:rPr>
        <w:t>проведена</w:t>
      </w:r>
      <w:r w:rsidRPr="00467F9C">
        <w:rPr>
          <w:sz w:val="28"/>
          <w:szCs w:val="28"/>
        </w:rPr>
        <w:t xml:space="preserve"> государственная экспертиза</w:t>
      </w:r>
      <w:r w:rsidRPr="00467F9C">
        <w:rPr>
          <w:rFonts w:eastAsia="Calibri"/>
          <w:sz w:val="28"/>
          <w:szCs w:val="28"/>
        </w:rPr>
        <w:t xml:space="preserve"> на сумму 0,4 млн. рублей. </w:t>
      </w:r>
    </w:p>
    <w:p w:rsidR="00191861" w:rsidRPr="00467F9C" w:rsidRDefault="00191861" w:rsidP="00191861">
      <w:pPr>
        <w:spacing w:before="80"/>
        <w:ind w:left="57" w:right="57"/>
        <w:jc w:val="both"/>
        <w:rPr>
          <w:sz w:val="28"/>
          <w:szCs w:val="28"/>
        </w:rPr>
      </w:pPr>
      <w:r w:rsidRPr="00467F9C">
        <w:rPr>
          <w:b/>
          <w:sz w:val="28"/>
          <w:szCs w:val="28"/>
        </w:rPr>
        <w:tab/>
        <w:t>2)</w:t>
      </w:r>
      <w:r w:rsidRPr="00467F9C">
        <w:rPr>
          <w:sz w:val="28"/>
          <w:szCs w:val="28"/>
          <w:lang w:val="en-US"/>
        </w:rPr>
        <w:t> </w:t>
      </w:r>
      <w:r w:rsidRPr="00467F9C">
        <w:rPr>
          <w:sz w:val="28"/>
          <w:szCs w:val="28"/>
        </w:rPr>
        <w:t xml:space="preserve">В рамках реализации </w:t>
      </w:r>
      <w:r w:rsidRPr="00467F9C">
        <w:rPr>
          <w:b/>
          <w:sz w:val="28"/>
          <w:szCs w:val="28"/>
        </w:rPr>
        <w:t>РП «Успех каждого ребёнка»</w:t>
      </w:r>
      <w:r w:rsidRPr="00467F9C">
        <w:rPr>
          <w:sz w:val="28"/>
          <w:szCs w:val="28"/>
        </w:rPr>
        <w:t xml:space="preserve"> СБР на 2021 год утверждены бюджетные ассигнования </w:t>
      </w:r>
      <w:r w:rsidRPr="00467F9C">
        <w:rPr>
          <w:bCs/>
          <w:sz w:val="28"/>
          <w:szCs w:val="28"/>
        </w:rPr>
        <w:t xml:space="preserve">в сумме 17,2 млн. </w:t>
      </w:r>
      <w:r w:rsidRPr="00467F9C">
        <w:rPr>
          <w:sz w:val="28"/>
          <w:szCs w:val="28"/>
        </w:rPr>
        <w:t xml:space="preserve">рублей на создание в девяти общеобразовательных организациях, расположенных в сельской местности и малых городах, условий для занятий физической культурой и спортом и создание специализированных площадок в образовательных организациях по реализации проекта «Билет в будущее». На реализацию регионального проекта направлено 16,6 млн. рублей или 96,5% утвержденных бюджетных ассигнований, в том числе 14,8 млн. рублей средства федерального бюджета, выполнение составило 100% от полученного финансирования. </w:t>
      </w:r>
    </w:p>
    <w:p w:rsidR="00191861" w:rsidRPr="00467F9C" w:rsidRDefault="00191861" w:rsidP="00191861">
      <w:pPr>
        <w:ind w:left="57" w:right="57"/>
        <w:jc w:val="both"/>
        <w:rPr>
          <w:sz w:val="28"/>
          <w:szCs w:val="28"/>
        </w:rPr>
      </w:pPr>
      <w:r w:rsidRPr="00467F9C">
        <w:rPr>
          <w:sz w:val="28"/>
          <w:szCs w:val="28"/>
        </w:rPr>
        <w:tab/>
        <w:t>По отчетам о ходе реализации РП на его реализацию направлено в отчетном периоде 15,2 млн. рублей, что не соответствуют данным Отчета об исполнении бюджета (16,6 млн. рублей).</w:t>
      </w:r>
    </w:p>
    <w:p w:rsidR="00191861" w:rsidRPr="00467F9C" w:rsidRDefault="00191861" w:rsidP="00191861">
      <w:pPr>
        <w:spacing w:before="80"/>
        <w:ind w:left="57" w:right="57"/>
        <w:jc w:val="both"/>
        <w:rPr>
          <w:sz w:val="28"/>
          <w:szCs w:val="28"/>
        </w:rPr>
      </w:pPr>
      <w:r w:rsidRPr="00467F9C">
        <w:rPr>
          <w:b/>
          <w:sz w:val="28"/>
          <w:szCs w:val="28"/>
        </w:rPr>
        <w:tab/>
        <w:t>3)</w:t>
      </w:r>
      <w:r w:rsidRPr="00467F9C">
        <w:rPr>
          <w:sz w:val="28"/>
          <w:szCs w:val="28"/>
        </w:rPr>
        <w:t xml:space="preserve"> На реализацию </w:t>
      </w:r>
      <w:r w:rsidRPr="00467F9C">
        <w:rPr>
          <w:b/>
          <w:sz w:val="28"/>
          <w:szCs w:val="28"/>
        </w:rPr>
        <w:t>РП «Цифровая образовательная среда»</w:t>
      </w:r>
      <w:r w:rsidRPr="00467F9C">
        <w:rPr>
          <w:sz w:val="28"/>
          <w:szCs w:val="28"/>
        </w:rPr>
        <w:t xml:space="preserve"> СБР на 2021 год утверждены бюджетные ассигнования </w:t>
      </w:r>
      <w:r w:rsidRPr="00467F9C">
        <w:rPr>
          <w:bCs/>
          <w:sz w:val="28"/>
          <w:szCs w:val="28"/>
        </w:rPr>
        <w:t xml:space="preserve">в сумме 12,2 млн. </w:t>
      </w:r>
      <w:r w:rsidRPr="00467F9C">
        <w:rPr>
          <w:sz w:val="28"/>
          <w:szCs w:val="28"/>
        </w:rPr>
        <w:t>рублей на создание центра цифрового образования детей «IT-куб» на базе Муниципального автономного образовательного учреждения дополнительного образования «</w:t>
      </w:r>
      <w:proofErr w:type="spellStart"/>
      <w:r w:rsidRPr="00467F9C">
        <w:rPr>
          <w:sz w:val="28"/>
          <w:szCs w:val="28"/>
        </w:rPr>
        <w:t>Билибинский</w:t>
      </w:r>
      <w:proofErr w:type="spellEnd"/>
      <w:r w:rsidRPr="00467F9C">
        <w:rPr>
          <w:sz w:val="28"/>
          <w:szCs w:val="28"/>
        </w:rPr>
        <w:t xml:space="preserve"> районный Центр дополнительного образования». </w:t>
      </w:r>
    </w:p>
    <w:p w:rsidR="00191861" w:rsidRPr="00467F9C" w:rsidRDefault="00191861" w:rsidP="00191861">
      <w:pPr>
        <w:ind w:left="57" w:right="57"/>
        <w:jc w:val="both"/>
        <w:rPr>
          <w:sz w:val="28"/>
          <w:szCs w:val="28"/>
        </w:rPr>
      </w:pPr>
      <w:r w:rsidRPr="00467F9C">
        <w:rPr>
          <w:sz w:val="28"/>
          <w:szCs w:val="28"/>
        </w:rPr>
        <w:tab/>
        <w:t xml:space="preserve">В 2021 году заключено 9 контрактов на поставку ноутбуков, многофункциональных устройств, интерактивного комплекса, планшетов, робототехнических наборов, шлемов виртуальной реальности общей стоимостью 12,2 млн. рублей, поставлено и оплачено оборудование по 6 контрактам на общую сумму 5,5 млн. рублей. Сроки поставок оборудования по 3 госконтрактам на </w:t>
      </w:r>
      <w:r w:rsidRPr="00467F9C">
        <w:rPr>
          <w:sz w:val="28"/>
          <w:szCs w:val="28"/>
        </w:rPr>
        <w:lastRenderedPageBreak/>
        <w:t>общую сумму 6,7 млн. рублей поставщиками не соблюдены, поставщиками направлено гарантийное письмо об исполнении взятых обязательств.</w:t>
      </w:r>
    </w:p>
    <w:p w:rsidR="00191861" w:rsidRPr="00467F9C" w:rsidRDefault="00191861" w:rsidP="00191861">
      <w:pPr>
        <w:spacing w:before="80"/>
        <w:ind w:left="57" w:right="57"/>
        <w:jc w:val="both"/>
        <w:rPr>
          <w:sz w:val="28"/>
          <w:szCs w:val="28"/>
        </w:rPr>
      </w:pPr>
      <w:r w:rsidRPr="00467F9C">
        <w:rPr>
          <w:b/>
          <w:sz w:val="28"/>
          <w:szCs w:val="28"/>
        </w:rPr>
        <w:tab/>
        <w:t>4) РП «Молодые профессионалы (Повышение конкурентоспособности профессионального образования)»</w:t>
      </w:r>
      <w:r w:rsidRPr="00467F9C">
        <w:rPr>
          <w:sz w:val="28"/>
          <w:szCs w:val="28"/>
        </w:rPr>
        <w:t xml:space="preserve"> на 01.01.2022 года реализован на 100% от полученного финансирования и утвержденного СБР объема бюджетных ассигнований (2,5 млн. рублей) - приобретено оборудование и материалы для мастерских ГАПОУ ЧАО «Чукотский северо-западный техникум города Билибино» по направлению «Строительство» по компетенциям: «Сантехника и отопление», «Электромонтаж», «Малярные и декоративные работы»; «Облицовка плиткой». </w:t>
      </w:r>
    </w:p>
    <w:p w:rsidR="00191861" w:rsidRPr="00467F9C" w:rsidRDefault="00191861" w:rsidP="00191861">
      <w:pPr>
        <w:spacing w:before="120"/>
        <w:ind w:left="57" w:right="57"/>
        <w:jc w:val="both"/>
        <w:rPr>
          <w:sz w:val="28"/>
          <w:szCs w:val="28"/>
        </w:rPr>
      </w:pPr>
      <w:r w:rsidRPr="00467F9C">
        <w:rPr>
          <w:b/>
          <w:sz w:val="28"/>
          <w:szCs w:val="28"/>
        </w:rPr>
        <w:tab/>
        <w:t>2.4.</w:t>
      </w:r>
      <w:r w:rsidRPr="00467F9C">
        <w:rPr>
          <w:sz w:val="28"/>
          <w:szCs w:val="28"/>
        </w:rPr>
        <w:t xml:space="preserve">  Национальный проект </w:t>
      </w:r>
      <w:r w:rsidRPr="00467F9C">
        <w:rPr>
          <w:b/>
          <w:sz w:val="28"/>
          <w:szCs w:val="28"/>
        </w:rPr>
        <w:t>«Жильё и городская среда»</w:t>
      </w:r>
      <w:r w:rsidRPr="00467F9C">
        <w:rPr>
          <w:sz w:val="28"/>
          <w:szCs w:val="28"/>
        </w:rPr>
        <w:t xml:space="preserve"> на территории Чукотского автономного округа реализуется в рамках четырёх региональных проектов, мероприятия которых интегрированы в четыре государственные программы Чукотского автономного округа. </w:t>
      </w:r>
    </w:p>
    <w:p w:rsidR="00191861" w:rsidRPr="00467F9C" w:rsidRDefault="00191861" w:rsidP="00191861">
      <w:pPr>
        <w:ind w:left="57" w:right="57"/>
        <w:jc w:val="both"/>
        <w:rPr>
          <w:sz w:val="28"/>
          <w:szCs w:val="28"/>
        </w:rPr>
      </w:pPr>
      <w:r w:rsidRPr="00467F9C">
        <w:rPr>
          <w:sz w:val="28"/>
          <w:szCs w:val="28"/>
        </w:rPr>
        <w:tab/>
        <w:t>На реализацию региональных проектов в рамках НП в 2021 году из окружного бюджета направлено 892,6 млн. рублей (в том числе 185,4 млн. рублей – средства ГК «ФСРЖКХ») или 85,9 % от утвержденных СБР ассигнований, из них:</w:t>
      </w:r>
    </w:p>
    <w:p w:rsidR="00191861" w:rsidRPr="00467F9C" w:rsidRDefault="00191861" w:rsidP="00191861">
      <w:pPr>
        <w:ind w:left="57" w:right="57"/>
        <w:jc w:val="both"/>
        <w:rPr>
          <w:sz w:val="28"/>
          <w:szCs w:val="28"/>
        </w:rPr>
      </w:pPr>
      <w:r w:rsidRPr="00467F9C">
        <w:rPr>
          <w:sz w:val="28"/>
          <w:szCs w:val="28"/>
        </w:rPr>
        <w:tab/>
        <w:t>278,1 млн. рублей – направлено в виде авансовых платежей по муниципальным контрактам (по состоянию на 01.01.2022г.);</w:t>
      </w:r>
    </w:p>
    <w:p w:rsidR="00191861" w:rsidRPr="00467F9C" w:rsidRDefault="00191861" w:rsidP="00191861">
      <w:pPr>
        <w:ind w:left="57" w:right="57"/>
        <w:jc w:val="both"/>
        <w:rPr>
          <w:sz w:val="28"/>
          <w:szCs w:val="28"/>
        </w:rPr>
      </w:pPr>
      <w:r w:rsidRPr="00467F9C">
        <w:rPr>
          <w:sz w:val="28"/>
          <w:szCs w:val="28"/>
        </w:rPr>
        <w:tab/>
        <w:t>9,5 млн. рублей – направлено в виде авансового платежа по муниципальному контракту, который в 2022 году расторгнут по соглашению сторон, сумма авансового платежа возвращена в бюджет;</w:t>
      </w:r>
    </w:p>
    <w:p w:rsidR="00191861" w:rsidRPr="00467F9C" w:rsidRDefault="00191861" w:rsidP="00191861">
      <w:pPr>
        <w:ind w:left="57" w:right="57"/>
        <w:jc w:val="both"/>
        <w:rPr>
          <w:sz w:val="28"/>
          <w:szCs w:val="28"/>
        </w:rPr>
      </w:pPr>
      <w:r w:rsidRPr="00467F9C">
        <w:rPr>
          <w:sz w:val="28"/>
          <w:szCs w:val="28"/>
        </w:rPr>
        <w:tab/>
        <w:t>518,9 млн. рублей – неиспользованные по состоянию на 01.01.2022г. межбюджетные трансферты, направленные муниципальным образованиям в форме субсидий в 2021 году</w:t>
      </w:r>
      <w:r w:rsidRPr="00467F9C">
        <w:rPr>
          <w:rStyle w:val="ab"/>
          <w:sz w:val="28"/>
          <w:szCs w:val="28"/>
        </w:rPr>
        <w:footnoteReference w:id="123"/>
      </w:r>
      <w:r w:rsidRPr="00467F9C">
        <w:rPr>
          <w:sz w:val="28"/>
          <w:szCs w:val="28"/>
        </w:rPr>
        <w:t>.</w:t>
      </w:r>
    </w:p>
    <w:p w:rsidR="00191861" w:rsidRPr="00467F9C" w:rsidRDefault="00191861" w:rsidP="00191861">
      <w:pPr>
        <w:ind w:left="57" w:right="57"/>
        <w:jc w:val="both"/>
        <w:rPr>
          <w:sz w:val="28"/>
          <w:szCs w:val="28"/>
        </w:rPr>
      </w:pPr>
      <w:r w:rsidRPr="00467F9C">
        <w:rPr>
          <w:sz w:val="28"/>
          <w:szCs w:val="28"/>
        </w:rPr>
        <w:tab/>
        <w:t>Фактическое выполнение мероприятий региональных проектов составило по данным Счетной палаты 114,7 млн. рублей, по данным ГАБС – 129,0 млн. рублей (рис. 5).</w:t>
      </w:r>
      <w:r w:rsidRPr="00467F9C">
        <w:rPr>
          <w:sz w:val="28"/>
          <w:szCs w:val="28"/>
        </w:rPr>
        <w:tab/>
      </w:r>
      <w:r w:rsidRPr="00467F9C">
        <w:rPr>
          <w:sz w:val="28"/>
          <w:szCs w:val="28"/>
        </w:rPr>
        <w:tab/>
      </w:r>
      <w:r w:rsidRPr="00467F9C">
        <w:rPr>
          <w:noProof/>
        </w:rPr>
        <w:drawing>
          <wp:inline distT="0" distB="0" distL="0" distR="0" wp14:anchorId="4B56F104" wp14:editId="61690AEE">
            <wp:extent cx="6119495" cy="1085850"/>
            <wp:effectExtent l="0" t="0" r="14605" b="0"/>
            <wp:docPr id="5" name="Диаграмма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C8FCFC-235D-488A-9BD0-5A545DAB33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91861" w:rsidRPr="00467F9C" w:rsidRDefault="00191861" w:rsidP="00191861">
      <w:pPr>
        <w:ind w:left="57" w:right="57"/>
        <w:jc w:val="center"/>
      </w:pPr>
      <w:r w:rsidRPr="00467F9C">
        <w:t>Рис. 5 (млн. рублей)</w:t>
      </w:r>
    </w:p>
    <w:p w:rsidR="00191861" w:rsidRPr="00467F9C" w:rsidRDefault="00191861" w:rsidP="00191861">
      <w:pPr>
        <w:spacing w:before="120"/>
        <w:ind w:left="57" w:right="57"/>
        <w:jc w:val="both"/>
        <w:rPr>
          <w:sz w:val="28"/>
          <w:szCs w:val="28"/>
        </w:rPr>
      </w:pPr>
      <w:r w:rsidRPr="00467F9C">
        <w:rPr>
          <w:sz w:val="28"/>
          <w:szCs w:val="28"/>
        </w:rPr>
        <w:tab/>
        <w:t>В рамках реализации мероприятий четырех региональных проектов НП «Жилье и городская среда» заключены государственные (муниципальные) контракты на общую сумму 715,2 млн. рублей, из них государственные (муниципальные) контракты на общую сумму 593,6 млн. рублей со сроком исполнения после 1 января 2022 года.</w:t>
      </w:r>
    </w:p>
    <w:p w:rsidR="00191861" w:rsidRPr="00467F9C" w:rsidRDefault="00191861" w:rsidP="00191861">
      <w:pPr>
        <w:ind w:left="57" w:right="57"/>
        <w:jc w:val="both"/>
        <w:rPr>
          <w:sz w:val="28"/>
          <w:szCs w:val="28"/>
        </w:rPr>
      </w:pPr>
      <w:r w:rsidRPr="00467F9C">
        <w:rPr>
          <w:sz w:val="28"/>
          <w:szCs w:val="28"/>
        </w:rPr>
        <w:lastRenderedPageBreak/>
        <w:tab/>
        <w:t>Анализ отчетов о ходе реализации региональных проектов за 2021 год и сведений, предоставленных Департаментом промышленной политики Чукотского автономного округа, показал следующее.</w:t>
      </w:r>
    </w:p>
    <w:p w:rsidR="00191861" w:rsidRPr="00467F9C" w:rsidRDefault="00191861" w:rsidP="00191861">
      <w:pPr>
        <w:spacing w:before="80"/>
        <w:ind w:left="57" w:right="57"/>
        <w:jc w:val="both"/>
        <w:rPr>
          <w:sz w:val="28"/>
          <w:szCs w:val="28"/>
        </w:rPr>
      </w:pPr>
      <w:r w:rsidRPr="00467F9C">
        <w:rPr>
          <w:b/>
          <w:sz w:val="28"/>
          <w:szCs w:val="28"/>
        </w:rPr>
        <w:tab/>
        <w:t>1) </w:t>
      </w:r>
      <w:bookmarkStart w:id="52" w:name="_Hlk99609734"/>
      <w:r w:rsidRPr="00467F9C">
        <w:rPr>
          <w:sz w:val="28"/>
          <w:szCs w:val="28"/>
        </w:rPr>
        <w:t xml:space="preserve">Паспортом </w:t>
      </w:r>
      <w:r w:rsidRPr="00467F9C">
        <w:rPr>
          <w:b/>
          <w:sz w:val="28"/>
          <w:szCs w:val="28"/>
        </w:rPr>
        <w:t>РП «Жильё»</w:t>
      </w:r>
      <w:r w:rsidRPr="00467F9C">
        <w:rPr>
          <w:sz w:val="28"/>
          <w:szCs w:val="28"/>
        </w:rPr>
        <w:t xml:space="preserve"> на 2021 год предусмотрено 318,0 млн. рублей или 100% от утвержденных СБР бюджетных ассигнований. Направлено в 2021 году на реализацию </w:t>
      </w:r>
      <w:proofErr w:type="spellStart"/>
      <w:r w:rsidRPr="00467F9C">
        <w:rPr>
          <w:sz w:val="28"/>
          <w:szCs w:val="28"/>
        </w:rPr>
        <w:t>регпроекта</w:t>
      </w:r>
      <w:proofErr w:type="spellEnd"/>
      <w:r w:rsidRPr="00467F9C">
        <w:rPr>
          <w:sz w:val="28"/>
          <w:szCs w:val="28"/>
        </w:rPr>
        <w:t xml:space="preserve"> 182,9 млн. рублей или 57,5% от утвержденных назначений, в том числе:</w:t>
      </w:r>
    </w:p>
    <w:p w:rsidR="00191861" w:rsidRPr="00467F9C" w:rsidRDefault="00191861" w:rsidP="00191861">
      <w:pPr>
        <w:ind w:left="57" w:right="57"/>
        <w:jc w:val="both"/>
        <w:rPr>
          <w:sz w:val="28"/>
          <w:szCs w:val="28"/>
        </w:rPr>
      </w:pPr>
      <w:r w:rsidRPr="00467F9C">
        <w:rPr>
          <w:sz w:val="28"/>
          <w:szCs w:val="28"/>
        </w:rPr>
        <w:tab/>
        <w:t>1. Перечислены авансовые платежи по муниципальным контрактам на выкуп жилых помещений у застройщика:</w:t>
      </w:r>
    </w:p>
    <w:p w:rsidR="00191861" w:rsidRPr="00467F9C" w:rsidRDefault="00191861" w:rsidP="00191861">
      <w:pPr>
        <w:ind w:left="57" w:right="57"/>
        <w:jc w:val="both"/>
        <w:rPr>
          <w:sz w:val="28"/>
          <w:szCs w:val="28"/>
        </w:rPr>
      </w:pPr>
      <w:r w:rsidRPr="00467F9C">
        <w:rPr>
          <w:sz w:val="28"/>
          <w:szCs w:val="28"/>
        </w:rPr>
        <w:tab/>
        <w:t xml:space="preserve">- 68,79 млн. рублей в селе </w:t>
      </w:r>
      <w:proofErr w:type="spellStart"/>
      <w:r w:rsidRPr="00467F9C">
        <w:rPr>
          <w:sz w:val="28"/>
          <w:szCs w:val="28"/>
        </w:rPr>
        <w:t>Сиреники</w:t>
      </w:r>
      <w:proofErr w:type="spellEnd"/>
      <w:r w:rsidRPr="00467F9C">
        <w:rPr>
          <w:sz w:val="28"/>
          <w:szCs w:val="28"/>
        </w:rPr>
        <w:t xml:space="preserve"> - 27 жилых помещений площадью не менее 1 191 </w:t>
      </w:r>
      <w:proofErr w:type="spellStart"/>
      <w:r w:rsidRPr="00467F9C">
        <w:rPr>
          <w:sz w:val="28"/>
          <w:szCs w:val="28"/>
        </w:rPr>
        <w:t>кв.м</w:t>
      </w:r>
      <w:proofErr w:type="spellEnd"/>
      <w:r w:rsidRPr="00467F9C">
        <w:rPr>
          <w:sz w:val="28"/>
          <w:szCs w:val="28"/>
        </w:rPr>
        <w:t xml:space="preserve">. общей стоимостью 229,5 млн. рублей, со сроком исполнения – 01.12.2022 года; </w:t>
      </w:r>
    </w:p>
    <w:p w:rsidR="00191861" w:rsidRPr="00467F9C" w:rsidRDefault="00191861" w:rsidP="00191861">
      <w:pPr>
        <w:ind w:left="57" w:right="57"/>
        <w:jc w:val="both"/>
        <w:rPr>
          <w:sz w:val="28"/>
          <w:szCs w:val="28"/>
        </w:rPr>
      </w:pPr>
      <w:r w:rsidRPr="00467F9C">
        <w:rPr>
          <w:sz w:val="28"/>
          <w:szCs w:val="28"/>
        </w:rPr>
        <w:tab/>
        <w:t xml:space="preserve">- 18,55 млн. рублей в селе </w:t>
      </w:r>
      <w:proofErr w:type="spellStart"/>
      <w:r w:rsidRPr="00467F9C">
        <w:rPr>
          <w:sz w:val="28"/>
          <w:szCs w:val="28"/>
        </w:rPr>
        <w:t>Конергино</w:t>
      </w:r>
      <w:proofErr w:type="spellEnd"/>
      <w:r w:rsidRPr="00467F9C">
        <w:rPr>
          <w:sz w:val="28"/>
          <w:szCs w:val="28"/>
        </w:rPr>
        <w:t xml:space="preserve"> - 8 жилых помещений площадью не менее 304,0 </w:t>
      </w:r>
      <w:proofErr w:type="spellStart"/>
      <w:r w:rsidRPr="00467F9C">
        <w:rPr>
          <w:sz w:val="28"/>
          <w:szCs w:val="28"/>
        </w:rPr>
        <w:t>кв.м</w:t>
      </w:r>
      <w:proofErr w:type="spellEnd"/>
      <w:r w:rsidRPr="00467F9C">
        <w:rPr>
          <w:sz w:val="28"/>
          <w:szCs w:val="28"/>
        </w:rPr>
        <w:t>, общей стоимостью 61,9 млн. рублей и сроком исполнения - 01.12.2022г.</w:t>
      </w:r>
    </w:p>
    <w:p w:rsidR="00191861" w:rsidRPr="00467F9C" w:rsidRDefault="00191861" w:rsidP="00191861">
      <w:pPr>
        <w:ind w:left="57" w:right="57" w:firstLine="651"/>
        <w:jc w:val="both"/>
        <w:rPr>
          <w:sz w:val="28"/>
          <w:szCs w:val="28"/>
        </w:rPr>
      </w:pPr>
      <w:r w:rsidRPr="00467F9C">
        <w:rPr>
          <w:sz w:val="28"/>
          <w:szCs w:val="28"/>
        </w:rPr>
        <w:t>2. Перечислены субсидии на обеспечение мероприятий по развитию жилищного строительства администрациям муниципальных образований для оплаты муниципальных контрактов:</w:t>
      </w:r>
    </w:p>
    <w:p w:rsidR="00191861" w:rsidRPr="00467F9C" w:rsidRDefault="00191861" w:rsidP="00191861">
      <w:pPr>
        <w:ind w:left="57" w:right="57" w:firstLine="651"/>
        <w:jc w:val="both"/>
        <w:rPr>
          <w:sz w:val="28"/>
          <w:szCs w:val="28"/>
        </w:rPr>
      </w:pPr>
      <w:r w:rsidRPr="00467F9C">
        <w:rPr>
          <w:sz w:val="28"/>
          <w:szCs w:val="28"/>
        </w:rPr>
        <w:t xml:space="preserve">- 58,53 млн. рублей в селе </w:t>
      </w:r>
      <w:proofErr w:type="spellStart"/>
      <w:r w:rsidRPr="00467F9C">
        <w:rPr>
          <w:sz w:val="28"/>
          <w:szCs w:val="28"/>
        </w:rPr>
        <w:t>Янракыннот</w:t>
      </w:r>
      <w:proofErr w:type="spellEnd"/>
      <w:r w:rsidRPr="00467F9C">
        <w:rPr>
          <w:sz w:val="28"/>
          <w:szCs w:val="28"/>
        </w:rPr>
        <w:t xml:space="preserve"> на выкуп 7 жилых помещений общей площадью не менее 314 </w:t>
      </w:r>
      <w:proofErr w:type="spellStart"/>
      <w:r w:rsidRPr="00467F9C">
        <w:rPr>
          <w:sz w:val="28"/>
          <w:szCs w:val="28"/>
        </w:rPr>
        <w:t>кв.м</w:t>
      </w:r>
      <w:proofErr w:type="spellEnd"/>
      <w:r w:rsidRPr="00467F9C">
        <w:rPr>
          <w:sz w:val="28"/>
          <w:szCs w:val="28"/>
        </w:rPr>
        <w:t>. стоимостью 58,6 млн. рублей и сроком исполнения – 01.12.2021г. Контракт подрядчиком не исполнен. По состоянию на 1 января 2022 года средства субсидии не использованы (58,53 млн. рублей);</w:t>
      </w:r>
    </w:p>
    <w:p w:rsidR="00191861" w:rsidRPr="00467F9C" w:rsidRDefault="00191861" w:rsidP="00191861">
      <w:pPr>
        <w:ind w:left="57" w:right="57"/>
        <w:jc w:val="both"/>
        <w:rPr>
          <w:sz w:val="28"/>
          <w:szCs w:val="28"/>
        </w:rPr>
      </w:pPr>
      <w:r w:rsidRPr="00467F9C">
        <w:rPr>
          <w:sz w:val="28"/>
          <w:szCs w:val="28"/>
        </w:rPr>
        <w:tab/>
        <w:t xml:space="preserve">- 37,03 млн. рублей в </w:t>
      </w:r>
      <w:proofErr w:type="spellStart"/>
      <w:r w:rsidRPr="00467F9C">
        <w:rPr>
          <w:sz w:val="28"/>
          <w:szCs w:val="28"/>
        </w:rPr>
        <w:t>сп</w:t>
      </w:r>
      <w:proofErr w:type="spellEnd"/>
      <w:r w:rsidRPr="00467F9C">
        <w:rPr>
          <w:sz w:val="28"/>
          <w:szCs w:val="28"/>
        </w:rPr>
        <w:t xml:space="preserve"> Уэлен на приобретение 16 жилых помещений площадью не менее 752 </w:t>
      </w:r>
      <w:proofErr w:type="spellStart"/>
      <w:r w:rsidRPr="00467F9C">
        <w:rPr>
          <w:sz w:val="28"/>
          <w:szCs w:val="28"/>
        </w:rPr>
        <w:t>кв.м</w:t>
      </w:r>
      <w:proofErr w:type="spellEnd"/>
      <w:r w:rsidRPr="00467F9C">
        <w:rPr>
          <w:sz w:val="28"/>
          <w:szCs w:val="28"/>
        </w:rPr>
        <w:t>., общей стоимостью 141,7 млн. рублей и сроком исполнения – 15.11.2023 года. По состоянию на 1 января 2022 года средства субсидии не использованы (37,03 млн. рублей).</w:t>
      </w:r>
    </w:p>
    <w:p w:rsidR="00191861" w:rsidRPr="00467F9C" w:rsidRDefault="00191861" w:rsidP="00191861">
      <w:pPr>
        <w:ind w:left="57" w:right="57"/>
        <w:jc w:val="both"/>
        <w:rPr>
          <w:sz w:val="28"/>
          <w:szCs w:val="28"/>
        </w:rPr>
      </w:pPr>
      <w:r w:rsidRPr="00467F9C">
        <w:rPr>
          <w:sz w:val="28"/>
          <w:szCs w:val="28"/>
        </w:rPr>
        <w:tab/>
        <w:t>Всего из перечисленных в 2021 году на реализацию РП 182,9 млн. рублей (кассовый расход) неиспользованные по состоянию на 01.01.2022г. бюджетные ассигнования составили 95,56 млн. рублей или 52,2%.</w:t>
      </w:r>
    </w:p>
    <w:p w:rsidR="00191861" w:rsidRPr="00467F9C" w:rsidRDefault="00191861" w:rsidP="00191861">
      <w:pPr>
        <w:ind w:left="57" w:right="57" w:firstLine="651"/>
        <w:jc w:val="both"/>
        <w:rPr>
          <w:rStyle w:val="afa"/>
          <w:sz w:val="28"/>
          <w:szCs w:val="28"/>
        </w:rPr>
      </w:pPr>
      <w:r w:rsidRPr="00467F9C">
        <w:rPr>
          <w:sz w:val="28"/>
          <w:szCs w:val="28"/>
        </w:rPr>
        <w:t xml:space="preserve">В 2021 году расторгнуты два муниципальных контракта, заключенных с НАО «ЧТК» на приобретение 27 жилых помещений в многоквартирных домах для переселения граждан из аварийного жилищного фонда в </w:t>
      </w:r>
      <w:proofErr w:type="spellStart"/>
      <w:r w:rsidRPr="00467F9C">
        <w:rPr>
          <w:sz w:val="28"/>
          <w:szCs w:val="28"/>
        </w:rPr>
        <w:t>с.Сиреники</w:t>
      </w:r>
      <w:proofErr w:type="spellEnd"/>
      <w:r w:rsidRPr="00467F9C">
        <w:rPr>
          <w:sz w:val="28"/>
          <w:szCs w:val="28"/>
        </w:rPr>
        <w:t xml:space="preserve"> на общую сумму 223,8 млн. рублей в связи с невозможностью строительства многоквартирных жилых домов на выделенных земельных участках по причине сложных геологических условий. Перечисленные авансовые платежи по муниципальным контрактам в общей сумме 67,1 млн. рублей (32,0 млн. рублей перечислено в 2020 году, 35,1 млн. рублей – в 2021 году) возвращены подрядчиком в бюджет.</w:t>
      </w:r>
    </w:p>
    <w:p w:rsidR="00191861" w:rsidRPr="00467F9C" w:rsidRDefault="00191861" w:rsidP="00191861">
      <w:pPr>
        <w:ind w:left="57" w:right="57"/>
        <w:jc w:val="both"/>
        <w:rPr>
          <w:sz w:val="28"/>
          <w:szCs w:val="28"/>
        </w:rPr>
      </w:pPr>
      <w:r w:rsidRPr="00467F9C">
        <w:rPr>
          <w:sz w:val="28"/>
          <w:szCs w:val="28"/>
        </w:rPr>
        <w:tab/>
        <w:t xml:space="preserve"> Счетная палата отмечает, что по итогам 2021 года достижение показателя результативности регионального проекта «Увеличение объема жилищного строительства не менее чем до 0,0012 </w:t>
      </w:r>
      <w:proofErr w:type="spellStart"/>
      <w:r w:rsidRPr="00467F9C">
        <w:rPr>
          <w:sz w:val="28"/>
          <w:szCs w:val="28"/>
        </w:rPr>
        <w:t>млн.кв</w:t>
      </w:r>
      <w:proofErr w:type="spellEnd"/>
      <w:r w:rsidRPr="00467F9C">
        <w:rPr>
          <w:sz w:val="28"/>
          <w:szCs w:val="28"/>
        </w:rPr>
        <w:t xml:space="preserve">. метров в год» составляет 280%. При этом, в отчетном периоде осуществлялось только авансирование подрядчиков по заключенным контрактам. Показатель достижения результатов РП включает в себя весь объем введенных жилых помещений на территории округа, отражаемый в форме федерального статистического наблюдения «Сведения о вводе в </w:t>
      </w:r>
      <w:r w:rsidRPr="00467F9C">
        <w:rPr>
          <w:sz w:val="28"/>
          <w:szCs w:val="28"/>
        </w:rPr>
        <w:lastRenderedPageBreak/>
        <w:t>эксплуатацию зданий и сооружений» и не взаимоувязан с реализацией данного регионального проекта.</w:t>
      </w:r>
    </w:p>
    <w:p w:rsidR="00191861" w:rsidRPr="00467F9C" w:rsidRDefault="00191861" w:rsidP="00191861">
      <w:pPr>
        <w:spacing w:before="80"/>
        <w:ind w:left="57" w:right="57"/>
        <w:jc w:val="both"/>
        <w:rPr>
          <w:sz w:val="28"/>
          <w:szCs w:val="28"/>
        </w:rPr>
      </w:pPr>
      <w:r w:rsidRPr="00467F9C">
        <w:rPr>
          <w:sz w:val="28"/>
          <w:szCs w:val="28"/>
        </w:rPr>
        <w:tab/>
      </w:r>
      <w:bookmarkEnd w:id="52"/>
      <w:r w:rsidRPr="00467F9C">
        <w:rPr>
          <w:b/>
          <w:sz w:val="28"/>
          <w:szCs w:val="28"/>
        </w:rPr>
        <w:t>2)</w:t>
      </w:r>
      <w:r w:rsidRPr="00467F9C">
        <w:rPr>
          <w:sz w:val="28"/>
          <w:szCs w:val="28"/>
        </w:rPr>
        <w:t xml:space="preserve"> На реализацию </w:t>
      </w:r>
      <w:r w:rsidRPr="00467F9C">
        <w:rPr>
          <w:b/>
          <w:sz w:val="28"/>
          <w:szCs w:val="28"/>
        </w:rPr>
        <w:t>РП «Формирование комфортной городской среды»</w:t>
      </w:r>
      <w:r w:rsidRPr="00467F9C">
        <w:rPr>
          <w:sz w:val="28"/>
          <w:szCs w:val="28"/>
        </w:rPr>
        <w:t xml:space="preserve"> на 2021 год предусмотрено (паспортом и СБР) и направлено 33,6 млн. рублей. Выполнение составило 13,6 млн. рублей (40,5%) - произведены работы по первому этапу благоустройства парка «Молодежный» в городе Анадырь.</w:t>
      </w:r>
    </w:p>
    <w:p w:rsidR="00191861" w:rsidRPr="00467F9C" w:rsidRDefault="00191861" w:rsidP="00191861">
      <w:pPr>
        <w:ind w:left="57" w:right="57" w:firstLine="651"/>
        <w:jc w:val="both"/>
        <w:rPr>
          <w:sz w:val="28"/>
          <w:szCs w:val="28"/>
        </w:rPr>
      </w:pPr>
      <w:r w:rsidRPr="00467F9C">
        <w:rPr>
          <w:sz w:val="28"/>
          <w:szCs w:val="28"/>
        </w:rPr>
        <w:t xml:space="preserve">В отчетном периоде с Администрацией городского округа </w:t>
      </w:r>
      <w:proofErr w:type="spellStart"/>
      <w:r w:rsidRPr="00467F9C">
        <w:rPr>
          <w:sz w:val="28"/>
          <w:szCs w:val="28"/>
        </w:rPr>
        <w:t>Певек</w:t>
      </w:r>
      <w:proofErr w:type="spellEnd"/>
      <w:r w:rsidRPr="00467F9C">
        <w:rPr>
          <w:sz w:val="28"/>
          <w:szCs w:val="28"/>
        </w:rPr>
        <w:t xml:space="preserve"> заключено соглашение о предоставлении иного межбюджетного трансферта, имеющего целевое назначение, на создание комфортной городской среды в малых городах и исторических поселениях – победителю Всероссийского конкурса лучших проектов создания комфортной городской среды в сумме 20,0 млн. рублей. Администрацией ГО </w:t>
      </w:r>
      <w:proofErr w:type="spellStart"/>
      <w:r w:rsidRPr="00467F9C">
        <w:rPr>
          <w:sz w:val="28"/>
          <w:szCs w:val="28"/>
        </w:rPr>
        <w:t>Певек</w:t>
      </w:r>
      <w:proofErr w:type="spellEnd"/>
      <w:r w:rsidRPr="00467F9C">
        <w:rPr>
          <w:sz w:val="28"/>
          <w:szCs w:val="28"/>
        </w:rPr>
        <w:t xml:space="preserve"> заключен муниципальный контракт на выполнение работ по благоустройству городской набережной в </w:t>
      </w:r>
      <w:proofErr w:type="spellStart"/>
      <w:r w:rsidRPr="00467F9C">
        <w:rPr>
          <w:sz w:val="28"/>
          <w:szCs w:val="28"/>
        </w:rPr>
        <w:t>г.Певек</w:t>
      </w:r>
      <w:proofErr w:type="spellEnd"/>
      <w:r w:rsidRPr="00467F9C">
        <w:rPr>
          <w:sz w:val="28"/>
          <w:szCs w:val="28"/>
        </w:rPr>
        <w:t>, который не исполнен в установленный срок из-за сложной навигационной ситуации (не доставлены стройматериалы). Направленные на реализацию РП бюджетные ассигнования в 2021 году в сумме 20,0 млн. рублей не использованы. Плановый результат показателя РП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не достигнут (план -1, факт - 0).</w:t>
      </w:r>
    </w:p>
    <w:p w:rsidR="00191861" w:rsidRPr="00467F9C" w:rsidRDefault="00191861" w:rsidP="00191861">
      <w:pPr>
        <w:ind w:left="57" w:right="57" w:firstLine="651"/>
        <w:jc w:val="both"/>
        <w:rPr>
          <w:sz w:val="28"/>
          <w:szCs w:val="28"/>
        </w:rPr>
      </w:pPr>
      <w:r w:rsidRPr="00467F9C">
        <w:rPr>
          <w:sz w:val="28"/>
          <w:szCs w:val="28"/>
        </w:rPr>
        <w:t>В 2020 году на реализацию регионального проекта из окружного бюджета направлены бюджетные средства в виде авансовых платежей на выполнение работ в 2021 году в объеме 58,1 млн. рублей на:</w:t>
      </w:r>
    </w:p>
    <w:p w:rsidR="00191861" w:rsidRPr="00467F9C" w:rsidRDefault="00191861" w:rsidP="00191861">
      <w:pPr>
        <w:ind w:left="57" w:right="57" w:firstLine="651"/>
        <w:jc w:val="both"/>
        <w:rPr>
          <w:sz w:val="28"/>
          <w:szCs w:val="28"/>
        </w:rPr>
      </w:pPr>
      <w:r w:rsidRPr="00467F9C">
        <w:rPr>
          <w:sz w:val="28"/>
          <w:szCs w:val="28"/>
        </w:rPr>
        <w:t xml:space="preserve">- обустройство общественной территории парк «Молодежный» (ГО Анадырь) в сумме 13,1 млн. рублей. Средства перечислены МБУ «Служба благоустройства». В 2021 году выполнены работы по изготовлению и доставке малых архитектурных форм (вазонов, урн) и по обустройству зоны отдыха на Верблюжьей горе в </w:t>
      </w:r>
      <w:proofErr w:type="spellStart"/>
      <w:r w:rsidRPr="00467F9C">
        <w:rPr>
          <w:sz w:val="28"/>
          <w:szCs w:val="28"/>
        </w:rPr>
        <w:t>г.Анадыре</w:t>
      </w:r>
      <w:proofErr w:type="spellEnd"/>
      <w:r w:rsidRPr="00467F9C">
        <w:rPr>
          <w:sz w:val="28"/>
          <w:szCs w:val="28"/>
        </w:rPr>
        <w:t xml:space="preserve"> на общую сумму 13,1 млн. рублей;</w:t>
      </w:r>
    </w:p>
    <w:p w:rsidR="00191861" w:rsidRPr="00467F9C" w:rsidRDefault="00191861" w:rsidP="00191861">
      <w:pPr>
        <w:ind w:left="57" w:right="57" w:firstLine="651"/>
        <w:jc w:val="both"/>
        <w:rPr>
          <w:sz w:val="28"/>
          <w:szCs w:val="28"/>
        </w:rPr>
      </w:pPr>
      <w:r w:rsidRPr="00467F9C">
        <w:rPr>
          <w:sz w:val="28"/>
          <w:szCs w:val="28"/>
        </w:rPr>
        <w:noBreakHyphen/>
        <w:t xml:space="preserve"> благоустройство городской Набережной ГО </w:t>
      </w:r>
      <w:proofErr w:type="spellStart"/>
      <w:r w:rsidRPr="00467F9C">
        <w:rPr>
          <w:sz w:val="28"/>
          <w:szCs w:val="28"/>
        </w:rPr>
        <w:t>Певек</w:t>
      </w:r>
      <w:proofErr w:type="spellEnd"/>
      <w:r w:rsidRPr="00467F9C">
        <w:rPr>
          <w:sz w:val="28"/>
          <w:szCs w:val="28"/>
        </w:rPr>
        <w:t xml:space="preserve"> в размере 45,0 млн. рублей – в 2021 году работы по благоустройству Набережной не выполнялись.</w:t>
      </w:r>
    </w:p>
    <w:p w:rsidR="00191861" w:rsidRPr="00467F9C" w:rsidRDefault="00191861" w:rsidP="00191861">
      <w:pPr>
        <w:ind w:left="57" w:right="57" w:firstLine="651"/>
        <w:jc w:val="both"/>
        <w:rPr>
          <w:sz w:val="28"/>
          <w:szCs w:val="28"/>
        </w:rPr>
      </w:pPr>
      <w:r w:rsidRPr="00467F9C">
        <w:rPr>
          <w:sz w:val="28"/>
          <w:szCs w:val="28"/>
        </w:rPr>
        <w:t>Таким образом, по состоянию на 1 января 2022 года не выполнены мероприятия регионального проекта, на которые в 2020 и 2021 годах были направлены бюджетные средства в общей сумме 65,0 млн. рублей.</w:t>
      </w:r>
    </w:p>
    <w:p w:rsidR="00191861" w:rsidRPr="00467F9C" w:rsidRDefault="00191861" w:rsidP="00191861">
      <w:pPr>
        <w:spacing w:before="80"/>
        <w:ind w:left="57" w:right="57" w:firstLine="652"/>
        <w:jc w:val="both"/>
        <w:rPr>
          <w:sz w:val="28"/>
          <w:szCs w:val="28"/>
        </w:rPr>
      </w:pPr>
      <w:r w:rsidRPr="00467F9C">
        <w:rPr>
          <w:b/>
          <w:sz w:val="28"/>
          <w:szCs w:val="28"/>
        </w:rPr>
        <w:t>3)</w:t>
      </w:r>
      <w:r w:rsidRPr="00467F9C">
        <w:rPr>
          <w:sz w:val="28"/>
          <w:szCs w:val="28"/>
        </w:rPr>
        <w:t xml:space="preserve"> На реализацию </w:t>
      </w:r>
      <w:r w:rsidRPr="00467F9C">
        <w:rPr>
          <w:b/>
          <w:sz w:val="28"/>
          <w:szCs w:val="28"/>
        </w:rPr>
        <w:t>РП «Обеспечение устойчивого сокращения непригодного для проживания жилищного фонда»</w:t>
      </w:r>
      <w:r w:rsidRPr="00467F9C">
        <w:rPr>
          <w:sz w:val="28"/>
          <w:szCs w:val="28"/>
        </w:rPr>
        <w:t xml:space="preserve"> паспортом и СБР предусмотрено в 2021 году 660,3 млн. рублей, из них 185,4 млн. рублей – средства ГК «ФСРЖКХ». </w:t>
      </w:r>
    </w:p>
    <w:p w:rsidR="00191861" w:rsidRPr="00467F9C" w:rsidRDefault="00191861" w:rsidP="00191861">
      <w:pPr>
        <w:ind w:left="57" w:right="57" w:firstLine="651"/>
        <w:jc w:val="both"/>
        <w:rPr>
          <w:sz w:val="28"/>
          <w:szCs w:val="28"/>
        </w:rPr>
      </w:pPr>
      <w:r w:rsidRPr="00467F9C">
        <w:rPr>
          <w:sz w:val="28"/>
          <w:szCs w:val="28"/>
        </w:rPr>
        <w:t>В отчетном периоде на реализацию регионального проекта направлено 649,1 млн. рублей (в том числе средства ГК «ФСРЖКХ» в размере 185,4 млн. рублей) на приобретение жилых помещений у застройщика, в том числе:</w:t>
      </w:r>
    </w:p>
    <w:p w:rsidR="00191861" w:rsidRPr="00467F9C" w:rsidRDefault="00191861" w:rsidP="00191861">
      <w:pPr>
        <w:ind w:left="57" w:right="57" w:firstLine="651"/>
        <w:jc w:val="both"/>
        <w:rPr>
          <w:sz w:val="28"/>
          <w:szCs w:val="28"/>
        </w:rPr>
      </w:pPr>
      <w:r w:rsidRPr="00467F9C">
        <w:rPr>
          <w:sz w:val="28"/>
          <w:szCs w:val="28"/>
        </w:rPr>
        <w:t>1. Перечислены авансовые платежи по муниципальным контрактам на приобретение:</w:t>
      </w:r>
    </w:p>
    <w:p w:rsidR="00191861" w:rsidRPr="00467F9C" w:rsidRDefault="00191861" w:rsidP="00191861">
      <w:pPr>
        <w:ind w:left="57" w:right="57" w:firstLine="651"/>
        <w:jc w:val="both"/>
        <w:rPr>
          <w:sz w:val="28"/>
          <w:szCs w:val="28"/>
        </w:rPr>
      </w:pPr>
      <w:r w:rsidRPr="00467F9C">
        <w:rPr>
          <w:sz w:val="28"/>
          <w:szCs w:val="28"/>
        </w:rPr>
        <w:t xml:space="preserve">- 59,2 млн. рублей – 24 квартир в </w:t>
      </w:r>
      <w:proofErr w:type="spellStart"/>
      <w:r w:rsidRPr="00467F9C">
        <w:rPr>
          <w:sz w:val="28"/>
          <w:szCs w:val="28"/>
        </w:rPr>
        <w:t>с.Снежное</w:t>
      </w:r>
      <w:proofErr w:type="spellEnd"/>
      <w:r w:rsidRPr="00467F9C">
        <w:rPr>
          <w:sz w:val="28"/>
          <w:szCs w:val="28"/>
        </w:rPr>
        <w:t xml:space="preserve"> стоимостью 198,3 млн. рублей, общей площадью не менее 1 132,9 </w:t>
      </w:r>
      <w:proofErr w:type="spellStart"/>
      <w:r w:rsidRPr="00467F9C">
        <w:rPr>
          <w:sz w:val="28"/>
          <w:szCs w:val="28"/>
        </w:rPr>
        <w:t>кв.м</w:t>
      </w:r>
      <w:proofErr w:type="spellEnd"/>
      <w:r w:rsidRPr="00467F9C">
        <w:rPr>
          <w:sz w:val="28"/>
          <w:szCs w:val="28"/>
        </w:rPr>
        <w:t xml:space="preserve"> и сроком исполнения до 31.12.2022г.;</w:t>
      </w:r>
    </w:p>
    <w:p w:rsidR="00191861" w:rsidRPr="00467F9C" w:rsidRDefault="00191861" w:rsidP="00191861">
      <w:pPr>
        <w:ind w:left="57" w:right="57" w:firstLine="651"/>
        <w:jc w:val="both"/>
        <w:rPr>
          <w:sz w:val="28"/>
          <w:szCs w:val="28"/>
        </w:rPr>
      </w:pPr>
      <w:r w:rsidRPr="00467F9C">
        <w:rPr>
          <w:sz w:val="28"/>
          <w:szCs w:val="28"/>
        </w:rPr>
        <w:t xml:space="preserve">- 58,5 млн. рублей – 24 квартир в </w:t>
      </w:r>
      <w:proofErr w:type="spellStart"/>
      <w:r w:rsidRPr="00467F9C">
        <w:rPr>
          <w:sz w:val="28"/>
          <w:szCs w:val="28"/>
        </w:rPr>
        <w:t>с.Снежное</w:t>
      </w:r>
      <w:proofErr w:type="spellEnd"/>
      <w:r w:rsidRPr="00467F9C">
        <w:rPr>
          <w:sz w:val="28"/>
          <w:szCs w:val="28"/>
        </w:rPr>
        <w:t xml:space="preserve"> стоимостью 196,0 млн. рублей, общей площадью не менее 1 120 </w:t>
      </w:r>
      <w:proofErr w:type="spellStart"/>
      <w:r w:rsidRPr="00467F9C">
        <w:rPr>
          <w:sz w:val="28"/>
          <w:szCs w:val="28"/>
        </w:rPr>
        <w:t>кв.м</w:t>
      </w:r>
      <w:proofErr w:type="spellEnd"/>
      <w:r w:rsidRPr="00467F9C">
        <w:rPr>
          <w:sz w:val="28"/>
          <w:szCs w:val="28"/>
        </w:rPr>
        <w:t xml:space="preserve"> и сроком исполнения до 31.12.2023г.;</w:t>
      </w:r>
    </w:p>
    <w:p w:rsidR="00191861" w:rsidRPr="00467F9C" w:rsidRDefault="00191861" w:rsidP="00191861">
      <w:pPr>
        <w:ind w:left="57" w:right="57" w:firstLine="651"/>
        <w:jc w:val="both"/>
        <w:rPr>
          <w:sz w:val="28"/>
          <w:szCs w:val="28"/>
        </w:rPr>
      </w:pPr>
      <w:r w:rsidRPr="00467F9C">
        <w:rPr>
          <w:sz w:val="28"/>
          <w:szCs w:val="28"/>
        </w:rPr>
        <w:lastRenderedPageBreak/>
        <w:t>- 63,9 млн. рублей – 26 жилых помещений с. </w:t>
      </w:r>
      <w:proofErr w:type="spellStart"/>
      <w:r w:rsidRPr="00467F9C">
        <w:rPr>
          <w:sz w:val="28"/>
          <w:szCs w:val="28"/>
        </w:rPr>
        <w:t>Нешкан</w:t>
      </w:r>
      <w:proofErr w:type="spellEnd"/>
      <w:r w:rsidRPr="00467F9C">
        <w:rPr>
          <w:sz w:val="28"/>
          <w:szCs w:val="28"/>
        </w:rPr>
        <w:t xml:space="preserve"> стоимостью 223,9 млн. рублей площадью не менее 1 092 </w:t>
      </w:r>
      <w:proofErr w:type="spellStart"/>
      <w:r w:rsidRPr="00467F9C">
        <w:rPr>
          <w:sz w:val="28"/>
          <w:szCs w:val="28"/>
        </w:rPr>
        <w:t>кв.м</w:t>
      </w:r>
      <w:proofErr w:type="spellEnd"/>
      <w:r w:rsidRPr="00467F9C">
        <w:rPr>
          <w:sz w:val="28"/>
          <w:szCs w:val="28"/>
        </w:rPr>
        <w:t xml:space="preserve">. и сроком исполнения до 01.12.2023г. </w:t>
      </w:r>
    </w:p>
    <w:p w:rsidR="00191861" w:rsidRPr="00467F9C" w:rsidRDefault="00191861" w:rsidP="00191861">
      <w:pPr>
        <w:ind w:left="57" w:right="57" w:firstLine="651"/>
        <w:jc w:val="both"/>
        <w:rPr>
          <w:sz w:val="28"/>
          <w:szCs w:val="28"/>
        </w:rPr>
      </w:pPr>
      <w:r w:rsidRPr="00467F9C">
        <w:rPr>
          <w:sz w:val="28"/>
          <w:szCs w:val="28"/>
        </w:rPr>
        <w:t>2. Перечислены субсидии администрациям муниципальных образований для оплаты муниципальных контрактов на общую сумму 467,5 млн. рублей, в том числе:</w:t>
      </w:r>
    </w:p>
    <w:p w:rsidR="00191861" w:rsidRPr="00467F9C" w:rsidRDefault="00191861" w:rsidP="00191861">
      <w:pPr>
        <w:ind w:left="57" w:right="57" w:firstLine="651"/>
        <w:jc w:val="both"/>
        <w:rPr>
          <w:sz w:val="28"/>
          <w:szCs w:val="28"/>
        </w:rPr>
      </w:pPr>
      <w:r w:rsidRPr="00467F9C">
        <w:rPr>
          <w:sz w:val="28"/>
          <w:szCs w:val="28"/>
        </w:rPr>
        <w:t>- </w:t>
      </w:r>
      <w:proofErr w:type="spellStart"/>
      <w:r w:rsidRPr="00467F9C">
        <w:rPr>
          <w:sz w:val="28"/>
          <w:szCs w:val="28"/>
        </w:rPr>
        <w:t>с.Усть</w:t>
      </w:r>
      <w:proofErr w:type="spellEnd"/>
      <w:r w:rsidRPr="00467F9C">
        <w:rPr>
          <w:sz w:val="28"/>
          <w:szCs w:val="28"/>
        </w:rPr>
        <w:t>-Белая в сумме 131,9 млн. рублей – муниципальный контракт на приобретение 26 жилых помещений стоимостью 187,89 млн. рублей, общей площадью не менее 1 478,9 </w:t>
      </w:r>
      <w:proofErr w:type="spellStart"/>
      <w:r w:rsidRPr="00467F9C">
        <w:rPr>
          <w:sz w:val="28"/>
          <w:szCs w:val="28"/>
        </w:rPr>
        <w:t>кв.м</w:t>
      </w:r>
      <w:proofErr w:type="spellEnd"/>
      <w:r w:rsidRPr="00467F9C">
        <w:rPr>
          <w:sz w:val="28"/>
          <w:szCs w:val="28"/>
        </w:rPr>
        <w:t xml:space="preserve"> и сроком исполнения в 2022 году. При этом, в 2020 году на реализацию муниципального контракта были перечислены авансовые платежи в сумме 55,0 млн. рублей. По состоянию на 1 января 2022 года средства субсидии не использованы (131,9 млн. рублей);</w:t>
      </w:r>
    </w:p>
    <w:p w:rsidR="00191861" w:rsidRPr="00467F9C" w:rsidRDefault="00191861" w:rsidP="00191861">
      <w:pPr>
        <w:ind w:left="57" w:right="57" w:firstLine="651"/>
        <w:jc w:val="both"/>
        <w:rPr>
          <w:sz w:val="28"/>
          <w:szCs w:val="28"/>
        </w:rPr>
      </w:pPr>
      <w:r w:rsidRPr="00467F9C">
        <w:rPr>
          <w:sz w:val="28"/>
          <w:szCs w:val="28"/>
        </w:rPr>
        <w:t>- с. </w:t>
      </w:r>
      <w:proofErr w:type="spellStart"/>
      <w:r w:rsidRPr="00467F9C">
        <w:rPr>
          <w:sz w:val="28"/>
          <w:szCs w:val="28"/>
        </w:rPr>
        <w:t>Анюйск</w:t>
      </w:r>
      <w:proofErr w:type="spellEnd"/>
      <w:r w:rsidRPr="00467F9C">
        <w:rPr>
          <w:sz w:val="28"/>
          <w:szCs w:val="28"/>
        </w:rPr>
        <w:t xml:space="preserve"> в сумме 127,6 млн. рублей – на приобретение жилых помещений. По состоянию на 1 января 2022 года средства субсидии не использованы (127,6 млн. рублей);</w:t>
      </w:r>
    </w:p>
    <w:p w:rsidR="00191861" w:rsidRPr="00467F9C" w:rsidRDefault="00191861" w:rsidP="00191861">
      <w:pPr>
        <w:pStyle w:val="af8"/>
        <w:ind w:firstLine="708"/>
        <w:jc w:val="both"/>
        <w:rPr>
          <w:sz w:val="28"/>
          <w:szCs w:val="28"/>
        </w:rPr>
      </w:pPr>
      <w:r w:rsidRPr="00467F9C">
        <w:rPr>
          <w:sz w:val="28"/>
          <w:szCs w:val="28"/>
        </w:rPr>
        <w:t xml:space="preserve">- с. Лаврентия в сумме 160,4 млн. рублей, из них по состоянию на 01.01.2022г. не использованные средства субсидии составили 89,3 млн. рублей. </w:t>
      </w:r>
    </w:p>
    <w:p w:rsidR="00191861" w:rsidRPr="00467F9C" w:rsidRDefault="00191861" w:rsidP="00191861">
      <w:pPr>
        <w:pStyle w:val="af8"/>
        <w:ind w:firstLine="708"/>
        <w:jc w:val="both"/>
        <w:rPr>
          <w:sz w:val="28"/>
          <w:szCs w:val="28"/>
        </w:rPr>
      </w:pPr>
      <w:r w:rsidRPr="00467F9C">
        <w:rPr>
          <w:sz w:val="28"/>
          <w:szCs w:val="28"/>
        </w:rPr>
        <w:t>В 2021 году Администрацией сельского поселения Лаврентия направлено 71,1 млн. рублей на оплату двух муниципальных контрактов:</w:t>
      </w:r>
    </w:p>
    <w:p w:rsidR="00191861" w:rsidRPr="00467F9C" w:rsidRDefault="00191861" w:rsidP="00191861">
      <w:pPr>
        <w:pStyle w:val="af8"/>
        <w:ind w:firstLine="708"/>
        <w:jc w:val="both"/>
        <w:rPr>
          <w:rFonts w:eastAsia="Calibri"/>
          <w:sz w:val="28"/>
          <w:szCs w:val="28"/>
        </w:rPr>
      </w:pPr>
      <w:r w:rsidRPr="00467F9C">
        <w:rPr>
          <w:sz w:val="28"/>
          <w:szCs w:val="28"/>
        </w:rPr>
        <w:t xml:space="preserve">61,6 млн. рублей – для оплаты за фактически выполненные работы по муниципальному контракту стоимостью 184,8 млн. рублей на приобретение 28 жилых помещений площадью не менее 1 173,4 </w:t>
      </w:r>
      <w:proofErr w:type="spellStart"/>
      <w:r w:rsidRPr="00467F9C">
        <w:rPr>
          <w:sz w:val="28"/>
          <w:szCs w:val="28"/>
        </w:rPr>
        <w:t>кв.м</w:t>
      </w:r>
      <w:proofErr w:type="spellEnd"/>
      <w:r w:rsidRPr="00467F9C">
        <w:rPr>
          <w:sz w:val="28"/>
          <w:szCs w:val="28"/>
        </w:rPr>
        <w:t>. В 2020 году из окружного бюджета также были направлены бюджетные средства в виде авансовых платежей по данному контракту</w:t>
      </w:r>
      <w:r w:rsidRPr="00467F9C">
        <w:rPr>
          <w:rFonts w:eastAsia="Calibri"/>
          <w:sz w:val="28"/>
          <w:szCs w:val="28"/>
        </w:rPr>
        <w:t xml:space="preserve"> 55,2 млн рублей. По состоянию на 01.01.2022 года фактическое выполнение Подрядчиком работ по муниципальному контракту за счет всех источников финансирования составило 88,4</w:t>
      </w:r>
      <w:r w:rsidRPr="00467F9C">
        <w:rPr>
          <w:rStyle w:val="ab"/>
          <w:rFonts w:eastAsia="Calibri"/>
          <w:sz w:val="28"/>
          <w:szCs w:val="28"/>
        </w:rPr>
        <w:footnoteReference w:id="124"/>
      </w:r>
      <w:r w:rsidRPr="00467F9C">
        <w:rPr>
          <w:rFonts w:eastAsia="Calibri"/>
          <w:sz w:val="28"/>
          <w:szCs w:val="28"/>
        </w:rPr>
        <w:t xml:space="preserve"> млн. рублей (из них 26,8 млн. рублей – зачтен аванс 2020 года), расселено 37 человек (12 семей), проживающих на 505,7 </w:t>
      </w:r>
      <w:proofErr w:type="spellStart"/>
      <w:r w:rsidRPr="00467F9C">
        <w:rPr>
          <w:rFonts w:eastAsia="Calibri"/>
          <w:sz w:val="28"/>
          <w:szCs w:val="28"/>
        </w:rPr>
        <w:t>кв.м</w:t>
      </w:r>
      <w:proofErr w:type="spellEnd"/>
      <w:r w:rsidRPr="00467F9C">
        <w:rPr>
          <w:rFonts w:eastAsia="Calibri"/>
          <w:sz w:val="28"/>
          <w:szCs w:val="28"/>
        </w:rPr>
        <w:t>. аварийного жилья, контракт исполнен частично;</w:t>
      </w:r>
    </w:p>
    <w:p w:rsidR="00191861" w:rsidRPr="00467F9C" w:rsidRDefault="00191861" w:rsidP="00191861">
      <w:pPr>
        <w:pStyle w:val="af8"/>
        <w:ind w:firstLine="708"/>
        <w:jc w:val="both"/>
        <w:rPr>
          <w:sz w:val="28"/>
          <w:szCs w:val="28"/>
        </w:rPr>
      </w:pPr>
      <w:r w:rsidRPr="00467F9C">
        <w:rPr>
          <w:sz w:val="28"/>
          <w:szCs w:val="28"/>
        </w:rPr>
        <w:t xml:space="preserve">9,5 млн. рублей для оплаты аванса по муниципальному контракту стоимостью 31,7 млн. рублей на приобретение 6 квартир в жилых домах у застройщика площадью 201 </w:t>
      </w:r>
      <w:proofErr w:type="spellStart"/>
      <w:r w:rsidRPr="00467F9C">
        <w:rPr>
          <w:sz w:val="28"/>
          <w:szCs w:val="28"/>
        </w:rPr>
        <w:t>кв.м</w:t>
      </w:r>
      <w:proofErr w:type="spellEnd"/>
      <w:r w:rsidRPr="00467F9C">
        <w:rPr>
          <w:sz w:val="28"/>
          <w:szCs w:val="28"/>
        </w:rPr>
        <w:t>. В ходе экспертно-аналитического мероприятия Счетной палатой установлено, что в феврале 2022 года муниципальный контракт расторгнут по соглашению сторон, сумма авансового платежа 9,5 млн. рублей возвращена подрядчиком в муниципальный бюджет в январе 2022 года.</w:t>
      </w:r>
    </w:p>
    <w:p w:rsidR="00191861" w:rsidRPr="00467F9C" w:rsidRDefault="00191861" w:rsidP="00191861">
      <w:pPr>
        <w:ind w:left="57" w:right="57" w:firstLine="652"/>
        <w:jc w:val="both"/>
        <w:rPr>
          <w:sz w:val="28"/>
          <w:szCs w:val="28"/>
        </w:rPr>
      </w:pPr>
      <w:r w:rsidRPr="00467F9C">
        <w:rPr>
          <w:sz w:val="28"/>
          <w:szCs w:val="28"/>
        </w:rPr>
        <w:t xml:space="preserve">- с. Уэлен в сумме 47,6 млн. рублей – муниципальный контракт стоимостью 223,9 млн. рублей на приобретение 16 жилых помещений площадью не менее 864 </w:t>
      </w:r>
      <w:proofErr w:type="spellStart"/>
      <w:r w:rsidRPr="00467F9C">
        <w:rPr>
          <w:sz w:val="28"/>
          <w:szCs w:val="28"/>
        </w:rPr>
        <w:t>кв.м</w:t>
      </w:r>
      <w:proofErr w:type="spellEnd"/>
      <w:r w:rsidRPr="00467F9C">
        <w:rPr>
          <w:sz w:val="28"/>
          <w:szCs w:val="28"/>
        </w:rPr>
        <w:t xml:space="preserve"> и сроком исполнения - 2023г. По состоянию на 1 января 2022 года средства субсидии не использованы (47,6 млн. рублей).</w:t>
      </w:r>
    </w:p>
    <w:p w:rsidR="00191861" w:rsidRPr="00467F9C" w:rsidRDefault="00191861" w:rsidP="00191861">
      <w:pPr>
        <w:ind w:left="57" w:right="57" w:firstLine="651"/>
        <w:jc w:val="both"/>
        <w:rPr>
          <w:sz w:val="28"/>
          <w:szCs w:val="28"/>
        </w:rPr>
      </w:pPr>
      <w:r w:rsidRPr="00467F9C">
        <w:rPr>
          <w:sz w:val="28"/>
          <w:szCs w:val="28"/>
        </w:rPr>
        <w:t xml:space="preserve">Таким образом, фактическое выполнение мероприятий регионального проекта в отчетном периоде составило 88,4 млн. рублей (из них 26,8 млн. рублей – за счет средств 2020 года). По состоянию на 01.01.2022г. 190,8 млн. рублей направлено муниципальными образованиями поставщикам, подрядчикам в виде авансовых платежей по муниципальным контрактам. Неиспользованные средства субсидии по состоянию на 1 января 2022 года составили 396,4 млн. рублей или 61,1 % от полученного финансирования. </w:t>
      </w:r>
    </w:p>
    <w:p w:rsidR="00191861" w:rsidRPr="00467F9C" w:rsidRDefault="00191861" w:rsidP="00191861">
      <w:pPr>
        <w:ind w:left="57" w:right="57" w:firstLine="651"/>
        <w:jc w:val="both"/>
        <w:rPr>
          <w:bCs/>
          <w:sz w:val="28"/>
          <w:szCs w:val="28"/>
        </w:rPr>
      </w:pPr>
      <w:r w:rsidRPr="00467F9C">
        <w:rPr>
          <w:sz w:val="28"/>
          <w:szCs w:val="28"/>
        </w:rPr>
        <w:lastRenderedPageBreak/>
        <w:t>В 2021 году Счетной палатой проведена п</w:t>
      </w:r>
      <w:r w:rsidRPr="00467F9C">
        <w:rPr>
          <w:bCs/>
          <w:sz w:val="28"/>
          <w:szCs w:val="28"/>
        </w:rPr>
        <w:t>роверка использования бюджетных средств, направленных в 2020 году и истекшем периоде 2021 года</w:t>
      </w:r>
      <w:r w:rsidRPr="00467F9C">
        <w:rPr>
          <w:b/>
          <w:bCs/>
          <w:sz w:val="28"/>
          <w:szCs w:val="28"/>
        </w:rPr>
        <w:t xml:space="preserve"> </w:t>
      </w:r>
      <w:r w:rsidRPr="00467F9C">
        <w:rPr>
          <w:bCs/>
          <w:sz w:val="28"/>
          <w:szCs w:val="28"/>
        </w:rPr>
        <w:t xml:space="preserve">на реализацию РП «Обеспечение устойчивого сокращения непригодного для проживания жилищного фонда в Чукотском автономном округе». Установлено, что из предусмотренных к расселению 149 человек с расселяемой площади 2 490,0 кв. м расселено 47 человек (30,2%) с общей площади аварийного жилья 718,6 кв. м (28,9%). На момент проведения проверки ни один этап Регионального проекта (этапа 2020-2021 годов и этапа 2021-2022 годов) не завершен. Мероприятия по расселению граждан из аварийного жилья продолжаются. </w:t>
      </w:r>
    </w:p>
    <w:p w:rsidR="00191861" w:rsidRPr="00467F9C" w:rsidRDefault="00191861" w:rsidP="00191861">
      <w:pPr>
        <w:ind w:left="57" w:right="57" w:firstLine="651"/>
        <w:jc w:val="both"/>
        <w:rPr>
          <w:bCs/>
          <w:sz w:val="28"/>
          <w:szCs w:val="28"/>
        </w:rPr>
      </w:pPr>
      <w:r w:rsidRPr="00467F9C">
        <w:rPr>
          <w:bCs/>
          <w:sz w:val="28"/>
          <w:szCs w:val="28"/>
        </w:rPr>
        <w:t xml:space="preserve">По результатам проведения контрольного мероприятия выявлено 11 нарушений требований Федерального закона №44-ФЗ (из них 10 нарушений, имеющих финансовую оценку 1,0 млн. рублей) и недостатки (3 единицы), связанные с отражением показателей в Паспорте Регионального проекта. </w:t>
      </w:r>
    </w:p>
    <w:p w:rsidR="00191861" w:rsidRPr="00467F9C" w:rsidRDefault="00191861" w:rsidP="00191861">
      <w:pPr>
        <w:spacing w:before="80"/>
        <w:ind w:left="57" w:right="57" w:firstLine="652"/>
        <w:jc w:val="both"/>
        <w:rPr>
          <w:sz w:val="28"/>
          <w:szCs w:val="28"/>
        </w:rPr>
      </w:pPr>
      <w:r w:rsidRPr="00467F9C">
        <w:rPr>
          <w:b/>
          <w:sz w:val="28"/>
          <w:szCs w:val="28"/>
        </w:rPr>
        <w:t>4)</w:t>
      </w:r>
      <w:r w:rsidRPr="00467F9C">
        <w:rPr>
          <w:sz w:val="28"/>
          <w:szCs w:val="28"/>
        </w:rPr>
        <w:t xml:space="preserve"> С 2021 года в рамках НП «Жильё и городская среда» на территории Чукотского автономного округа действует </w:t>
      </w:r>
      <w:r w:rsidRPr="00467F9C">
        <w:rPr>
          <w:b/>
          <w:sz w:val="28"/>
          <w:szCs w:val="28"/>
        </w:rPr>
        <w:t>РП «Чистая вода»</w:t>
      </w:r>
      <w:r w:rsidRPr="00467F9C">
        <w:rPr>
          <w:sz w:val="28"/>
          <w:szCs w:val="28"/>
        </w:rPr>
        <w:t xml:space="preserve"> с объемом финансового обеспечения на весь период реализации 194,5 млн. рублей, из них на 2021 год утверждено паспортом РП и СБР 27,0 млн. рублей (средства окружного бюджета) – средства в полном объеме предоставлены Администрации Чукотского муниципального района на завершение мероприятий по объекту «Реконструкция резервуаров чистой воды в с. Лаврентия Чукотского АО». Заказчиком работ по объекту определен МУП «Айсберг». В течение 2021 года заказчиком неоднократно проводились закупочные процедуры, которые были признаны не состоявшимися. Мероприятие в отчетном году не выполнялось. Средства в сумме 27,0 млн. рублей в январе 2022 года возвращены в окружной бюджет. </w:t>
      </w:r>
    </w:p>
    <w:p w:rsidR="00191861" w:rsidRPr="00467F9C" w:rsidRDefault="00191861" w:rsidP="00191861">
      <w:pPr>
        <w:ind w:left="57" w:right="57" w:firstLine="651"/>
        <w:jc w:val="both"/>
        <w:rPr>
          <w:sz w:val="28"/>
          <w:szCs w:val="28"/>
        </w:rPr>
      </w:pPr>
      <w:r w:rsidRPr="00467F9C">
        <w:rPr>
          <w:sz w:val="28"/>
          <w:szCs w:val="28"/>
        </w:rPr>
        <w:t>Риск невыполнения показателя результативности отражен в Отчете о ходе реализации регионального проекта.</w:t>
      </w:r>
    </w:p>
    <w:p w:rsidR="00191861" w:rsidRPr="00467F9C" w:rsidRDefault="00191861" w:rsidP="00191861">
      <w:pPr>
        <w:spacing w:before="120"/>
        <w:ind w:left="57" w:right="57" w:firstLine="652"/>
        <w:jc w:val="both"/>
        <w:rPr>
          <w:sz w:val="28"/>
          <w:szCs w:val="28"/>
        </w:rPr>
      </w:pPr>
      <w:r w:rsidRPr="00467F9C">
        <w:rPr>
          <w:b/>
          <w:sz w:val="28"/>
          <w:szCs w:val="28"/>
        </w:rPr>
        <w:t>2.5.</w:t>
      </w:r>
      <w:r w:rsidRPr="00467F9C">
        <w:rPr>
          <w:sz w:val="28"/>
          <w:szCs w:val="28"/>
        </w:rPr>
        <w:t xml:space="preserve"> В рамках национального проекта </w:t>
      </w:r>
      <w:r w:rsidRPr="00467F9C">
        <w:rPr>
          <w:b/>
          <w:sz w:val="28"/>
          <w:szCs w:val="28"/>
        </w:rPr>
        <w:t>«Экология»</w:t>
      </w:r>
      <w:r w:rsidRPr="00467F9C">
        <w:rPr>
          <w:sz w:val="28"/>
          <w:szCs w:val="28"/>
        </w:rPr>
        <w:t xml:space="preserve"> на территории Чукотского автономного округа реализуются четыре региональных проекта, мероприятия которых интегрированы в три государственные программы Чукотского автономного округа. </w:t>
      </w:r>
    </w:p>
    <w:p w:rsidR="00191861" w:rsidRPr="00467F9C" w:rsidRDefault="00191861" w:rsidP="00191861">
      <w:pPr>
        <w:ind w:left="57" w:right="57" w:firstLine="651"/>
        <w:jc w:val="both"/>
        <w:rPr>
          <w:sz w:val="28"/>
          <w:szCs w:val="28"/>
        </w:rPr>
      </w:pPr>
      <w:r w:rsidRPr="00467F9C">
        <w:rPr>
          <w:sz w:val="28"/>
          <w:szCs w:val="28"/>
        </w:rPr>
        <w:t>В 2021 году на реализацию РП СБР утверждены бюджетные ассигнования в объеме 15,7 млн. рублей</w:t>
      </w:r>
      <w:r w:rsidRPr="00467F9C">
        <w:rPr>
          <w:rStyle w:val="ab"/>
          <w:sz w:val="28"/>
          <w:szCs w:val="28"/>
        </w:rPr>
        <w:footnoteReference w:id="125"/>
      </w:r>
      <w:r w:rsidRPr="00467F9C">
        <w:rPr>
          <w:sz w:val="28"/>
          <w:szCs w:val="28"/>
        </w:rPr>
        <w:t>, направлено на их реализацию 15,13 млн. рублей или 96,4% от утвержденных СБР ассигнований. Выполнение составило 100% от полученного финансирования (рис.6).</w:t>
      </w:r>
    </w:p>
    <w:p w:rsidR="00191861" w:rsidRPr="00467F9C" w:rsidRDefault="00191861" w:rsidP="00191861">
      <w:pPr>
        <w:ind w:left="57" w:right="57"/>
        <w:jc w:val="both"/>
        <w:rPr>
          <w:sz w:val="28"/>
          <w:szCs w:val="28"/>
        </w:rPr>
      </w:pPr>
      <w:r w:rsidRPr="00467F9C">
        <w:rPr>
          <w:sz w:val="28"/>
          <w:szCs w:val="28"/>
        </w:rPr>
        <w:tab/>
      </w:r>
      <w:r w:rsidRPr="00467F9C">
        <w:rPr>
          <w:sz w:val="28"/>
          <w:szCs w:val="28"/>
        </w:rPr>
        <w:tab/>
        <w:t xml:space="preserve">                                     </w:t>
      </w:r>
      <w:r w:rsidRPr="00467F9C">
        <w:rPr>
          <w:sz w:val="28"/>
          <w:szCs w:val="28"/>
        </w:rPr>
        <w:tab/>
        <w:t xml:space="preserve"> </w:t>
      </w:r>
    </w:p>
    <w:p w:rsidR="00191861" w:rsidRPr="00467F9C" w:rsidRDefault="00191861" w:rsidP="00191861">
      <w:pPr>
        <w:ind w:left="57" w:right="57"/>
        <w:jc w:val="center"/>
        <w:rPr>
          <w:sz w:val="28"/>
          <w:szCs w:val="28"/>
          <w:highlight w:val="yellow"/>
        </w:rPr>
      </w:pPr>
      <w:r w:rsidRPr="00467F9C">
        <w:rPr>
          <w:noProof/>
          <w:sz w:val="28"/>
          <w:szCs w:val="28"/>
        </w:rPr>
        <w:drawing>
          <wp:inline distT="0" distB="0" distL="0" distR="0" wp14:anchorId="15D53C8E" wp14:editId="3080E33C">
            <wp:extent cx="5607685" cy="968188"/>
            <wp:effectExtent l="0" t="0" r="12065" b="3810"/>
            <wp:docPr id="24" name="Диаграмма 2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54C6842-329A-429E-A8E4-4AB57E73EE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91861" w:rsidRPr="00467F9C" w:rsidRDefault="00191861" w:rsidP="00191861">
      <w:pPr>
        <w:ind w:right="57"/>
        <w:jc w:val="center"/>
      </w:pPr>
      <w:r w:rsidRPr="00467F9C">
        <w:t>Рис. 6 (млн. рублей)</w:t>
      </w:r>
    </w:p>
    <w:p w:rsidR="00191861" w:rsidRPr="00467F9C" w:rsidRDefault="00191861" w:rsidP="00191861">
      <w:pPr>
        <w:ind w:left="57" w:right="57"/>
        <w:jc w:val="both"/>
        <w:rPr>
          <w:sz w:val="6"/>
          <w:szCs w:val="6"/>
        </w:rPr>
      </w:pPr>
    </w:p>
    <w:p w:rsidR="00191861" w:rsidRPr="00467F9C" w:rsidRDefault="00191861" w:rsidP="00191861">
      <w:pPr>
        <w:ind w:left="57" w:right="57" w:firstLine="651"/>
        <w:jc w:val="both"/>
        <w:rPr>
          <w:sz w:val="28"/>
          <w:szCs w:val="28"/>
        </w:rPr>
      </w:pPr>
      <w:r w:rsidRPr="00467F9C">
        <w:rPr>
          <w:sz w:val="28"/>
          <w:szCs w:val="28"/>
        </w:rPr>
        <w:lastRenderedPageBreak/>
        <w:t>Анализ отчетов о ходе реализации региональных проектов за 2021 год и сведений, предоставленных Департаментом природных ресурсов и экологии Чукотского автономного округа, показал следующее.</w:t>
      </w:r>
    </w:p>
    <w:p w:rsidR="00191861" w:rsidRPr="00467F9C" w:rsidRDefault="00191861" w:rsidP="00191861">
      <w:pPr>
        <w:spacing w:before="80"/>
        <w:ind w:left="57" w:right="57" w:firstLine="652"/>
        <w:jc w:val="both"/>
        <w:rPr>
          <w:sz w:val="28"/>
          <w:szCs w:val="28"/>
        </w:rPr>
      </w:pPr>
      <w:r w:rsidRPr="00467F9C">
        <w:rPr>
          <w:b/>
          <w:sz w:val="28"/>
          <w:szCs w:val="28"/>
        </w:rPr>
        <w:t>1)</w:t>
      </w:r>
      <w:r w:rsidRPr="00467F9C">
        <w:rPr>
          <w:sz w:val="28"/>
          <w:szCs w:val="28"/>
        </w:rPr>
        <w:t> </w:t>
      </w:r>
      <w:proofErr w:type="gramStart"/>
      <w:r w:rsidRPr="00467F9C">
        <w:rPr>
          <w:sz w:val="28"/>
          <w:szCs w:val="28"/>
        </w:rPr>
        <w:t>В</w:t>
      </w:r>
      <w:proofErr w:type="gramEnd"/>
      <w:r w:rsidRPr="00467F9C">
        <w:rPr>
          <w:sz w:val="28"/>
          <w:szCs w:val="28"/>
        </w:rPr>
        <w:t xml:space="preserve"> рамках </w:t>
      </w:r>
      <w:r w:rsidRPr="00467F9C">
        <w:rPr>
          <w:b/>
          <w:sz w:val="28"/>
          <w:szCs w:val="28"/>
        </w:rPr>
        <w:t xml:space="preserve">РП «Сохранение лесов» </w:t>
      </w:r>
      <w:r w:rsidRPr="00467F9C">
        <w:rPr>
          <w:sz w:val="28"/>
          <w:szCs w:val="28"/>
        </w:rPr>
        <w:t xml:space="preserve">направлено и исполнено 7,7 млн. рублей или 100% от утвержденных СБР бюджетных ассигнований на оснащение ГАУ Чукотского автономного округа «База авиационной охраны лесов» </w:t>
      </w:r>
      <w:proofErr w:type="spellStart"/>
      <w:r w:rsidRPr="00467F9C">
        <w:rPr>
          <w:sz w:val="28"/>
          <w:szCs w:val="28"/>
        </w:rPr>
        <w:t>лесопожарной</w:t>
      </w:r>
      <w:proofErr w:type="spellEnd"/>
      <w:r w:rsidRPr="00467F9C">
        <w:rPr>
          <w:sz w:val="28"/>
          <w:szCs w:val="28"/>
        </w:rPr>
        <w:t xml:space="preserve"> техникой и оборудованием для проведения комплекса мероприятий по охране лесов от пожаров. </w:t>
      </w:r>
    </w:p>
    <w:p w:rsidR="00191861" w:rsidRPr="00467F9C" w:rsidRDefault="00191861" w:rsidP="00191861">
      <w:pPr>
        <w:ind w:left="57" w:right="57" w:firstLine="651"/>
        <w:jc w:val="both"/>
        <w:rPr>
          <w:sz w:val="28"/>
          <w:szCs w:val="28"/>
        </w:rPr>
      </w:pPr>
      <w:r w:rsidRPr="00467F9C">
        <w:rPr>
          <w:sz w:val="28"/>
          <w:szCs w:val="28"/>
        </w:rPr>
        <w:t xml:space="preserve">Отмечается недостижение установленных значений показателя «Ущерб от лесных пожаров» (фактическое значение составило 0,1329 млрд. рублей при плане 0,0005 млрд. рублей) – показатель является результатом стихийного непрогнозируемого природного явления и не достигнут в связи с высокой </w:t>
      </w:r>
      <w:proofErr w:type="spellStart"/>
      <w:r w:rsidRPr="00467F9C">
        <w:rPr>
          <w:sz w:val="28"/>
          <w:szCs w:val="28"/>
        </w:rPr>
        <w:t>горимостью</w:t>
      </w:r>
      <w:proofErr w:type="spellEnd"/>
      <w:r w:rsidRPr="00467F9C">
        <w:rPr>
          <w:sz w:val="28"/>
          <w:szCs w:val="28"/>
        </w:rPr>
        <w:t>, вызванной аномальными погодными условиями  (высокие температуры, ветреная погода, прохождение грозовых фронтов с малым количеством осадков) и недостаточностью финансирования на начало пожарного сезона, на тушение лесных пожаров.</w:t>
      </w:r>
    </w:p>
    <w:p w:rsidR="00191861" w:rsidRPr="00467F9C" w:rsidRDefault="00191861" w:rsidP="00191861">
      <w:pPr>
        <w:ind w:left="57" w:right="57" w:firstLine="651"/>
        <w:jc w:val="both"/>
        <w:rPr>
          <w:sz w:val="28"/>
          <w:szCs w:val="28"/>
        </w:rPr>
      </w:pPr>
      <w:r w:rsidRPr="00467F9C">
        <w:rPr>
          <w:sz w:val="28"/>
          <w:szCs w:val="28"/>
        </w:rPr>
        <w:t xml:space="preserve">Недостижение планового результата показателя «Оснащены специализированные учреждения органов государственной власти субъектов Российской Федерации </w:t>
      </w:r>
      <w:proofErr w:type="spellStart"/>
      <w:r w:rsidRPr="00467F9C">
        <w:rPr>
          <w:sz w:val="28"/>
          <w:szCs w:val="28"/>
        </w:rPr>
        <w:t>лесопожарной</w:t>
      </w:r>
      <w:proofErr w:type="spellEnd"/>
      <w:r w:rsidRPr="00467F9C">
        <w:rPr>
          <w:sz w:val="28"/>
          <w:szCs w:val="28"/>
        </w:rPr>
        <w:t xml:space="preserve"> техникой для проведения комплекса мероприятий по охране лесов от пожаров, %» (факт 79,2% при плане 87%) связано с недостаточным объемом субвенций из федерального бюджета, установлением нормативов обеспеченности </w:t>
      </w:r>
      <w:proofErr w:type="spellStart"/>
      <w:r w:rsidRPr="00467F9C">
        <w:rPr>
          <w:sz w:val="28"/>
          <w:szCs w:val="28"/>
        </w:rPr>
        <w:t>лесопожарной</w:t>
      </w:r>
      <w:proofErr w:type="spellEnd"/>
      <w:r w:rsidRPr="00467F9C">
        <w:rPr>
          <w:sz w:val="28"/>
          <w:szCs w:val="28"/>
        </w:rPr>
        <w:t xml:space="preserve"> техникой без учета специфики региона.</w:t>
      </w:r>
    </w:p>
    <w:p w:rsidR="00191861" w:rsidRPr="00467F9C" w:rsidRDefault="00191861" w:rsidP="00191861">
      <w:pPr>
        <w:spacing w:before="80"/>
        <w:ind w:left="57" w:right="57" w:firstLine="652"/>
        <w:jc w:val="both"/>
        <w:rPr>
          <w:sz w:val="28"/>
          <w:szCs w:val="28"/>
        </w:rPr>
      </w:pPr>
      <w:r w:rsidRPr="00467F9C">
        <w:rPr>
          <w:b/>
          <w:sz w:val="28"/>
          <w:szCs w:val="28"/>
        </w:rPr>
        <w:t>2)</w:t>
      </w:r>
      <w:r w:rsidRPr="00467F9C">
        <w:rPr>
          <w:sz w:val="28"/>
          <w:szCs w:val="28"/>
        </w:rPr>
        <w:t xml:space="preserve"> По </w:t>
      </w:r>
      <w:r w:rsidRPr="00467F9C">
        <w:rPr>
          <w:b/>
          <w:sz w:val="28"/>
          <w:szCs w:val="28"/>
        </w:rPr>
        <w:t>РП «Чистая страна»</w:t>
      </w:r>
      <w:r w:rsidRPr="00467F9C">
        <w:rPr>
          <w:sz w:val="28"/>
          <w:szCs w:val="28"/>
        </w:rPr>
        <w:t xml:space="preserve"> СБР утверждены бюджетные ассигнования в объеме 5,0 млн. рублей реализацию мероприятия «возмещение затрат по перевозке контейнеров с отходами черных металлов», которое не предусмотрено паспортом РП. </w:t>
      </w:r>
    </w:p>
    <w:p w:rsidR="00191861" w:rsidRPr="00467F9C" w:rsidRDefault="00191861" w:rsidP="00191861">
      <w:pPr>
        <w:ind w:left="57" w:right="57" w:firstLine="651"/>
        <w:jc w:val="both"/>
        <w:rPr>
          <w:sz w:val="28"/>
          <w:szCs w:val="28"/>
        </w:rPr>
      </w:pPr>
      <w:r w:rsidRPr="00467F9C">
        <w:rPr>
          <w:sz w:val="28"/>
          <w:szCs w:val="28"/>
        </w:rPr>
        <w:t xml:space="preserve">В 2021 году предоставлена субсидия на возмещение затрат по перевозке контейнеров с отходами черных металлов на сумму 4,24 млн. рублей, с территории округа вывезено 2 544 тонны отходов лома черных металлов. </w:t>
      </w:r>
    </w:p>
    <w:p w:rsidR="00191861" w:rsidRPr="00467F9C" w:rsidRDefault="00191861" w:rsidP="00191861">
      <w:pPr>
        <w:ind w:left="57" w:right="57" w:firstLine="651"/>
        <w:jc w:val="both"/>
        <w:rPr>
          <w:sz w:val="28"/>
          <w:szCs w:val="28"/>
        </w:rPr>
      </w:pPr>
      <w:r w:rsidRPr="00467F9C">
        <w:rPr>
          <w:sz w:val="28"/>
          <w:szCs w:val="28"/>
        </w:rPr>
        <w:t xml:space="preserve">Паспортом РП предусмотрено на 2021 год финансирование мероприятий по ликвидации несанкционированных свалок на сумму 4,77 млн. рублей. Мероприятие в отчетном году не выполнялось в связи с отказом в одностороннем порядке Администрации городского округа Анадырь от исполнения муниципального контракта, заключенного с ООО «СПК Габион» на производство работ по рекультивации санкционированной свалки ТКО на территории Анадырской городской агломерации.  </w:t>
      </w:r>
    </w:p>
    <w:p w:rsidR="00191861" w:rsidRPr="00467F9C" w:rsidRDefault="00191861" w:rsidP="00191861">
      <w:pPr>
        <w:spacing w:before="80"/>
        <w:ind w:left="57" w:right="57" w:firstLine="651"/>
        <w:jc w:val="both"/>
        <w:rPr>
          <w:sz w:val="28"/>
          <w:szCs w:val="28"/>
        </w:rPr>
      </w:pPr>
      <w:r w:rsidRPr="00467F9C">
        <w:rPr>
          <w:b/>
          <w:sz w:val="28"/>
          <w:szCs w:val="28"/>
        </w:rPr>
        <w:t>3)</w:t>
      </w:r>
      <w:r w:rsidRPr="00467F9C">
        <w:rPr>
          <w:sz w:val="28"/>
          <w:szCs w:val="28"/>
        </w:rPr>
        <w:t xml:space="preserve"> На реализацию мероприятий </w:t>
      </w:r>
      <w:r w:rsidRPr="00467F9C">
        <w:rPr>
          <w:b/>
          <w:sz w:val="28"/>
          <w:szCs w:val="28"/>
        </w:rPr>
        <w:t xml:space="preserve">РП «Комплексная система обращения с твердыми коммунальными отходами» </w:t>
      </w:r>
      <w:r w:rsidRPr="00467F9C">
        <w:rPr>
          <w:sz w:val="28"/>
          <w:szCs w:val="28"/>
        </w:rPr>
        <w:t>СБР утверждены на 2021 год бюджетные ассигнования в сумме 3,15 млн. рублей, средства направлены:</w:t>
      </w:r>
    </w:p>
    <w:p w:rsidR="00191861" w:rsidRPr="00467F9C" w:rsidRDefault="00191861" w:rsidP="00191861">
      <w:pPr>
        <w:spacing w:before="80"/>
        <w:ind w:left="57" w:right="57" w:firstLine="651"/>
        <w:jc w:val="both"/>
        <w:rPr>
          <w:sz w:val="28"/>
          <w:szCs w:val="28"/>
        </w:rPr>
      </w:pPr>
      <w:r w:rsidRPr="00467F9C">
        <w:rPr>
          <w:sz w:val="28"/>
          <w:szCs w:val="28"/>
        </w:rPr>
        <w:t>0,48 млн. рублей – на закупку 18 контейнеров для раздельного накопления отходов;</w:t>
      </w:r>
    </w:p>
    <w:p w:rsidR="00191861" w:rsidRPr="00467F9C" w:rsidRDefault="00191861" w:rsidP="00191861">
      <w:pPr>
        <w:spacing w:before="80"/>
        <w:ind w:left="57" w:right="57" w:firstLine="651"/>
        <w:jc w:val="both"/>
        <w:rPr>
          <w:sz w:val="28"/>
          <w:szCs w:val="28"/>
        </w:rPr>
      </w:pPr>
      <w:r w:rsidRPr="00467F9C">
        <w:rPr>
          <w:sz w:val="28"/>
          <w:szCs w:val="28"/>
        </w:rPr>
        <w:t xml:space="preserve">2,67 млн. рублей - на оплату выполненных работ по разработке проектной документации на строительство полигона твердых коммунальных отходов в </w:t>
      </w:r>
      <w:r w:rsidRPr="00467F9C">
        <w:rPr>
          <w:sz w:val="28"/>
          <w:szCs w:val="28"/>
        </w:rPr>
        <w:lastRenderedPageBreak/>
        <w:t xml:space="preserve">г. Билибино. При этом, в связи с тем, что подрядчик (ООО «Строительная компания «Альянс») не исполнил обязательства, предусмотренные условиями контракта (стоимость контракта 8,9 млн. рублей), Администрация </w:t>
      </w:r>
      <w:proofErr w:type="spellStart"/>
      <w:r w:rsidRPr="00467F9C">
        <w:rPr>
          <w:sz w:val="28"/>
          <w:szCs w:val="28"/>
        </w:rPr>
        <w:t>Билибинского</w:t>
      </w:r>
      <w:proofErr w:type="spellEnd"/>
      <w:r w:rsidRPr="00467F9C">
        <w:rPr>
          <w:sz w:val="28"/>
          <w:szCs w:val="28"/>
        </w:rPr>
        <w:t xml:space="preserve"> муниципального района в одностороннем порядке расторгла контракт в феврале 2022 года.</w:t>
      </w:r>
    </w:p>
    <w:p w:rsidR="00191861" w:rsidRPr="00467F9C" w:rsidRDefault="00191861" w:rsidP="00191861">
      <w:pPr>
        <w:ind w:left="57" w:right="57" w:firstLine="651"/>
        <w:jc w:val="both"/>
        <w:rPr>
          <w:sz w:val="28"/>
          <w:szCs w:val="28"/>
        </w:rPr>
      </w:pPr>
      <w:r w:rsidRPr="00467F9C">
        <w:rPr>
          <w:sz w:val="28"/>
          <w:szCs w:val="28"/>
        </w:rPr>
        <w:t xml:space="preserve">Также, Администрацией городского округа </w:t>
      </w:r>
      <w:proofErr w:type="spellStart"/>
      <w:r w:rsidRPr="00467F9C">
        <w:rPr>
          <w:sz w:val="28"/>
          <w:szCs w:val="28"/>
        </w:rPr>
        <w:t>Певек</w:t>
      </w:r>
      <w:proofErr w:type="spellEnd"/>
      <w:r w:rsidRPr="00467F9C">
        <w:rPr>
          <w:sz w:val="28"/>
          <w:szCs w:val="28"/>
        </w:rPr>
        <w:t xml:space="preserve"> в 2021 году было заключено 6 муниципальных контрактов на выполнение работ по разработке проектно-сметной документации на строительство (реконструкцию) полигона ТКО на территории городского округа </w:t>
      </w:r>
      <w:proofErr w:type="spellStart"/>
      <w:r w:rsidRPr="00467F9C">
        <w:rPr>
          <w:sz w:val="28"/>
          <w:szCs w:val="28"/>
        </w:rPr>
        <w:t>Певек</w:t>
      </w:r>
      <w:proofErr w:type="spellEnd"/>
      <w:r w:rsidRPr="00467F9C">
        <w:rPr>
          <w:sz w:val="28"/>
          <w:szCs w:val="28"/>
        </w:rPr>
        <w:t>, которые в ноябре 2021 года были расторгнуты по обоюдному согласию сторон в связи с недобросовестностью подрядчика, заключающегося в нарушении сроков выполнения работ.</w:t>
      </w:r>
    </w:p>
    <w:p w:rsidR="00191861" w:rsidRPr="00467F9C" w:rsidRDefault="00191861" w:rsidP="00191861">
      <w:pPr>
        <w:ind w:left="57" w:right="57" w:firstLine="651"/>
        <w:jc w:val="both"/>
        <w:rPr>
          <w:sz w:val="28"/>
          <w:szCs w:val="28"/>
        </w:rPr>
      </w:pPr>
      <w:r w:rsidRPr="00467F9C">
        <w:rPr>
          <w:sz w:val="28"/>
          <w:szCs w:val="28"/>
        </w:rPr>
        <w:t xml:space="preserve">Запланированные мероприятия по реализации региональных программ в области обращения с отходами на территории </w:t>
      </w:r>
      <w:proofErr w:type="spellStart"/>
      <w:r w:rsidRPr="00467F9C">
        <w:rPr>
          <w:sz w:val="28"/>
          <w:szCs w:val="28"/>
        </w:rPr>
        <w:t>Билибинского</w:t>
      </w:r>
      <w:proofErr w:type="spellEnd"/>
      <w:r w:rsidRPr="00467F9C">
        <w:rPr>
          <w:sz w:val="28"/>
          <w:szCs w:val="28"/>
        </w:rPr>
        <w:t xml:space="preserve"> муниципального района и городского округа </w:t>
      </w:r>
      <w:proofErr w:type="spellStart"/>
      <w:r w:rsidRPr="00467F9C">
        <w:rPr>
          <w:sz w:val="28"/>
          <w:szCs w:val="28"/>
        </w:rPr>
        <w:t>Певек</w:t>
      </w:r>
      <w:proofErr w:type="spellEnd"/>
      <w:r w:rsidRPr="00467F9C">
        <w:rPr>
          <w:sz w:val="28"/>
          <w:szCs w:val="28"/>
        </w:rPr>
        <w:t xml:space="preserve"> в 2021 году не выполнены.</w:t>
      </w:r>
    </w:p>
    <w:p w:rsidR="00191861" w:rsidRPr="00467F9C" w:rsidRDefault="00191861" w:rsidP="00191861">
      <w:pPr>
        <w:ind w:left="57" w:right="57" w:firstLine="651"/>
        <w:jc w:val="both"/>
        <w:rPr>
          <w:sz w:val="28"/>
          <w:szCs w:val="28"/>
        </w:rPr>
      </w:pPr>
      <w:r w:rsidRPr="00467F9C">
        <w:rPr>
          <w:sz w:val="28"/>
          <w:szCs w:val="28"/>
        </w:rPr>
        <w:t xml:space="preserve">В отчете о ходе реализации регионального проекта указано наличие отклонений в достижении показателей РП «Доля направленных на утилизацию отходов, выделенных в результате раздельного накопления и обработки (сортировки) ТКО, в общей массе образованных ТКО (факт 0,1% при плановом значении 1,1% на конец отчетного периода) и «Доля ТКО, направленных на обработку (сортировку), в общей массе образованных ТКО» (факт 21,7 при плановом значении 25,8 на конец отчетного периода). </w:t>
      </w:r>
    </w:p>
    <w:p w:rsidR="00191861" w:rsidRPr="00467F9C" w:rsidRDefault="00191861" w:rsidP="00191861">
      <w:pPr>
        <w:ind w:left="57" w:right="57" w:firstLine="651"/>
        <w:jc w:val="both"/>
        <w:rPr>
          <w:rFonts w:eastAsia="Calibri"/>
          <w:sz w:val="28"/>
          <w:szCs w:val="28"/>
        </w:rPr>
      </w:pPr>
      <w:r w:rsidRPr="00467F9C">
        <w:rPr>
          <w:rFonts w:eastAsia="Calibri"/>
          <w:sz w:val="28"/>
          <w:szCs w:val="28"/>
        </w:rPr>
        <w:t>В 2021 году Счетной палатой проведена п</w:t>
      </w:r>
      <w:r w:rsidRPr="00467F9C">
        <w:rPr>
          <w:sz w:val="28"/>
          <w:szCs w:val="28"/>
        </w:rPr>
        <w:t>роверка реализации РП </w:t>
      </w:r>
      <w:r w:rsidRPr="00467F9C">
        <w:rPr>
          <w:b/>
          <w:sz w:val="28"/>
          <w:szCs w:val="28"/>
        </w:rPr>
        <w:t xml:space="preserve">«Комплексная система обращения с твердыми коммунальными отходами» за 2019-2020 годы, </w:t>
      </w:r>
      <w:r w:rsidRPr="00467F9C">
        <w:rPr>
          <w:sz w:val="28"/>
          <w:szCs w:val="28"/>
        </w:rPr>
        <w:t>по результатам которой</w:t>
      </w:r>
      <w:r w:rsidRPr="00467F9C">
        <w:rPr>
          <w:b/>
          <w:sz w:val="28"/>
          <w:szCs w:val="28"/>
        </w:rPr>
        <w:t xml:space="preserve"> </w:t>
      </w:r>
      <w:r w:rsidRPr="00467F9C">
        <w:rPr>
          <w:sz w:val="28"/>
          <w:szCs w:val="28"/>
        </w:rPr>
        <w:t xml:space="preserve">выявлено 4 нарушения действующего законодательства Российской Федерации и Чукотского автономного округа, не имеющие финансовой оценки, и 1 нарушение с финансовой оценкой в сумме 2,7 млн. рублей. </w:t>
      </w:r>
      <w:r w:rsidRPr="00467F9C">
        <w:rPr>
          <w:rFonts w:eastAsia="Calibri"/>
          <w:sz w:val="28"/>
          <w:szCs w:val="28"/>
        </w:rPr>
        <w:t xml:space="preserve">Установлено незаконное расходование Администрацией </w:t>
      </w:r>
      <w:proofErr w:type="spellStart"/>
      <w:r w:rsidRPr="00467F9C">
        <w:rPr>
          <w:rFonts w:eastAsia="Calibri"/>
          <w:sz w:val="28"/>
          <w:szCs w:val="28"/>
        </w:rPr>
        <w:t>Билибинского</w:t>
      </w:r>
      <w:proofErr w:type="spellEnd"/>
      <w:r w:rsidRPr="00467F9C">
        <w:rPr>
          <w:rFonts w:eastAsia="Calibri"/>
          <w:sz w:val="28"/>
          <w:szCs w:val="28"/>
        </w:rPr>
        <w:t xml:space="preserve"> района в 2019 году средств субвенции на разработку проектно-сметной документации на строительство (реконструкцию) полигонов твердых коммунальных отходов, в результате чего Чукотскому автономному округу нанесен ущерб в сумме 2,7 млн. рублей. Материалы по результатам контрольного мероприятия переданы в Управление Следственного Комитета Российской Федерации по Чукотскому автономному округу для принятия необходимых мер реагирования по фактам, содержащим признаки незаконного расходования бюджетных средств Администрацией </w:t>
      </w:r>
      <w:proofErr w:type="spellStart"/>
      <w:r w:rsidRPr="00467F9C">
        <w:rPr>
          <w:rFonts w:eastAsia="Calibri"/>
          <w:sz w:val="28"/>
          <w:szCs w:val="28"/>
        </w:rPr>
        <w:t>Билибинского</w:t>
      </w:r>
      <w:proofErr w:type="spellEnd"/>
      <w:r w:rsidRPr="00467F9C">
        <w:rPr>
          <w:rFonts w:eastAsia="Calibri"/>
          <w:sz w:val="28"/>
          <w:szCs w:val="28"/>
        </w:rPr>
        <w:t xml:space="preserve"> района в сумме 2,7 млн. рублей. Материалы Счетной палаты приобщены к уголовному делу, возбужденному по признакам преступления, предусмотренного ч.4 ст.159 УК РФ.</w:t>
      </w:r>
    </w:p>
    <w:p w:rsidR="00191861" w:rsidRPr="00467F9C" w:rsidRDefault="00191861" w:rsidP="00191861">
      <w:pPr>
        <w:ind w:left="57" w:right="57" w:firstLine="651"/>
        <w:jc w:val="both"/>
        <w:rPr>
          <w:rFonts w:eastAsia="Calibri"/>
          <w:sz w:val="28"/>
          <w:szCs w:val="28"/>
        </w:rPr>
      </w:pPr>
      <w:r w:rsidRPr="00467F9C">
        <w:rPr>
          <w:rFonts w:eastAsia="Calibri"/>
          <w:sz w:val="28"/>
          <w:szCs w:val="28"/>
        </w:rPr>
        <w:t xml:space="preserve">По результатам проведенного контрольного мероприятия Счетная палата отмечает, что реализация Регионального проекта по обращению с ТКО на весь установленный период реализации (2019-2024 годы) сопряжена с рисками недостижения установленных результатов его реализации. Прогнозная стоимость объемов работ по строительству необходимых на территории Чукотского автономного округа 6 полигонов твердых коммунальных отходов и 36 площадок временного  хранения твердых коммунальных отходов, соответствующих </w:t>
      </w:r>
      <w:r w:rsidRPr="00467F9C">
        <w:rPr>
          <w:rFonts w:eastAsia="Calibri"/>
          <w:sz w:val="28"/>
          <w:szCs w:val="28"/>
        </w:rPr>
        <w:lastRenderedPageBreak/>
        <w:t xml:space="preserve">требованиям федерального законодательства оценивается в 668,8 млн. рублей, а реализация Регионального проекта предусматривает финансирование мероприятий только в 2019-2021 годах на общую сумму 106,1 млн. рублей, что меньше необходимого объема средств в 6,3 раза. </w:t>
      </w:r>
    </w:p>
    <w:p w:rsidR="00191861" w:rsidRPr="00467F9C" w:rsidRDefault="00191861" w:rsidP="00191861">
      <w:pPr>
        <w:spacing w:before="80"/>
        <w:ind w:left="57" w:right="57" w:firstLine="652"/>
        <w:jc w:val="both"/>
        <w:rPr>
          <w:sz w:val="28"/>
          <w:szCs w:val="28"/>
        </w:rPr>
      </w:pPr>
      <w:bookmarkStart w:id="53" w:name="_Hlk66285033"/>
      <w:r w:rsidRPr="00467F9C">
        <w:rPr>
          <w:b/>
          <w:sz w:val="28"/>
          <w:szCs w:val="28"/>
        </w:rPr>
        <w:t>4)</w:t>
      </w:r>
      <w:r w:rsidRPr="00467F9C">
        <w:rPr>
          <w:sz w:val="28"/>
          <w:szCs w:val="28"/>
        </w:rPr>
        <w:t xml:space="preserve"> В ГИИС «Электронный бюджет» по состоянию на 01.10.2021 года утвержден паспорт </w:t>
      </w:r>
      <w:r w:rsidRPr="00467F9C">
        <w:rPr>
          <w:b/>
          <w:sz w:val="28"/>
          <w:szCs w:val="28"/>
        </w:rPr>
        <w:t>РП «Чистая вода» (</w:t>
      </w:r>
      <w:r w:rsidRPr="00467F9C">
        <w:rPr>
          <w:b/>
          <w:sz w:val="28"/>
          <w:szCs w:val="28"/>
          <w:lang w:val="en-US"/>
        </w:rPr>
        <w:t>G</w:t>
      </w:r>
      <w:r w:rsidRPr="00467F9C">
        <w:rPr>
          <w:b/>
          <w:sz w:val="28"/>
          <w:szCs w:val="28"/>
        </w:rPr>
        <w:t xml:space="preserve">5), </w:t>
      </w:r>
      <w:r w:rsidRPr="00467F9C">
        <w:rPr>
          <w:sz w:val="28"/>
          <w:szCs w:val="28"/>
        </w:rPr>
        <w:t>согласно которому в 2021 году предусмотрено финансирование мероприятия «Субсидии на строительство и реконструкцию (модернизацию) объектов питьевого водоснабжения» в сумме 148,1 млн. рублей, при этом финансовое обеспечение данного мероприятия не отражено ни в Законе №74-ОЗ, ни в сводной бюджетной росписи.</w:t>
      </w:r>
      <w:bookmarkEnd w:id="53"/>
      <w:r w:rsidRPr="00467F9C">
        <w:rPr>
          <w:sz w:val="28"/>
          <w:szCs w:val="28"/>
        </w:rPr>
        <w:t xml:space="preserve"> Ответственным исполнителем подготовлен завершающий отчет о ходе реализации РП для прекращения его действия.</w:t>
      </w:r>
    </w:p>
    <w:p w:rsidR="00191861" w:rsidRPr="00467F9C" w:rsidRDefault="00191861" w:rsidP="00191861">
      <w:pPr>
        <w:spacing w:before="120"/>
        <w:ind w:left="57" w:right="57"/>
        <w:jc w:val="both"/>
        <w:rPr>
          <w:sz w:val="28"/>
          <w:szCs w:val="28"/>
        </w:rPr>
      </w:pPr>
      <w:r w:rsidRPr="00467F9C">
        <w:rPr>
          <w:b/>
          <w:sz w:val="28"/>
          <w:szCs w:val="28"/>
        </w:rPr>
        <w:tab/>
        <w:t>2.6.</w:t>
      </w:r>
      <w:r w:rsidRPr="00467F9C">
        <w:rPr>
          <w:sz w:val="28"/>
          <w:szCs w:val="28"/>
        </w:rPr>
        <w:t xml:space="preserve"> В рамках национального проекта </w:t>
      </w:r>
      <w:r w:rsidRPr="00467F9C">
        <w:rPr>
          <w:b/>
          <w:sz w:val="28"/>
          <w:szCs w:val="28"/>
        </w:rPr>
        <w:t>«Цифровая экономика»</w:t>
      </w:r>
      <w:r w:rsidRPr="00467F9C">
        <w:rPr>
          <w:sz w:val="28"/>
          <w:szCs w:val="28"/>
        </w:rPr>
        <w:t xml:space="preserve"> на территории Чукотского автономного округа реализуются пять региональных проектов, мероприятия которых интегрированы в государственную программу «Информационно общество Чукотского автономного округа».  </w:t>
      </w:r>
      <w:r w:rsidRPr="00467F9C">
        <w:rPr>
          <w:sz w:val="28"/>
          <w:szCs w:val="28"/>
        </w:rPr>
        <w:tab/>
        <w:t>В 2021 году только в рамках одного регионального проекта «Информационная инфраструктура» паспортом предусмотрено финансовое обеспечение в сумме 172,6 млн. рублей, что не соответствует объемам финансирования, утвержденным Законом №74-ОЗ (191,6 млн. рублей) и СБР (188,3 млн. рублей) (рис. 7).</w:t>
      </w:r>
    </w:p>
    <w:p w:rsidR="00191861" w:rsidRPr="00467F9C" w:rsidRDefault="00191861" w:rsidP="00191861">
      <w:pPr>
        <w:ind w:left="57" w:right="57"/>
        <w:jc w:val="both"/>
        <w:rPr>
          <w:sz w:val="28"/>
          <w:szCs w:val="28"/>
        </w:rPr>
      </w:pPr>
      <w:r w:rsidRPr="00467F9C">
        <w:rPr>
          <w:sz w:val="28"/>
          <w:szCs w:val="28"/>
        </w:rPr>
        <w:tab/>
      </w:r>
      <w:r w:rsidRPr="00467F9C">
        <w:rPr>
          <w:sz w:val="28"/>
          <w:szCs w:val="28"/>
        </w:rPr>
        <w:tab/>
      </w:r>
      <w:r w:rsidRPr="00467F9C">
        <w:rPr>
          <w:sz w:val="28"/>
          <w:szCs w:val="28"/>
        </w:rPr>
        <w:tab/>
      </w:r>
      <w:r w:rsidRPr="00467F9C">
        <w:rPr>
          <w:sz w:val="28"/>
          <w:szCs w:val="28"/>
        </w:rPr>
        <w:tab/>
      </w:r>
    </w:p>
    <w:p w:rsidR="00191861" w:rsidRPr="00467F9C" w:rsidRDefault="00191861" w:rsidP="00191861">
      <w:pPr>
        <w:ind w:left="57" w:right="57"/>
        <w:jc w:val="center"/>
        <w:rPr>
          <w:sz w:val="28"/>
          <w:szCs w:val="28"/>
          <w:lang w:val="en-US"/>
        </w:rPr>
      </w:pPr>
      <w:r w:rsidRPr="00467F9C">
        <w:rPr>
          <w:noProof/>
          <w:sz w:val="28"/>
          <w:szCs w:val="28"/>
        </w:rPr>
        <w:drawing>
          <wp:inline distT="0" distB="0" distL="0" distR="0" wp14:anchorId="5B9A51DB" wp14:editId="4A432F53">
            <wp:extent cx="5135245" cy="1027075"/>
            <wp:effectExtent l="0" t="0" r="8255" b="1905"/>
            <wp:docPr id="25" name="Диаграмма 2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01D3892-C629-498F-973A-70CFF8D486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91861" w:rsidRPr="00467F9C" w:rsidRDefault="00191861" w:rsidP="00191861">
      <w:pPr>
        <w:ind w:left="57" w:right="57"/>
        <w:jc w:val="center"/>
      </w:pPr>
      <w:r w:rsidRPr="00467F9C">
        <w:t>Рис. 7 (млн. рублей)</w:t>
      </w:r>
    </w:p>
    <w:p w:rsidR="00191861" w:rsidRPr="00467F9C" w:rsidRDefault="00191861" w:rsidP="00191861">
      <w:pPr>
        <w:ind w:left="57" w:right="57"/>
        <w:jc w:val="both"/>
        <w:rPr>
          <w:sz w:val="6"/>
          <w:szCs w:val="6"/>
        </w:rPr>
      </w:pPr>
      <w:r w:rsidRPr="00467F9C">
        <w:rPr>
          <w:sz w:val="28"/>
          <w:szCs w:val="28"/>
        </w:rPr>
        <w:tab/>
      </w:r>
    </w:p>
    <w:p w:rsidR="00191861" w:rsidRPr="00467F9C" w:rsidRDefault="00191861" w:rsidP="00191861">
      <w:pPr>
        <w:ind w:left="57" w:right="57" w:firstLine="652"/>
        <w:jc w:val="both"/>
        <w:rPr>
          <w:sz w:val="28"/>
          <w:szCs w:val="28"/>
        </w:rPr>
      </w:pPr>
      <w:r w:rsidRPr="00467F9C">
        <w:rPr>
          <w:sz w:val="28"/>
          <w:szCs w:val="28"/>
        </w:rPr>
        <w:t xml:space="preserve">Направлено на реализацию мероприятий регионального проекта 188,2 млн. рублей или 99,9% от утвержденных СБР бюджетных ассигнований (в том числе средства федерального бюджета – 151,4 млн. рублей), фактическое выполнение мероприятий </w:t>
      </w:r>
      <w:proofErr w:type="spellStart"/>
      <w:r w:rsidRPr="00467F9C">
        <w:rPr>
          <w:sz w:val="28"/>
          <w:szCs w:val="28"/>
        </w:rPr>
        <w:t>регпроекта</w:t>
      </w:r>
      <w:proofErr w:type="spellEnd"/>
      <w:r w:rsidRPr="00467F9C">
        <w:rPr>
          <w:sz w:val="28"/>
          <w:szCs w:val="28"/>
        </w:rPr>
        <w:t xml:space="preserve"> составило 100% от полученного финансирования – предоставлены субсидии операторам связи, оказывающим услуги по предоставлению доступа к информационно-телекоммуникационной сети «Интернет» на территории Чукотского автономного округа, а также на 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p w:rsidR="00191861" w:rsidRPr="00467F9C" w:rsidRDefault="00191861" w:rsidP="00191861">
      <w:pPr>
        <w:ind w:left="57" w:right="57"/>
        <w:jc w:val="both"/>
        <w:rPr>
          <w:sz w:val="28"/>
          <w:szCs w:val="28"/>
        </w:rPr>
      </w:pPr>
      <w:r w:rsidRPr="00467F9C">
        <w:rPr>
          <w:sz w:val="28"/>
          <w:szCs w:val="28"/>
        </w:rPr>
        <w:tab/>
        <w:t xml:space="preserve">На 2021 год на реализацию региональных проектов </w:t>
      </w:r>
      <w:r w:rsidRPr="00467F9C">
        <w:rPr>
          <w:b/>
          <w:sz w:val="28"/>
          <w:szCs w:val="28"/>
        </w:rPr>
        <w:t>«Цифровое государственное управление»,</w:t>
      </w:r>
      <w:r w:rsidRPr="00467F9C">
        <w:rPr>
          <w:sz w:val="28"/>
          <w:szCs w:val="28"/>
        </w:rPr>
        <w:t xml:space="preserve"> </w:t>
      </w:r>
      <w:r w:rsidRPr="00467F9C">
        <w:rPr>
          <w:b/>
          <w:sz w:val="28"/>
          <w:szCs w:val="28"/>
        </w:rPr>
        <w:t>«Цифровые технологии», «Информационная безопасность» и «Кадры для цифровой экономики»</w:t>
      </w:r>
      <w:r w:rsidRPr="00467F9C">
        <w:rPr>
          <w:sz w:val="28"/>
          <w:szCs w:val="28"/>
        </w:rPr>
        <w:t xml:space="preserve"> финансирование из федерального и регионального бюджетов не предусмотрено.</w:t>
      </w:r>
    </w:p>
    <w:p w:rsidR="00191861" w:rsidRPr="00467F9C" w:rsidRDefault="00191861" w:rsidP="00191861">
      <w:pPr>
        <w:spacing w:before="120"/>
        <w:ind w:left="57" w:right="57"/>
        <w:jc w:val="both"/>
        <w:rPr>
          <w:sz w:val="28"/>
          <w:szCs w:val="28"/>
        </w:rPr>
      </w:pPr>
      <w:r w:rsidRPr="00467F9C">
        <w:rPr>
          <w:b/>
          <w:sz w:val="28"/>
          <w:szCs w:val="28"/>
        </w:rPr>
        <w:lastRenderedPageBreak/>
        <w:tab/>
        <w:t>2.7.</w:t>
      </w:r>
      <w:r w:rsidRPr="00467F9C">
        <w:rPr>
          <w:sz w:val="28"/>
          <w:szCs w:val="28"/>
        </w:rPr>
        <w:t xml:space="preserve"> Национальный проект </w:t>
      </w:r>
      <w:r w:rsidRPr="00467F9C">
        <w:rPr>
          <w:b/>
          <w:sz w:val="28"/>
          <w:szCs w:val="28"/>
        </w:rPr>
        <w:t>«Безопасные и качественные автомобильные дороги»</w:t>
      </w:r>
      <w:r w:rsidRPr="00467F9C">
        <w:rPr>
          <w:sz w:val="28"/>
          <w:szCs w:val="28"/>
        </w:rPr>
        <w:t xml:space="preserve"> на территории округа реализуется посредством трёх региональных проектов, мероприятия которых интегрированы в две государственные программы Чукотского автономного округа. На реализацию региональных проектов в рамках НП </w:t>
      </w:r>
      <w:r w:rsidRPr="00467F9C">
        <w:rPr>
          <w:b/>
          <w:sz w:val="28"/>
          <w:szCs w:val="28"/>
        </w:rPr>
        <w:t>«Безопасные и качественные автомобильные дороги»</w:t>
      </w:r>
      <w:r w:rsidRPr="00467F9C">
        <w:rPr>
          <w:sz w:val="28"/>
          <w:szCs w:val="28"/>
        </w:rPr>
        <w:t xml:space="preserve"> на 2021 год паспортами региональных проектов предусмотрено 353,7 млн. рублей, СБР утверждены бюджетные ассигнования в сумме 340,4 млн. рублей. Направлены бюджетные ассигнования на реализацию двух РП в сумме 338,3 млн. рублей, фактическое выполнение, по данным Счетной палаты, составило 288,9 млн. рублей или 84,9% от направленного финансирования (рис. 8). </w:t>
      </w:r>
    </w:p>
    <w:p w:rsidR="00191861" w:rsidRPr="00467F9C" w:rsidRDefault="00191861" w:rsidP="00191861">
      <w:pPr>
        <w:ind w:left="57" w:right="57"/>
        <w:jc w:val="both"/>
        <w:rPr>
          <w:sz w:val="28"/>
          <w:szCs w:val="28"/>
        </w:rPr>
      </w:pPr>
      <w:r w:rsidRPr="00467F9C">
        <w:rPr>
          <w:sz w:val="28"/>
          <w:szCs w:val="28"/>
        </w:rPr>
        <w:tab/>
      </w:r>
      <w:r w:rsidRPr="00467F9C">
        <w:rPr>
          <w:sz w:val="28"/>
          <w:szCs w:val="28"/>
        </w:rPr>
        <w:tab/>
      </w:r>
      <w:r w:rsidRPr="00467F9C">
        <w:rPr>
          <w:sz w:val="28"/>
          <w:szCs w:val="28"/>
        </w:rPr>
        <w:tab/>
      </w:r>
      <w:r w:rsidRPr="00467F9C">
        <w:rPr>
          <w:sz w:val="28"/>
          <w:szCs w:val="28"/>
        </w:rPr>
        <w:tab/>
      </w:r>
    </w:p>
    <w:p w:rsidR="00191861" w:rsidRPr="00467F9C" w:rsidRDefault="00191861" w:rsidP="00191861">
      <w:pPr>
        <w:ind w:left="57" w:right="57"/>
        <w:jc w:val="both"/>
        <w:rPr>
          <w:sz w:val="28"/>
          <w:szCs w:val="28"/>
        </w:rPr>
      </w:pPr>
      <w:r w:rsidRPr="00467F9C">
        <w:rPr>
          <w:noProof/>
          <w:sz w:val="28"/>
          <w:szCs w:val="28"/>
        </w:rPr>
        <w:drawing>
          <wp:inline distT="0" distB="0" distL="0" distR="0" wp14:anchorId="0E7B6B28" wp14:editId="2FCA9581">
            <wp:extent cx="5962650" cy="1030251"/>
            <wp:effectExtent l="0" t="0" r="0" b="17780"/>
            <wp:docPr id="14" name="Диаграмма 1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C831ADA-0EF2-4E09-B40F-8DF0C6F471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91861" w:rsidRPr="00467F9C" w:rsidRDefault="00191861" w:rsidP="00191861">
      <w:pPr>
        <w:ind w:left="57" w:right="57"/>
        <w:jc w:val="center"/>
      </w:pPr>
      <w:r w:rsidRPr="00467F9C">
        <w:t>Рис. 8 (млн. рублей)</w:t>
      </w:r>
    </w:p>
    <w:p w:rsidR="00191861" w:rsidRPr="00467F9C" w:rsidRDefault="00191861" w:rsidP="00191861">
      <w:pPr>
        <w:spacing w:before="80"/>
        <w:ind w:left="57" w:right="57"/>
        <w:jc w:val="both"/>
        <w:rPr>
          <w:sz w:val="28"/>
          <w:szCs w:val="28"/>
        </w:rPr>
      </w:pPr>
      <w:r w:rsidRPr="00467F9C">
        <w:rPr>
          <w:sz w:val="28"/>
          <w:szCs w:val="28"/>
        </w:rPr>
        <w:tab/>
        <w:t>В рамках реализации мероприятий двух региональных проектов НП заключены государственные (муниципальные) контракты на общую сумму 993,3 млн. рублей, из них государственные (муниципальные) контракты на общую сумму 691,0 млн. рублей со сроком исполнения после 1 января 2022 года.</w:t>
      </w:r>
    </w:p>
    <w:p w:rsidR="00191861" w:rsidRPr="00467F9C" w:rsidRDefault="00191861" w:rsidP="00191861">
      <w:pPr>
        <w:ind w:left="57" w:right="57"/>
        <w:jc w:val="both"/>
        <w:rPr>
          <w:sz w:val="28"/>
          <w:szCs w:val="28"/>
        </w:rPr>
      </w:pPr>
      <w:r w:rsidRPr="00467F9C">
        <w:rPr>
          <w:sz w:val="28"/>
          <w:szCs w:val="28"/>
        </w:rPr>
        <w:tab/>
        <w:t>Анализ отчетов о ходе реализации региональных проектов за 2021 год и информации, представленной Департаментом промышленной политики Чукотского автономного округа, показал следующее:</w:t>
      </w:r>
    </w:p>
    <w:p w:rsidR="00191861" w:rsidRPr="00467F9C" w:rsidRDefault="00191861" w:rsidP="00191861">
      <w:pPr>
        <w:spacing w:before="80"/>
        <w:ind w:left="57" w:right="57"/>
        <w:jc w:val="both"/>
        <w:rPr>
          <w:sz w:val="28"/>
          <w:szCs w:val="28"/>
        </w:rPr>
      </w:pPr>
      <w:r w:rsidRPr="00467F9C">
        <w:rPr>
          <w:sz w:val="28"/>
          <w:szCs w:val="28"/>
        </w:rPr>
        <w:tab/>
        <w:t xml:space="preserve">1) СБР на реализацию </w:t>
      </w:r>
      <w:r w:rsidRPr="00467F9C">
        <w:rPr>
          <w:b/>
          <w:sz w:val="28"/>
          <w:szCs w:val="28"/>
        </w:rPr>
        <w:t>РП «Дорожная сеть»</w:t>
      </w:r>
      <w:r w:rsidRPr="00467F9C">
        <w:rPr>
          <w:sz w:val="28"/>
          <w:szCs w:val="28"/>
        </w:rPr>
        <w:t xml:space="preserve"> утверждены бюджетные ассигнования в объеме 339,8 млн. рублей, за отчетный период из окружного бюджета на реализацию проекта направлено 338,2 млн. рублей (99,5% от утвержденных СБР бюджетных ассигнований). Фактическое выполнение мероприятий регионального проекта составило 288,8 млн. рублей</w:t>
      </w:r>
      <w:r w:rsidRPr="00467F9C">
        <w:rPr>
          <w:rStyle w:val="ab"/>
          <w:sz w:val="28"/>
          <w:szCs w:val="28"/>
        </w:rPr>
        <w:footnoteReference w:id="126"/>
      </w:r>
      <w:r w:rsidRPr="00467F9C">
        <w:rPr>
          <w:sz w:val="28"/>
          <w:szCs w:val="28"/>
        </w:rPr>
        <w:t xml:space="preserve">, что не соответствует данным ответственного исполнителя (338,2 млн. рублей). </w:t>
      </w:r>
    </w:p>
    <w:p w:rsidR="00191861" w:rsidRPr="00467F9C" w:rsidRDefault="00191861" w:rsidP="00191861">
      <w:pPr>
        <w:ind w:left="57" w:right="57"/>
        <w:jc w:val="both"/>
        <w:rPr>
          <w:sz w:val="28"/>
          <w:szCs w:val="28"/>
        </w:rPr>
      </w:pPr>
      <w:r w:rsidRPr="00467F9C">
        <w:rPr>
          <w:sz w:val="28"/>
          <w:szCs w:val="28"/>
        </w:rPr>
        <w:tab/>
        <w:t xml:space="preserve">В рамках реализации мероприятий РП заключены государственные контракты на общую сумму 374,3 млн. рублей. По 7 контрактам предусмотрены ремонты автомобильных дорог на территории Анадырской городской агломерации и один контракт на капитальный ремонт автомобильной дороги </w:t>
      </w:r>
      <w:proofErr w:type="spellStart"/>
      <w:r w:rsidRPr="00467F9C">
        <w:rPr>
          <w:sz w:val="28"/>
          <w:szCs w:val="28"/>
        </w:rPr>
        <w:t>Певек-Апапельгино-Янранай</w:t>
      </w:r>
      <w:proofErr w:type="spellEnd"/>
      <w:r w:rsidRPr="00467F9C">
        <w:rPr>
          <w:sz w:val="28"/>
          <w:szCs w:val="28"/>
        </w:rPr>
        <w:t xml:space="preserve">. </w:t>
      </w:r>
    </w:p>
    <w:p w:rsidR="00191861" w:rsidRPr="00467F9C" w:rsidRDefault="00191861" w:rsidP="00191861">
      <w:pPr>
        <w:ind w:left="57" w:right="57"/>
        <w:jc w:val="both"/>
        <w:rPr>
          <w:sz w:val="28"/>
          <w:szCs w:val="28"/>
        </w:rPr>
      </w:pPr>
      <w:r w:rsidRPr="00467F9C">
        <w:rPr>
          <w:sz w:val="28"/>
          <w:szCs w:val="28"/>
        </w:rPr>
        <w:tab/>
        <w:t xml:space="preserve">Из 9 объектов в отчетном периоде выполнены работы в полном объеме по семи объектам на общую сумму 288,8 млн. рублей, по двум объектам (ул. Колхозная, км 0+700 - км 1+217 и участок дороги по ул. Горького в </w:t>
      </w:r>
      <w:proofErr w:type="spellStart"/>
      <w:r w:rsidRPr="00467F9C">
        <w:rPr>
          <w:sz w:val="28"/>
          <w:szCs w:val="28"/>
        </w:rPr>
        <w:t>г.Анадырь</w:t>
      </w:r>
      <w:proofErr w:type="spellEnd"/>
      <w:r w:rsidRPr="00467F9C">
        <w:rPr>
          <w:sz w:val="28"/>
          <w:szCs w:val="28"/>
        </w:rPr>
        <w:t>) дорожные работы общей стоимостью 49,4 млн. рублей будут завершены в 2022 году, неиспользованные средства субсидии в сумме 49,4 млн. рублей возвращены в окружной бюджет в 2022 году. В связи с чем не достиг планового значения показатель РП «Доля дорожной сети городских агломераций, находящаяся в нормативном состоянии» - 92,2%.</w:t>
      </w:r>
    </w:p>
    <w:p w:rsidR="00191861" w:rsidRPr="00467F9C" w:rsidRDefault="00191861" w:rsidP="00191861">
      <w:pPr>
        <w:spacing w:before="80" w:after="80"/>
        <w:ind w:left="57" w:right="57"/>
        <w:jc w:val="both"/>
        <w:rPr>
          <w:sz w:val="28"/>
          <w:szCs w:val="28"/>
        </w:rPr>
      </w:pPr>
      <w:r w:rsidRPr="00467F9C">
        <w:rPr>
          <w:sz w:val="28"/>
          <w:szCs w:val="28"/>
        </w:rPr>
        <w:lastRenderedPageBreak/>
        <w:tab/>
        <w:t xml:space="preserve">2) На реализацию </w:t>
      </w:r>
      <w:r w:rsidRPr="00467F9C">
        <w:rPr>
          <w:b/>
          <w:sz w:val="28"/>
          <w:szCs w:val="28"/>
        </w:rPr>
        <w:t>РП «Общесистемные меры развития дорожного хозяйства»</w:t>
      </w:r>
      <w:r w:rsidRPr="00467F9C">
        <w:rPr>
          <w:sz w:val="28"/>
          <w:szCs w:val="28"/>
        </w:rPr>
        <w:t xml:space="preserve"> на 2021 год финансовое обеспечение не предусмотрено. ГБУ «ДЭУ Чукотского АО» в рамках государственного задания выполнены мероприятия РП по установке дистанционной системы регулирования освещением на трёх автомобильных дорогах региона. Из трех установленных показателей РП один показатель не достиг плановых значений – «Доля объектов, на которых предусматривается использование новых и наилучших технологий, включенных в Реестр» (при плане 10, фактический показатель – 0).</w:t>
      </w:r>
    </w:p>
    <w:p w:rsidR="00191861" w:rsidRPr="00467F9C" w:rsidRDefault="00191861" w:rsidP="00191861">
      <w:pPr>
        <w:ind w:left="57" w:right="57"/>
        <w:jc w:val="both"/>
        <w:rPr>
          <w:sz w:val="28"/>
          <w:szCs w:val="28"/>
        </w:rPr>
      </w:pPr>
      <w:r w:rsidRPr="00467F9C">
        <w:rPr>
          <w:sz w:val="28"/>
          <w:szCs w:val="28"/>
        </w:rPr>
        <w:tab/>
        <w:t>3) </w:t>
      </w:r>
      <w:r w:rsidRPr="00467F9C">
        <w:rPr>
          <w:b/>
          <w:sz w:val="28"/>
          <w:szCs w:val="28"/>
        </w:rPr>
        <w:t xml:space="preserve">РП «Безопасность дорожного движения» </w:t>
      </w:r>
      <w:r w:rsidRPr="00467F9C">
        <w:rPr>
          <w:sz w:val="28"/>
          <w:szCs w:val="28"/>
        </w:rPr>
        <w:t>исполнен на 16,7% от утвержденных ассигнований или на 0,1 млн. рублей – реализовано мероприятие «Приобретение технических средств обучения, наглядных учебных и методических материалов для организаций, осуществляющих обучение</w:t>
      </w:r>
      <w:r w:rsidRPr="00467F9C">
        <w:rPr>
          <w:b/>
          <w:sz w:val="28"/>
          <w:szCs w:val="28"/>
        </w:rPr>
        <w:t xml:space="preserve"> </w:t>
      </w:r>
      <w:r w:rsidRPr="00467F9C">
        <w:rPr>
          <w:sz w:val="28"/>
          <w:szCs w:val="28"/>
        </w:rPr>
        <w:t xml:space="preserve">детей, работу по профилактике детского дорожно-транспортного травматизма». </w:t>
      </w:r>
    </w:p>
    <w:p w:rsidR="00191861" w:rsidRPr="00467F9C" w:rsidRDefault="00191861" w:rsidP="00191861">
      <w:pPr>
        <w:spacing w:before="120" w:after="120"/>
        <w:ind w:left="57" w:right="57"/>
        <w:jc w:val="both"/>
        <w:rPr>
          <w:sz w:val="28"/>
          <w:szCs w:val="28"/>
        </w:rPr>
      </w:pPr>
      <w:r w:rsidRPr="00467F9C">
        <w:rPr>
          <w:b/>
          <w:sz w:val="28"/>
          <w:szCs w:val="28"/>
        </w:rPr>
        <w:tab/>
        <w:t>2.8.</w:t>
      </w:r>
      <w:r w:rsidRPr="00467F9C">
        <w:rPr>
          <w:sz w:val="28"/>
          <w:szCs w:val="28"/>
        </w:rPr>
        <w:t xml:space="preserve"> В рамках национального проекта </w:t>
      </w:r>
      <w:r w:rsidRPr="00467F9C">
        <w:rPr>
          <w:b/>
          <w:sz w:val="28"/>
          <w:szCs w:val="28"/>
        </w:rPr>
        <w:t>«Культура»</w:t>
      </w:r>
      <w:r w:rsidRPr="00467F9C">
        <w:rPr>
          <w:sz w:val="28"/>
          <w:szCs w:val="28"/>
        </w:rPr>
        <w:t xml:space="preserve"> на территории Чукотского автономного округа в 2021 году реализуются три региональных проекта, мероприятия которых интегрированы в государственную программу «Развитие культуры, спорта и туризма Чукотского автономного округа». </w:t>
      </w:r>
    </w:p>
    <w:p w:rsidR="00191861" w:rsidRPr="00467F9C" w:rsidRDefault="00191861" w:rsidP="00191861">
      <w:pPr>
        <w:ind w:left="57" w:right="57"/>
        <w:jc w:val="both"/>
        <w:rPr>
          <w:sz w:val="28"/>
          <w:szCs w:val="28"/>
        </w:rPr>
      </w:pPr>
      <w:r w:rsidRPr="00467F9C">
        <w:rPr>
          <w:sz w:val="28"/>
          <w:szCs w:val="28"/>
        </w:rPr>
        <w:tab/>
        <w:t>СБР утверждены бюджетные ассигнования на реализацию в 2021 году 11 мероприятий двух региональных проектов НП «Культура» на общую сумму 192,4 млн. рублей, в том числе 179,96 млн. рублей на мероприятия, не предусмотренные паспортом РП «Культурная среда». Направлено на реализацию РП в отчетном периоде 185,4 млн. рублей, фактически выполнены мероприятия на сумму 13,1 млн. рублей (рис.9).</w:t>
      </w:r>
    </w:p>
    <w:p w:rsidR="00191861" w:rsidRPr="00467F9C" w:rsidRDefault="00191861" w:rsidP="00191861">
      <w:pPr>
        <w:ind w:left="57" w:right="57"/>
        <w:jc w:val="both"/>
        <w:rPr>
          <w:sz w:val="28"/>
          <w:szCs w:val="28"/>
        </w:rPr>
      </w:pPr>
      <w:r w:rsidRPr="00467F9C">
        <w:rPr>
          <w:sz w:val="28"/>
          <w:szCs w:val="28"/>
        </w:rPr>
        <w:tab/>
      </w:r>
      <w:r w:rsidRPr="00467F9C">
        <w:rPr>
          <w:sz w:val="28"/>
          <w:szCs w:val="28"/>
        </w:rPr>
        <w:tab/>
      </w:r>
      <w:r w:rsidRPr="00467F9C">
        <w:rPr>
          <w:sz w:val="28"/>
          <w:szCs w:val="28"/>
        </w:rPr>
        <w:tab/>
      </w:r>
    </w:p>
    <w:p w:rsidR="00191861" w:rsidRPr="00467F9C" w:rsidRDefault="00191861" w:rsidP="00191861">
      <w:pPr>
        <w:ind w:left="57" w:right="57"/>
        <w:jc w:val="center"/>
        <w:rPr>
          <w:sz w:val="28"/>
          <w:szCs w:val="28"/>
        </w:rPr>
      </w:pPr>
      <w:r w:rsidRPr="00467F9C">
        <w:rPr>
          <w:noProof/>
          <w:sz w:val="28"/>
          <w:szCs w:val="28"/>
        </w:rPr>
        <w:drawing>
          <wp:inline distT="0" distB="0" distL="0" distR="0" wp14:anchorId="09D643A4" wp14:editId="7BEDB2E1">
            <wp:extent cx="5520690" cy="997151"/>
            <wp:effectExtent l="0" t="0" r="3810" b="12700"/>
            <wp:docPr id="26" name="Диаграмма 2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9E28D25-5033-4FB9-8EC3-F1D8C13129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91861" w:rsidRPr="00467F9C" w:rsidRDefault="00191861" w:rsidP="00191861">
      <w:pPr>
        <w:ind w:left="57" w:right="57"/>
        <w:jc w:val="center"/>
      </w:pPr>
      <w:r w:rsidRPr="00467F9C">
        <w:t>Рис. 9 (млн. рублей)</w:t>
      </w:r>
    </w:p>
    <w:p w:rsidR="00191861" w:rsidRPr="00467F9C" w:rsidRDefault="00191861" w:rsidP="00191861">
      <w:pPr>
        <w:spacing w:before="120"/>
        <w:ind w:left="57" w:right="57" w:firstLine="652"/>
        <w:jc w:val="both"/>
        <w:rPr>
          <w:sz w:val="28"/>
          <w:szCs w:val="28"/>
        </w:rPr>
      </w:pPr>
      <w:r w:rsidRPr="00467F9C">
        <w:rPr>
          <w:sz w:val="28"/>
          <w:szCs w:val="28"/>
        </w:rPr>
        <w:t xml:space="preserve">В рамках реализации </w:t>
      </w:r>
      <w:r w:rsidRPr="00467F9C">
        <w:rPr>
          <w:b/>
          <w:sz w:val="28"/>
          <w:szCs w:val="28"/>
        </w:rPr>
        <w:t>РП «Культурная среда»:</w:t>
      </w:r>
    </w:p>
    <w:p w:rsidR="00191861" w:rsidRPr="00467F9C" w:rsidRDefault="00191861" w:rsidP="00191861">
      <w:pPr>
        <w:ind w:left="57" w:right="57" w:firstLine="651"/>
        <w:jc w:val="both"/>
        <w:rPr>
          <w:sz w:val="28"/>
          <w:szCs w:val="28"/>
        </w:rPr>
      </w:pPr>
      <w:r w:rsidRPr="00467F9C">
        <w:rPr>
          <w:sz w:val="28"/>
          <w:szCs w:val="28"/>
        </w:rPr>
        <w:t xml:space="preserve">- предоставлена субсидия бюджету городского округа </w:t>
      </w:r>
      <w:proofErr w:type="spellStart"/>
      <w:r w:rsidRPr="00467F9C">
        <w:rPr>
          <w:sz w:val="28"/>
          <w:szCs w:val="28"/>
        </w:rPr>
        <w:t>Певек</w:t>
      </w:r>
      <w:proofErr w:type="spellEnd"/>
      <w:r w:rsidRPr="00467F9C">
        <w:rPr>
          <w:sz w:val="28"/>
          <w:szCs w:val="28"/>
        </w:rPr>
        <w:t xml:space="preserve"> на закупку музыкальных инструментов для МАУДО «Детская школа искусств» в размере 1,0 млн. рублей. Инструменты закуплены и поставлены в образовательное учреждение;</w:t>
      </w:r>
    </w:p>
    <w:p w:rsidR="00191861" w:rsidRPr="00467F9C" w:rsidRDefault="00191861" w:rsidP="00191861">
      <w:pPr>
        <w:ind w:left="57" w:right="57" w:firstLine="651"/>
        <w:jc w:val="both"/>
        <w:rPr>
          <w:sz w:val="28"/>
          <w:szCs w:val="28"/>
        </w:rPr>
      </w:pPr>
      <w:r w:rsidRPr="00467F9C">
        <w:rPr>
          <w:sz w:val="28"/>
          <w:szCs w:val="28"/>
        </w:rPr>
        <w:t xml:space="preserve">- перечислен аванс в размере 172,3 млн. рублей НАО «Чукотская торговая компания» на выполнение работ по подготовке проектной документации, строительству и вводу в эксплуатацию объекта «Центр культурного развития в г. </w:t>
      </w:r>
      <w:proofErr w:type="spellStart"/>
      <w:r w:rsidRPr="00467F9C">
        <w:rPr>
          <w:sz w:val="28"/>
          <w:szCs w:val="28"/>
        </w:rPr>
        <w:t>Певек</w:t>
      </w:r>
      <w:proofErr w:type="spellEnd"/>
      <w:r w:rsidRPr="00467F9C">
        <w:rPr>
          <w:sz w:val="28"/>
          <w:szCs w:val="28"/>
        </w:rPr>
        <w:t xml:space="preserve">», цена контракта - 524,9 млн. рублей. Срок выполнения работ по подготовке проектной документации и прохождение государственной экспертизы – 20.12.2021г. Окончание выполнения работ по строительству объекта - до 30.12.2023г.  </w:t>
      </w:r>
    </w:p>
    <w:p w:rsidR="00191861" w:rsidRPr="00467F9C" w:rsidRDefault="00191861" w:rsidP="00191861">
      <w:pPr>
        <w:spacing w:before="80"/>
        <w:ind w:left="57" w:right="57" w:firstLine="652"/>
        <w:jc w:val="both"/>
        <w:rPr>
          <w:sz w:val="28"/>
          <w:szCs w:val="28"/>
        </w:rPr>
      </w:pPr>
      <w:r w:rsidRPr="00467F9C">
        <w:rPr>
          <w:sz w:val="28"/>
          <w:szCs w:val="28"/>
        </w:rPr>
        <w:t xml:space="preserve">2) Направлено на реализацию мероприятий </w:t>
      </w:r>
      <w:r w:rsidRPr="00467F9C">
        <w:rPr>
          <w:b/>
          <w:sz w:val="28"/>
          <w:szCs w:val="28"/>
        </w:rPr>
        <w:t>РП «Творческие люди»</w:t>
      </w:r>
      <w:r w:rsidRPr="00467F9C">
        <w:rPr>
          <w:sz w:val="28"/>
          <w:szCs w:val="28"/>
        </w:rPr>
        <w:t xml:space="preserve"> в 2021 году средств окружного бюджета в объеме 12,1 млн. рублей. Фактическое </w:t>
      </w:r>
      <w:r w:rsidRPr="00467F9C">
        <w:rPr>
          <w:sz w:val="28"/>
          <w:szCs w:val="28"/>
        </w:rPr>
        <w:lastRenderedPageBreak/>
        <w:t xml:space="preserve">выполнение </w:t>
      </w:r>
      <w:r w:rsidRPr="00467F9C">
        <w:rPr>
          <w:b/>
          <w:sz w:val="28"/>
          <w:szCs w:val="28"/>
        </w:rPr>
        <w:t>РП «Творческие люди»</w:t>
      </w:r>
      <w:r w:rsidRPr="00467F9C">
        <w:rPr>
          <w:sz w:val="28"/>
          <w:szCs w:val="28"/>
        </w:rPr>
        <w:t xml:space="preserve"> составило 100% от полученного финансирования. </w:t>
      </w:r>
    </w:p>
    <w:p w:rsidR="00191861" w:rsidRPr="00467F9C" w:rsidRDefault="00191861" w:rsidP="00191861">
      <w:pPr>
        <w:spacing w:before="120"/>
        <w:ind w:left="57" w:right="57" w:firstLine="652"/>
        <w:jc w:val="both"/>
        <w:rPr>
          <w:sz w:val="28"/>
          <w:szCs w:val="28"/>
        </w:rPr>
      </w:pPr>
      <w:r w:rsidRPr="00467F9C">
        <w:rPr>
          <w:b/>
          <w:sz w:val="28"/>
          <w:szCs w:val="28"/>
        </w:rPr>
        <w:t>2.9.</w:t>
      </w:r>
      <w:r w:rsidRPr="00467F9C">
        <w:rPr>
          <w:sz w:val="28"/>
          <w:szCs w:val="28"/>
        </w:rPr>
        <w:t xml:space="preserve"> На территории Чукотского автономного округа в рамках национального проекта </w:t>
      </w:r>
      <w:r w:rsidRPr="00467F9C">
        <w:rPr>
          <w:b/>
          <w:sz w:val="28"/>
          <w:szCs w:val="28"/>
        </w:rPr>
        <w:t>«Малое и среднее предпринимательство и поддержка индивидуальной предпринимательской инициативы»</w:t>
      </w:r>
      <w:r w:rsidRPr="00467F9C">
        <w:rPr>
          <w:sz w:val="28"/>
          <w:szCs w:val="28"/>
        </w:rPr>
        <w:t xml:space="preserve"> реализуются региональные проекты, мероприятия которых интегрированы в государственную программу «Стимулирование экономической активности населения Чукотского автономного округа»: «Создание благоприятных условий для осуществления деятельности самозанятыми гражданами» (начало реализации с 2021 года); «Создание условий для легкого старта и комфортного ведения бизнеса» (начало реализации с 2021 года; трансформация регионального проекта «Расширение доступа субъектов МСП к финансовой поддержке, в том числе к льготному финансированию»); «Акселерация субъектов малого и среднего предпринимательства», «Популяризация предпринимательства»</w:t>
      </w:r>
      <w:r w:rsidRPr="00467F9C">
        <w:rPr>
          <w:rStyle w:val="ab"/>
          <w:sz w:val="28"/>
          <w:szCs w:val="28"/>
        </w:rPr>
        <w:footnoteReference w:id="127"/>
      </w:r>
      <w:r w:rsidRPr="00467F9C">
        <w:rPr>
          <w:sz w:val="28"/>
          <w:szCs w:val="28"/>
        </w:rPr>
        <w:t xml:space="preserve"> (Законом №74-ОЗ и СБР финансовое обеспечение на 2021 год не предусмотрено). </w:t>
      </w:r>
    </w:p>
    <w:p w:rsidR="00191861" w:rsidRPr="00467F9C" w:rsidRDefault="00191861" w:rsidP="00191861">
      <w:pPr>
        <w:ind w:left="57" w:right="57" w:firstLine="651"/>
        <w:jc w:val="both"/>
        <w:rPr>
          <w:sz w:val="28"/>
          <w:szCs w:val="28"/>
        </w:rPr>
      </w:pPr>
      <w:r w:rsidRPr="00467F9C">
        <w:rPr>
          <w:sz w:val="28"/>
          <w:szCs w:val="28"/>
        </w:rPr>
        <w:t xml:space="preserve">На реализацию региональных проектов в 2021 году СБР утверждено ассигнований в сумме 109,8 млн. рублей, из них 107,6 млн. рублей – средства федерального бюджета. В 2021 году направлено на реализацию проектов 109,7 млн. рублей (99,9% от утвержденных СБР бюджетных назначений), в том числе 107,5 млн. рублей средства федерального бюджета (рис. 10). </w:t>
      </w:r>
    </w:p>
    <w:p w:rsidR="00191861" w:rsidRPr="00467F9C" w:rsidRDefault="00191861" w:rsidP="00191861">
      <w:pPr>
        <w:ind w:left="57" w:right="57"/>
        <w:jc w:val="both"/>
        <w:rPr>
          <w:sz w:val="28"/>
          <w:szCs w:val="28"/>
        </w:rPr>
      </w:pPr>
      <w:r w:rsidRPr="00467F9C">
        <w:rPr>
          <w:sz w:val="28"/>
          <w:szCs w:val="28"/>
        </w:rPr>
        <w:tab/>
      </w:r>
      <w:r w:rsidRPr="00467F9C">
        <w:rPr>
          <w:sz w:val="28"/>
          <w:szCs w:val="28"/>
        </w:rPr>
        <w:tab/>
      </w:r>
      <w:r w:rsidRPr="00467F9C">
        <w:rPr>
          <w:sz w:val="28"/>
          <w:szCs w:val="28"/>
        </w:rPr>
        <w:tab/>
      </w:r>
    </w:p>
    <w:p w:rsidR="00191861" w:rsidRPr="00467F9C" w:rsidRDefault="00191861" w:rsidP="00191861">
      <w:pPr>
        <w:ind w:left="57" w:right="57"/>
        <w:jc w:val="center"/>
        <w:rPr>
          <w:sz w:val="28"/>
          <w:szCs w:val="28"/>
        </w:rPr>
      </w:pPr>
      <w:r w:rsidRPr="00467F9C">
        <w:rPr>
          <w:noProof/>
          <w:sz w:val="28"/>
          <w:szCs w:val="28"/>
        </w:rPr>
        <w:drawing>
          <wp:inline distT="0" distB="0" distL="0" distR="0" wp14:anchorId="68F46CCE" wp14:editId="03FEF979">
            <wp:extent cx="5424337" cy="1030252"/>
            <wp:effectExtent l="0" t="0" r="5080" b="17780"/>
            <wp:docPr id="27" name="Диаграмма 2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AB057C7-D6B6-4492-8116-8FE39C364D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91861" w:rsidRPr="00467F9C" w:rsidRDefault="00191861" w:rsidP="00191861">
      <w:pPr>
        <w:ind w:left="57" w:right="57" w:firstLine="651"/>
        <w:jc w:val="center"/>
      </w:pPr>
      <w:r w:rsidRPr="00467F9C">
        <w:t>Рис. 10 (млн. рублей)</w:t>
      </w:r>
    </w:p>
    <w:p w:rsidR="00191861" w:rsidRPr="00467F9C" w:rsidRDefault="00191861" w:rsidP="00191861">
      <w:pPr>
        <w:ind w:left="57" w:right="57" w:firstLine="651"/>
        <w:jc w:val="both"/>
        <w:rPr>
          <w:sz w:val="6"/>
          <w:szCs w:val="6"/>
        </w:rPr>
      </w:pPr>
    </w:p>
    <w:p w:rsidR="00191861" w:rsidRPr="00467F9C" w:rsidRDefault="00191861" w:rsidP="00191861">
      <w:pPr>
        <w:ind w:left="57" w:right="57" w:firstLine="651"/>
        <w:jc w:val="both"/>
        <w:rPr>
          <w:sz w:val="28"/>
          <w:szCs w:val="28"/>
        </w:rPr>
      </w:pPr>
      <w:r w:rsidRPr="00467F9C">
        <w:rPr>
          <w:sz w:val="28"/>
          <w:szCs w:val="28"/>
        </w:rPr>
        <w:t xml:space="preserve">Фактическое выполнение мероприятий региональных проектов в отчетном периоде составило 102,7 млн. рублей (из них 7,3 млн. рублей – гранты 2020 года), в том числе по РП «Создание благоприятных условий для осуществления деятельности самозанятыми гражданами» - 1,03 млн. рублей или 90,9%, по РП «Создание условий для легкого старта и комфортного ведения бизнеса» - 2,14 млн. рублей (25,7%), по РП «Акселерация субъектов малого и среднего предпринимательства» - 92,25 млн. рублей или 92%, по РП «Создание системы поддержки фермеров и развитие сельской кооперации (срок действия до 31.12.2020)» - 7,3 млн. рублей. </w:t>
      </w:r>
    </w:p>
    <w:p w:rsidR="00191861" w:rsidRPr="00467F9C" w:rsidRDefault="00191861" w:rsidP="00191861">
      <w:pPr>
        <w:spacing w:before="120"/>
        <w:ind w:left="57" w:right="57" w:firstLine="652"/>
        <w:jc w:val="both"/>
        <w:rPr>
          <w:sz w:val="28"/>
          <w:szCs w:val="28"/>
        </w:rPr>
      </w:pPr>
      <w:r w:rsidRPr="00467F9C">
        <w:rPr>
          <w:sz w:val="28"/>
          <w:szCs w:val="28"/>
        </w:rPr>
        <w:t xml:space="preserve">Реализация региональных проектов в рамках национальных проектов </w:t>
      </w:r>
      <w:r w:rsidRPr="00467F9C">
        <w:rPr>
          <w:b/>
          <w:sz w:val="28"/>
          <w:szCs w:val="28"/>
        </w:rPr>
        <w:t>«Производительность труда и поддержка занятости»</w:t>
      </w:r>
      <w:r w:rsidRPr="00467F9C">
        <w:rPr>
          <w:sz w:val="28"/>
          <w:szCs w:val="28"/>
        </w:rPr>
        <w:t xml:space="preserve"> и </w:t>
      </w:r>
      <w:r w:rsidRPr="00467F9C">
        <w:rPr>
          <w:b/>
          <w:sz w:val="28"/>
          <w:szCs w:val="28"/>
        </w:rPr>
        <w:t xml:space="preserve">«Международная кооперация и экспорт» </w:t>
      </w:r>
      <w:r w:rsidRPr="00467F9C">
        <w:rPr>
          <w:sz w:val="28"/>
          <w:szCs w:val="28"/>
        </w:rPr>
        <w:t xml:space="preserve">на территории Чукотского автономного округа не осуществлялась. </w:t>
      </w:r>
    </w:p>
    <w:p w:rsidR="00191861" w:rsidRPr="00467F9C" w:rsidRDefault="00191861" w:rsidP="00191861">
      <w:pPr>
        <w:ind w:left="57" w:right="57" w:firstLine="651"/>
        <w:jc w:val="both"/>
        <w:rPr>
          <w:sz w:val="28"/>
          <w:szCs w:val="28"/>
        </w:rPr>
      </w:pPr>
      <w:r w:rsidRPr="00467F9C">
        <w:rPr>
          <w:sz w:val="28"/>
          <w:szCs w:val="28"/>
        </w:rPr>
        <w:t xml:space="preserve">Информация о реализации региональных проектов в Чукотском автономном округе за 2021 год приведена в Приложении №1 к настоящему отчету. </w:t>
      </w:r>
    </w:p>
    <w:p w:rsidR="00191861" w:rsidRPr="00467F9C" w:rsidRDefault="00191861" w:rsidP="00191861">
      <w:pPr>
        <w:spacing w:before="120" w:after="120"/>
        <w:ind w:left="57" w:right="57"/>
        <w:jc w:val="both"/>
        <w:rPr>
          <w:b/>
          <w:sz w:val="28"/>
          <w:szCs w:val="28"/>
        </w:rPr>
      </w:pPr>
      <w:r w:rsidRPr="00467F9C">
        <w:rPr>
          <w:sz w:val="28"/>
          <w:szCs w:val="28"/>
        </w:rPr>
        <w:lastRenderedPageBreak/>
        <w:tab/>
      </w:r>
      <w:r w:rsidRPr="00467F9C">
        <w:rPr>
          <w:b/>
          <w:sz w:val="28"/>
          <w:szCs w:val="28"/>
        </w:rPr>
        <w:t>ВЫВОДЫ:</w:t>
      </w:r>
    </w:p>
    <w:p w:rsidR="00191861" w:rsidRPr="00467F9C" w:rsidRDefault="00191861" w:rsidP="00191861">
      <w:pPr>
        <w:ind w:left="57" w:right="57" w:firstLine="651"/>
        <w:jc w:val="both"/>
        <w:rPr>
          <w:sz w:val="28"/>
          <w:szCs w:val="28"/>
        </w:rPr>
      </w:pPr>
      <w:r w:rsidRPr="00467F9C">
        <w:rPr>
          <w:sz w:val="28"/>
          <w:szCs w:val="28"/>
        </w:rPr>
        <w:t xml:space="preserve">1. В Чукотском автономном округе на период 2019-2024 годов предусмотрена реализация 45 региональных проектов в рамках национальных проектов с объемом финансовых ресурсов в сумме 14 312,6 млн. рублей, из них 9 244,6 млн. рублей или 64,6% предполагается направить на строительство объектов социальной инфраструктуры (школы, детский сад, спортивные площадки) и жилья. </w:t>
      </w:r>
    </w:p>
    <w:p w:rsidR="00191861" w:rsidRPr="00467F9C" w:rsidRDefault="00191861" w:rsidP="00191861">
      <w:pPr>
        <w:spacing w:before="60"/>
        <w:ind w:left="57" w:right="57"/>
        <w:jc w:val="both"/>
        <w:rPr>
          <w:sz w:val="28"/>
          <w:szCs w:val="28"/>
        </w:rPr>
      </w:pPr>
      <w:r w:rsidRPr="00467F9C">
        <w:rPr>
          <w:sz w:val="28"/>
          <w:szCs w:val="28"/>
        </w:rPr>
        <w:tab/>
        <w:t>2. Сводной бюджетной росписью на 2021 год утвержден объем бюджетных ассигнований на реализацию мероприятий 29 региональных проектов на общую сумму 3 392,2 млн. рублей, из них:</w:t>
      </w:r>
    </w:p>
    <w:p w:rsidR="00191861" w:rsidRPr="00467F9C" w:rsidRDefault="00191861" w:rsidP="00191861">
      <w:pPr>
        <w:ind w:left="57" w:right="57"/>
        <w:jc w:val="both"/>
        <w:rPr>
          <w:sz w:val="28"/>
          <w:szCs w:val="28"/>
        </w:rPr>
      </w:pPr>
      <w:r w:rsidRPr="00467F9C">
        <w:rPr>
          <w:sz w:val="28"/>
          <w:szCs w:val="28"/>
        </w:rPr>
        <w:tab/>
        <w:t xml:space="preserve">- 2 120,5 млн. рублей или 62,5% из них на строительство объектов социальной инфраструктуры и жилья; </w:t>
      </w:r>
    </w:p>
    <w:p w:rsidR="00191861" w:rsidRPr="00467F9C" w:rsidRDefault="00191861" w:rsidP="00191861">
      <w:pPr>
        <w:ind w:left="57" w:right="57"/>
        <w:jc w:val="both"/>
        <w:rPr>
          <w:sz w:val="28"/>
          <w:szCs w:val="28"/>
        </w:rPr>
      </w:pPr>
      <w:r w:rsidRPr="00467F9C">
        <w:rPr>
          <w:sz w:val="28"/>
          <w:szCs w:val="28"/>
        </w:rPr>
        <w:tab/>
        <w:t>- 185,0 млн. рублей или 5,4 % на реализацию мероприятий, которые не предусмотрены паспортами региональных проектов.</w:t>
      </w:r>
    </w:p>
    <w:p w:rsidR="00191861" w:rsidRPr="00467F9C" w:rsidRDefault="00191861" w:rsidP="00191861">
      <w:pPr>
        <w:spacing w:before="60"/>
        <w:ind w:left="57" w:right="57"/>
        <w:jc w:val="both"/>
        <w:rPr>
          <w:sz w:val="28"/>
          <w:szCs w:val="28"/>
        </w:rPr>
      </w:pPr>
      <w:r w:rsidRPr="00467F9C">
        <w:rPr>
          <w:sz w:val="28"/>
          <w:szCs w:val="28"/>
        </w:rPr>
        <w:tab/>
        <w:t>3. В отчетном периоде на реализацию 29 региональных проектов из окружного бюджета направлено 2 981,8 млн. рублей (87,9 % от утвержденных СБР бюджетных ассигнований), из них:</w:t>
      </w:r>
    </w:p>
    <w:p w:rsidR="00191861" w:rsidRPr="00467F9C" w:rsidRDefault="00191861" w:rsidP="00191861">
      <w:pPr>
        <w:ind w:left="57" w:right="57"/>
        <w:jc w:val="both"/>
        <w:rPr>
          <w:sz w:val="28"/>
          <w:szCs w:val="28"/>
        </w:rPr>
      </w:pPr>
      <w:r w:rsidRPr="00467F9C">
        <w:rPr>
          <w:sz w:val="28"/>
          <w:szCs w:val="28"/>
        </w:rPr>
        <w:tab/>
        <w:t>- 682,1 млн. рублей или 22,8 % от направленных бюджетных средств – по состоянию на 1 января 2022 года произведено авансирование по пяти региональным проектам («Современная школа», «Жильё», «Формирование комфортной городской среды», «Культурная среда», «Обеспечение устойчивого сокращения непригодного для проживания жилищного фонда») со сроком выполнения работ в 2021 – 2023 годах;</w:t>
      </w:r>
    </w:p>
    <w:p w:rsidR="00191861" w:rsidRPr="00467F9C" w:rsidRDefault="00191861" w:rsidP="00191861">
      <w:pPr>
        <w:pStyle w:val="a9"/>
        <w:jc w:val="both"/>
        <w:rPr>
          <w:sz w:val="28"/>
          <w:szCs w:val="28"/>
        </w:rPr>
      </w:pPr>
      <w:r w:rsidRPr="00467F9C">
        <w:rPr>
          <w:sz w:val="28"/>
          <w:szCs w:val="28"/>
        </w:rPr>
        <w:tab/>
        <w:t>- 568,3</w:t>
      </w:r>
      <w:r w:rsidRPr="00467F9C">
        <w:t> </w:t>
      </w:r>
      <w:r w:rsidRPr="00467F9C">
        <w:rPr>
          <w:sz w:val="28"/>
          <w:szCs w:val="28"/>
        </w:rPr>
        <w:t>млн. рублей (или 19,1 %) - неиспользованные остатки направленных муниципальным образованиям межбюджетных трансфертов в форме субсидий по четырем региональным проектам («Жильё», «Обеспечение устойчивого сокращения непригодного для проживания жилищного фонда», «Чистая вода», «Дорожная сеть»)</w:t>
      </w:r>
      <w:r w:rsidRPr="00467F9C">
        <w:rPr>
          <w:rStyle w:val="ab"/>
          <w:sz w:val="28"/>
          <w:szCs w:val="28"/>
        </w:rPr>
        <w:footnoteReference w:id="128"/>
      </w:r>
      <w:r w:rsidRPr="00467F9C">
        <w:rPr>
          <w:sz w:val="28"/>
          <w:szCs w:val="28"/>
        </w:rPr>
        <w:t>.</w:t>
      </w:r>
      <w:r w:rsidRPr="00467F9C">
        <w:rPr>
          <w:sz w:val="28"/>
          <w:szCs w:val="28"/>
          <w:highlight w:val="yellow"/>
        </w:rPr>
        <w:t xml:space="preserve"> </w:t>
      </w:r>
    </w:p>
    <w:p w:rsidR="00191861" w:rsidRPr="00467F9C" w:rsidRDefault="00191861" w:rsidP="00191861">
      <w:pPr>
        <w:spacing w:before="80"/>
        <w:ind w:left="57" w:right="57"/>
        <w:jc w:val="both"/>
        <w:rPr>
          <w:sz w:val="28"/>
          <w:szCs w:val="28"/>
        </w:rPr>
      </w:pPr>
      <w:r w:rsidRPr="00467F9C">
        <w:rPr>
          <w:sz w:val="28"/>
          <w:szCs w:val="28"/>
        </w:rPr>
        <w:tab/>
        <w:t>4. Фактическое исполнение мероприятий региональных проектов в 2021 году по данным ответственных исполнителей составило 1 810,7 млн. рублей, по данным Счетной палаты - 1 747,0 млн. рублей.</w:t>
      </w:r>
    </w:p>
    <w:p w:rsidR="00191861" w:rsidRPr="00467F9C" w:rsidRDefault="00191861" w:rsidP="00191861">
      <w:pPr>
        <w:ind w:left="57" w:right="57"/>
        <w:jc w:val="both"/>
        <w:rPr>
          <w:sz w:val="28"/>
          <w:szCs w:val="28"/>
        </w:rPr>
      </w:pPr>
      <w:r w:rsidRPr="00467F9C">
        <w:rPr>
          <w:sz w:val="28"/>
          <w:szCs w:val="28"/>
        </w:rPr>
        <w:tab/>
        <w:t>Основными причинами низкого уровня фактического исполнения мероприятий региональных проектов являются:</w:t>
      </w:r>
    </w:p>
    <w:p w:rsidR="00191861" w:rsidRPr="00467F9C" w:rsidRDefault="00191861" w:rsidP="00191861">
      <w:pPr>
        <w:ind w:left="57" w:right="57"/>
        <w:jc w:val="both"/>
        <w:rPr>
          <w:sz w:val="28"/>
          <w:szCs w:val="28"/>
        </w:rPr>
      </w:pPr>
      <w:r w:rsidRPr="00467F9C">
        <w:rPr>
          <w:sz w:val="28"/>
          <w:szCs w:val="28"/>
        </w:rPr>
        <w:tab/>
        <w:t>- перенос сроков выполнения работ, поставку ТМЦ, оказания услуг на следующие периоды (2022,2023 годы);</w:t>
      </w:r>
    </w:p>
    <w:p w:rsidR="00191861" w:rsidRPr="00467F9C" w:rsidRDefault="00191861" w:rsidP="00191861">
      <w:pPr>
        <w:ind w:left="57" w:right="57"/>
        <w:jc w:val="both"/>
        <w:rPr>
          <w:sz w:val="28"/>
          <w:szCs w:val="28"/>
        </w:rPr>
      </w:pPr>
      <w:r w:rsidRPr="00467F9C">
        <w:rPr>
          <w:sz w:val="28"/>
          <w:szCs w:val="28"/>
        </w:rPr>
        <w:tab/>
        <w:t xml:space="preserve">- предоставление в текущем году авансирования по муниципальным контрактам со сроками исполнения в 2022-2024 годах; </w:t>
      </w:r>
    </w:p>
    <w:p w:rsidR="00191861" w:rsidRPr="00467F9C" w:rsidRDefault="00191861" w:rsidP="00191861">
      <w:pPr>
        <w:ind w:left="57" w:right="57"/>
        <w:jc w:val="both"/>
        <w:rPr>
          <w:sz w:val="28"/>
          <w:szCs w:val="28"/>
        </w:rPr>
      </w:pPr>
      <w:r w:rsidRPr="00467F9C">
        <w:rPr>
          <w:sz w:val="28"/>
          <w:szCs w:val="28"/>
        </w:rPr>
        <w:tab/>
        <w:t>- расторжение заключенных контрактов на выполнение работ в текущем году.</w:t>
      </w:r>
    </w:p>
    <w:p w:rsidR="00191861" w:rsidRPr="00467F9C" w:rsidRDefault="00191861" w:rsidP="00191861">
      <w:pPr>
        <w:ind w:left="57" w:right="57"/>
        <w:jc w:val="both"/>
        <w:rPr>
          <w:sz w:val="28"/>
          <w:szCs w:val="28"/>
        </w:rPr>
      </w:pPr>
      <w:r w:rsidRPr="00467F9C">
        <w:rPr>
          <w:sz w:val="28"/>
          <w:szCs w:val="28"/>
        </w:rPr>
        <w:tab/>
        <w:t xml:space="preserve">5. В установленной форме отчетов о ходе реализации региональных проектов конечным результатом выполнения регионального проекта является кассовое исполнение (направление бюджетных ассигнований на их реализацию). </w:t>
      </w:r>
      <w:r w:rsidRPr="00467F9C">
        <w:rPr>
          <w:sz w:val="28"/>
          <w:szCs w:val="28"/>
        </w:rPr>
        <w:lastRenderedPageBreak/>
        <w:t>Отражение данных о фактическом выполнении мероприятий региональных проектов (выполненных работах, поставленных товарно-материальных ценностях, оказанных услугах) формой не предусмотрено.</w:t>
      </w:r>
    </w:p>
    <w:p w:rsidR="00191861" w:rsidRPr="00467F9C" w:rsidRDefault="00191861" w:rsidP="00191861">
      <w:pPr>
        <w:ind w:left="57" w:right="57"/>
        <w:jc w:val="both"/>
        <w:rPr>
          <w:sz w:val="28"/>
          <w:szCs w:val="28"/>
        </w:rPr>
      </w:pPr>
      <w:r w:rsidRPr="00467F9C">
        <w:rPr>
          <w:sz w:val="28"/>
          <w:szCs w:val="28"/>
        </w:rPr>
        <w:tab/>
        <w:t xml:space="preserve">Информация Проектного офиса о реализации региональных проектов в 2021 году не содержит анализ исполнения в отчетном периоде направленных в предыдущем отчетном периоде (году) авансовых платежей на реализацию мероприятий региональных проектов. Отсутствие данной информации не позволяет объективно оценить риски невыполнения условий контрактов, договоров, а также сделать вывод об эффективном и результативном использовании бюджетных средств. </w:t>
      </w:r>
    </w:p>
    <w:p w:rsidR="00191861" w:rsidRPr="00467F9C" w:rsidRDefault="00191861" w:rsidP="00191861">
      <w:pPr>
        <w:ind w:left="57" w:right="57" w:firstLine="651"/>
        <w:jc w:val="both"/>
        <w:rPr>
          <w:sz w:val="28"/>
          <w:szCs w:val="28"/>
        </w:rPr>
      </w:pPr>
      <w:r w:rsidRPr="00467F9C">
        <w:rPr>
          <w:sz w:val="28"/>
          <w:szCs w:val="28"/>
        </w:rPr>
        <w:t>При этом, в ходе экспертно-аналитического мероприятия Счетной палатой установлено, что в 2021 году фактическое выполнение мероприятий пяти региональных проектов, на которые были перечислены авансовые платежи и гранты в 2020 году, составило 104,9 млн. рублей или 24,8% от направленного финансирования (421,3 млн. рублей),  не выполнены работы (не оказаны услуги) на общую сумму 284,6 млн. рублей или 67,5% и осуществлен возврат неиспользованного аванса в окружной бюджет в сумме 32,0 млн. рублей (7,7%).</w:t>
      </w:r>
    </w:p>
    <w:p w:rsidR="00191861" w:rsidRPr="00467F9C" w:rsidRDefault="00191861" w:rsidP="00191861">
      <w:pPr>
        <w:spacing w:before="60"/>
        <w:ind w:left="57" w:right="57"/>
        <w:jc w:val="both"/>
        <w:rPr>
          <w:sz w:val="28"/>
          <w:szCs w:val="28"/>
        </w:rPr>
      </w:pPr>
      <w:r w:rsidRPr="00467F9C">
        <w:rPr>
          <w:sz w:val="28"/>
          <w:szCs w:val="28"/>
        </w:rPr>
        <w:tab/>
        <w:t xml:space="preserve">6. Отсутствие межведомственного взаимодействия при контроле инвестиционных составляющих региональных проектов между отраслевыми департаментами, являющимися ответственными исполнителями региональных проектов, Департаментом промышленности – главным распорядителем бюджетных средств и ГКУ «Управление капитального строительства», осуществляющим функции заказчика, негативно отражается на контроле за ходом реализации региональных проектов. </w:t>
      </w:r>
    </w:p>
    <w:p w:rsidR="00191861" w:rsidRPr="00467F9C" w:rsidRDefault="00191861" w:rsidP="00191861">
      <w:pPr>
        <w:ind w:left="57" w:right="57"/>
        <w:jc w:val="both"/>
        <w:rPr>
          <w:b/>
          <w:sz w:val="28"/>
          <w:szCs w:val="28"/>
          <w:highlight w:val="yellow"/>
        </w:rPr>
      </w:pPr>
    </w:p>
    <w:p w:rsidR="00191861" w:rsidRPr="00467F9C" w:rsidRDefault="00191861" w:rsidP="00191861">
      <w:pPr>
        <w:ind w:left="57" w:right="57" w:firstLine="651"/>
        <w:jc w:val="both"/>
        <w:rPr>
          <w:b/>
          <w:sz w:val="28"/>
          <w:szCs w:val="28"/>
        </w:rPr>
      </w:pPr>
      <w:r w:rsidRPr="00467F9C">
        <w:rPr>
          <w:b/>
          <w:sz w:val="28"/>
          <w:szCs w:val="28"/>
        </w:rPr>
        <w:t xml:space="preserve">Предложения </w:t>
      </w:r>
    </w:p>
    <w:p w:rsidR="00191861" w:rsidRPr="00467F9C" w:rsidRDefault="00191861" w:rsidP="00C404B9">
      <w:pPr>
        <w:pStyle w:val="af"/>
        <w:numPr>
          <w:ilvl w:val="0"/>
          <w:numId w:val="4"/>
        </w:numPr>
        <w:tabs>
          <w:tab w:val="left" w:pos="993"/>
        </w:tabs>
        <w:spacing w:after="0" w:line="240" w:lineRule="auto"/>
        <w:ind w:left="0" w:right="57" w:firstLine="708"/>
        <w:jc w:val="both"/>
        <w:rPr>
          <w:rFonts w:ascii="Times New Roman" w:hAnsi="Times New Roman" w:cs="Times New Roman"/>
          <w:sz w:val="28"/>
          <w:szCs w:val="28"/>
        </w:rPr>
      </w:pPr>
      <w:r w:rsidRPr="00467F9C">
        <w:rPr>
          <w:rFonts w:ascii="Times New Roman" w:hAnsi="Times New Roman" w:cs="Times New Roman"/>
          <w:sz w:val="28"/>
          <w:szCs w:val="28"/>
        </w:rPr>
        <w:t xml:space="preserve">Отчет направить в Думу, Губернатору Чукотского автономного округа и в Региональный проектный офис. </w:t>
      </w:r>
    </w:p>
    <w:p w:rsidR="00191861" w:rsidRPr="00467F9C" w:rsidRDefault="00191861" w:rsidP="00191861">
      <w:pPr>
        <w:autoSpaceDE w:val="0"/>
        <w:autoSpaceDN w:val="0"/>
        <w:adjustRightInd w:val="0"/>
        <w:spacing w:before="60" w:after="60"/>
        <w:ind w:firstLine="709"/>
        <w:jc w:val="both"/>
        <w:rPr>
          <w:sz w:val="28"/>
          <w:szCs w:val="28"/>
        </w:rPr>
      </w:pPr>
      <w:r w:rsidRPr="00467F9C">
        <w:rPr>
          <w:sz w:val="28"/>
          <w:szCs w:val="28"/>
        </w:rPr>
        <w:t>2. Рекомендовать Губернатору - Председателю Правительства Чукотского автономного округа обеспечить взаимодействие исполнительных органов государственной власти Чукотского автономного округа и других участников проектной деятельности при рассмотрении вопросов, связанных с инвестиционной составляющей региональных проектов.</w:t>
      </w:r>
    </w:p>
    <w:p w:rsidR="00191861" w:rsidRPr="00467F9C" w:rsidRDefault="00191861" w:rsidP="00191861">
      <w:pPr>
        <w:spacing w:after="200"/>
        <w:rPr>
          <w:sz w:val="28"/>
          <w:szCs w:val="28"/>
        </w:rPr>
      </w:pPr>
      <w:r w:rsidRPr="00467F9C">
        <w:rPr>
          <w:sz w:val="28"/>
          <w:szCs w:val="28"/>
        </w:rPr>
        <w:br w:type="page"/>
      </w:r>
    </w:p>
    <w:p w:rsidR="00191861" w:rsidRPr="00467F9C" w:rsidRDefault="00183171" w:rsidP="00191861">
      <w:pPr>
        <w:pStyle w:val="ConsPlusNonformat"/>
        <w:jc w:val="center"/>
        <w:rPr>
          <w:rFonts w:ascii="Times New Roman" w:hAnsi="Times New Roman" w:cs="Times New Roman"/>
          <w:b/>
          <w:sz w:val="28"/>
          <w:szCs w:val="28"/>
        </w:rPr>
      </w:pPr>
      <w:r>
        <w:rPr>
          <w:rFonts w:ascii="Times New Roman" w:hAnsi="Times New Roman" w:cs="Times New Roman"/>
          <w:b/>
          <w:sz w:val="28"/>
          <w:szCs w:val="28"/>
        </w:rPr>
        <w:lastRenderedPageBreak/>
        <w:t>ОТЧЕТ</w:t>
      </w:r>
    </w:p>
    <w:p w:rsidR="00191861" w:rsidRPr="00467F9C" w:rsidRDefault="00191861" w:rsidP="00191861">
      <w:pPr>
        <w:pStyle w:val="ConsPlusNonformat"/>
        <w:jc w:val="center"/>
        <w:rPr>
          <w:rFonts w:ascii="Times New Roman" w:hAnsi="Times New Roman" w:cs="Times New Roman"/>
          <w:b/>
          <w:sz w:val="28"/>
          <w:szCs w:val="28"/>
        </w:rPr>
      </w:pPr>
      <w:r w:rsidRPr="00467F9C">
        <w:rPr>
          <w:rFonts w:ascii="Times New Roman" w:hAnsi="Times New Roman" w:cs="Times New Roman"/>
          <w:b/>
          <w:sz w:val="28"/>
          <w:szCs w:val="28"/>
        </w:rPr>
        <w:t xml:space="preserve">по результатам экспертно-аналитического мероприятия </w:t>
      </w:r>
    </w:p>
    <w:p w:rsidR="00191861" w:rsidRPr="00467F9C" w:rsidRDefault="00191861" w:rsidP="00191861">
      <w:pPr>
        <w:pStyle w:val="ConsPlusNonformat"/>
        <w:jc w:val="center"/>
        <w:rPr>
          <w:rFonts w:ascii="Times New Roman" w:hAnsi="Times New Roman" w:cs="Times New Roman"/>
          <w:b/>
          <w:sz w:val="28"/>
          <w:szCs w:val="28"/>
        </w:rPr>
      </w:pPr>
      <w:r w:rsidRPr="00467F9C">
        <w:rPr>
          <w:rFonts w:ascii="Times New Roman" w:hAnsi="Times New Roman" w:cs="Times New Roman"/>
          <w:b/>
          <w:sz w:val="28"/>
          <w:szCs w:val="28"/>
        </w:rPr>
        <w:t>«Оперативный контроль исполнения Закона Чукотского автономного округа «Об окружном бюджете на 2022 год и на плановый период 2023 и 2024 годов» за 1 квартал 2022 года»</w:t>
      </w:r>
    </w:p>
    <w:p w:rsidR="00191861" w:rsidRPr="00467F9C" w:rsidRDefault="00191861" w:rsidP="00191861">
      <w:pPr>
        <w:spacing w:before="120"/>
        <w:jc w:val="center"/>
      </w:pPr>
      <w:r w:rsidRPr="00467F9C">
        <w:t>Утверждено Коллегией Счетной палаты Чукотского автономного округа</w:t>
      </w:r>
    </w:p>
    <w:p w:rsidR="00191861" w:rsidRPr="00467F9C" w:rsidRDefault="00191861" w:rsidP="00191861">
      <w:pPr>
        <w:spacing w:after="120"/>
        <w:jc w:val="center"/>
      </w:pPr>
      <w:r w:rsidRPr="00467F9C">
        <w:t>(протокол от 23 мая 2022 года №10)</w:t>
      </w:r>
    </w:p>
    <w:p w:rsidR="00191861" w:rsidRPr="00467F9C" w:rsidRDefault="00191861" w:rsidP="00191861">
      <w:pPr>
        <w:pStyle w:val="ac"/>
        <w:ind w:firstLine="709"/>
        <w:rPr>
          <w:rFonts w:ascii="Times New Roman" w:hAnsi="Times New Roman" w:cs="Times New Roman"/>
          <w:b/>
          <w:sz w:val="28"/>
          <w:szCs w:val="28"/>
        </w:rPr>
      </w:pPr>
      <w:r w:rsidRPr="00467F9C">
        <w:rPr>
          <w:rFonts w:ascii="Times New Roman" w:hAnsi="Times New Roman" w:cs="Times New Roman"/>
          <w:b/>
          <w:sz w:val="28"/>
          <w:szCs w:val="28"/>
        </w:rPr>
        <w:t>Основание для проведения мероприятия</w:t>
      </w:r>
    </w:p>
    <w:p w:rsidR="00191861" w:rsidRPr="00467F9C" w:rsidRDefault="00191861" w:rsidP="00191861">
      <w:pPr>
        <w:ind w:firstLine="720"/>
        <w:jc w:val="both"/>
        <w:rPr>
          <w:sz w:val="28"/>
          <w:szCs w:val="28"/>
        </w:rPr>
      </w:pPr>
      <w:r w:rsidRPr="00467F9C">
        <w:rPr>
          <w:sz w:val="28"/>
          <w:szCs w:val="28"/>
        </w:rPr>
        <w:t>Пункт 2.7. Плана работы Счетной палаты Чукотского автономного округа на 2022 год, утвержденного решением Коллегии Счетной палаты Чукотского автономного округа (протокол от 28 декабря 2021 года №32).</w:t>
      </w:r>
    </w:p>
    <w:p w:rsidR="00191861" w:rsidRPr="00467F9C" w:rsidRDefault="00191861" w:rsidP="00191861">
      <w:pPr>
        <w:pStyle w:val="ConsPlusNonformat"/>
        <w:spacing w:before="120"/>
        <w:ind w:firstLine="709"/>
        <w:jc w:val="both"/>
        <w:rPr>
          <w:rFonts w:ascii="Times New Roman" w:hAnsi="Times New Roman" w:cs="Times New Roman"/>
          <w:sz w:val="28"/>
          <w:szCs w:val="28"/>
        </w:rPr>
      </w:pPr>
      <w:r w:rsidRPr="00467F9C">
        <w:rPr>
          <w:rFonts w:ascii="Times New Roman" w:hAnsi="Times New Roman" w:cs="Times New Roman"/>
          <w:b/>
          <w:sz w:val="28"/>
          <w:szCs w:val="28"/>
        </w:rPr>
        <w:t>Предмет экспертно-аналитического мероприятия</w:t>
      </w:r>
    </w:p>
    <w:p w:rsidR="00191861" w:rsidRPr="00467F9C" w:rsidRDefault="00191861" w:rsidP="00191861">
      <w:pPr>
        <w:autoSpaceDE w:val="0"/>
        <w:autoSpaceDN w:val="0"/>
        <w:adjustRightInd w:val="0"/>
        <w:ind w:firstLine="709"/>
        <w:jc w:val="both"/>
        <w:rPr>
          <w:rFonts w:eastAsiaTheme="minorHAnsi"/>
          <w:sz w:val="28"/>
          <w:szCs w:val="28"/>
          <w:lang w:eastAsia="en-US"/>
        </w:rPr>
      </w:pPr>
      <w:r w:rsidRPr="00467F9C">
        <w:rPr>
          <w:rFonts w:eastAsiaTheme="minorHAnsi"/>
          <w:sz w:val="28"/>
          <w:szCs w:val="28"/>
          <w:lang w:eastAsia="en-US"/>
        </w:rPr>
        <w:t>Процесс исполнения окружного бюджета за 1 квартал 2022 года.</w:t>
      </w:r>
    </w:p>
    <w:p w:rsidR="00191861" w:rsidRPr="00467F9C" w:rsidRDefault="00191861" w:rsidP="00191861">
      <w:pPr>
        <w:pStyle w:val="ConsPlusNonformat"/>
        <w:spacing w:before="120"/>
        <w:ind w:firstLine="709"/>
        <w:jc w:val="both"/>
        <w:rPr>
          <w:rFonts w:ascii="Times New Roman" w:hAnsi="Times New Roman" w:cs="Times New Roman"/>
          <w:b/>
          <w:sz w:val="28"/>
          <w:szCs w:val="28"/>
        </w:rPr>
      </w:pPr>
      <w:r w:rsidRPr="00467F9C">
        <w:rPr>
          <w:rFonts w:ascii="Times New Roman" w:hAnsi="Times New Roman" w:cs="Times New Roman"/>
          <w:b/>
          <w:sz w:val="28"/>
          <w:szCs w:val="28"/>
        </w:rPr>
        <w:t>Цель экспертно-аналитического мероприятия</w:t>
      </w:r>
    </w:p>
    <w:p w:rsidR="00191861" w:rsidRPr="00467F9C" w:rsidRDefault="00191861" w:rsidP="00191861">
      <w:pPr>
        <w:autoSpaceDE w:val="0"/>
        <w:autoSpaceDN w:val="0"/>
        <w:adjustRightInd w:val="0"/>
        <w:ind w:firstLine="709"/>
        <w:jc w:val="both"/>
        <w:rPr>
          <w:rFonts w:eastAsiaTheme="minorHAnsi"/>
          <w:sz w:val="28"/>
          <w:szCs w:val="28"/>
          <w:lang w:eastAsia="en-US"/>
        </w:rPr>
      </w:pPr>
      <w:r w:rsidRPr="00467F9C">
        <w:rPr>
          <w:rFonts w:eastAsiaTheme="minorHAnsi"/>
          <w:sz w:val="28"/>
          <w:szCs w:val="28"/>
          <w:lang w:eastAsia="en-US"/>
        </w:rPr>
        <w:t>Оценить полноту и своевременность поступлений доходов окружного бюджета, исполнения расходов и источников финансирования дефицита окружного бюджета в сравнении с утвержденными показателями Закона об окружном бюджете на текущий финансовый год.</w:t>
      </w:r>
    </w:p>
    <w:p w:rsidR="00191861" w:rsidRPr="00467F9C" w:rsidRDefault="00191861" w:rsidP="00191861">
      <w:pPr>
        <w:pStyle w:val="ConsPlusNonformat"/>
        <w:spacing w:before="120"/>
        <w:ind w:firstLine="709"/>
        <w:jc w:val="both"/>
        <w:rPr>
          <w:rFonts w:ascii="Times New Roman" w:hAnsi="Times New Roman" w:cs="Times New Roman"/>
          <w:b/>
          <w:sz w:val="28"/>
          <w:szCs w:val="28"/>
        </w:rPr>
      </w:pPr>
      <w:r w:rsidRPr="00467F9C">
        <w:rPr>
          <w:rFonts w:ascii="Times New Roman" w:hAnsi="Times New Roman" w:cs="Times New Roman"/>
          <w:b/>
          <w:sz w:val="28"/>
          <w:szCs w:val="28"/>
        </w:rPr>
        <w:t>Вопросы экспертно-аналитического мероприятия</w:t>
      </w:r>
    </w:p>
    <w:p w:rsidR="00191861" w:rsidRPr="00467F9C" w:rsidRDefault="00191861" w:rsidP="00191861">
      <w:pPr>
        <w:pStyle w:val="ConsPlusNonformat"/>
        <w:ind w:firstLine="709"/>
        <w:jc w:val="both"/>
        <w:rPr>
          <w:rFonts w:ascii="Times New Roman" w:hAnsi="Times New Roman" w:cs="Times New Roman"/>
          <w:sz w:val="28"/>
          <w:szCs w:val="28"/>
        </w:rPr>
      </w:pPr>
      <w:r w:rsidRPr="00467F9C">
        <w:rPr>
          <w:rFonts w:ascii="Times New Roman" w:hAnsi="Times New Roman" w:cs="Times New Roman"/>
          <w:sz w:val="28"/>
          <w:szCs w:val="28"/>
        </w:rPr>
        <w:t>1. Анализ основных показателей социально-экономического развития Чукотского автономного округа.</w:t>
      </w:r>
    </w:p>
    <w:p w:rsidR="00191861" w:rsidRPr="00467F9C" w:rsidRDefault="00191861" w:rsidP="00191861">
      <w:pPr>
        <w:pStyle w:val="ConsPlusNonformat"/>
        <w:ind w:firstLine="709"/>
        <w:jc w:val="both"/>
        <w:rPr>
          <w:rFonts w:ascii="Times New Roman" w:hAnsi="Times New Roman" w:cs="Times New Roman"/>
          <w:sz w:val="28"/>
          <w:szCs w:val="28"/>
        </w:rPr>
      </w:pPr>
      <w:r w:rsidRPr="00467F9C">
        <w:rPr>
          <w:rFonts w:ascii="Times New Roman" w:hAnsi="Times New Roman" w:cs="Times New Roman"/>
          <w:sz w:val="28"/>
          <w:szCs w:val="28"/>
        </w:rPr>
        <w:t>2. Анализ исполнения основных параметров (показателей) окружного бюджета.</w:t>
      </w:r>
    </w:p>
    <w:p w:rsidR="00191861" w:rsidRPr="00467F9C" w:rsidRDefault="00191861" w:rsidP="00191861">
      <w:pPr>
        <w:pStyle w:val="ConsPlusNonformat"/>
        <w:spacing w:before="120"/>
        <w:ind w:firstLine="709"/>
        <w:jc w:val="both"/>
        <w:rPr>
          <w:rFonts w:ascii="Times New Roman" w:hAnsi="Times New Roman" w:cs="Times New Roman"/>
          <w:b/>
          <w:sz w:val="28"/>
          <w:szCs w:val="28"/>
        </w:rPr>
      </w:pPr>
      <w:r w:rsidRPr="00467F9C">
        <w:rPr>
          <w:rFonts w:ascii="Times New Roman" w:hAnsi="Times New Roman" w:cs="Times New Roman"/>
          <w:b/>
          <w:sz w:val="28"/>
          <w:szCs w:val="28"/>
        </w:rPr>
        <w:t>Объекты экспертно-аналитического мероприятия</w:t>
      </w:r>
    </w:p>
    <w:p w:rsidR="00191861" w:rsidRPr="00467F9C" w:rsidRDefault="00191861" w:rsidP="00191861">
      <w:pPr>
        <w:widowControl w:val="0"/>
        <w:ind w:firstLine="709"/>
        <w:jc w:val="both"/>
      </w:pPr>
      <w:r w:rsidRPr="00467F9C">
        <w:rPr>
          <w:sz w:val="28"/>
          <w:szCs w:val="28"/>
          <w:lang w:eastAsia="en-US"/>
        </w:rPr>
        <w:t>Главные администраторы средств окружного бюджета</w:t>
      </w:r>
      <w:r w:rsidRPr="00467F9C">
        <w:rPr>
          <w:sz w:val="28"/>
          <w:szCs w:val="28"/>
        </w:rPr>
        <w:t xml:space="preserve">, в том числе Департамент финансов, экономики и имущественных отношений Чукотского автономного округа (далее – Департамент финансов), </w:t>
      </w:r>
      <w:r w:rsidRPr="00467F9C">
        <w:rPr>
          <w:sz w:val="28"/>
          <w:szCs w:val="28"/>
          <w:lang w:eastAsia="en-US"/>
        </w:rPr>
        <w:t>организующий исполнение окружного бюджета,</w:t>
      </w:r>
      <w:r w:rsidRPr="00467F9C">
        <w:t xml:space="preserve"> </w:t>
      </w:r>
      <w:r w:rsidRPr="00467F9C">
        <w:rPr>
          <w:sz w:val="28"/>
          <w:szCs w:val="28"/>
        </w:rPr>
        <w:t xml:space="preserve">иные организации. </w:t>
      </w:r>
    </w:p>
    <w:p w:rsidR="00191861" w:rsidRPr="00467F9C" w:rsidRDefault="00191861" w:rsidP="00191861">
      <w:pPr>
        <w:pStyle w:val="ConsPlusNonformat"/>
        <w:spacing w:before="120"/>
        <w:ind w:firstLine="709"/>
        <w:jc w:val="both"/>
        <w:rPr>
          <w:rFonts w:ascii="Times New Roman" w:hAnsi="Times New Roman" w:cs="Times New Roman"/>
          <w:sz w:val="28"/>
          <w:szCs w:val="28"/>
        </w:rPr>
      </w:pPr>
      <w:r w:rsidRPr="00467F9C">
        <w:rPr>
          <w:rFonts w:ascii="Times New Roman" w:hAnsi="Times New Roman" w:cs="Times New Roman"/>
          <w:b/>
          <w:sz w:val="28"/>
          <w:szCs w:val="28"/>
        </w:rPr>
        <w:t>Проверяемый период деятельности:</w:t>
      </w:r>
      <w:r w:rsidRPr="00467F9C">
        <w:rPr>
          <w:rFonts w:ascii="Times New Roman" w:hAnsi="Times New Roman" w:cs="Times New Roman"/>
          <w:sz w:val="28"/>
          <w:szCs w:val="28"/>
        </w:rPr>
        <w:t xml:space="preserve"> 1 квартал 2022 года.</w:t>
      </w:r>
    </w:p>
    <w:p w:rsidR="00191861" w:rsidRPr="00467F9C" w:rsidRDefault="00191861" w:rsidP="00191861">
      <w:pPr>
        <w:pStyle w:val="ConsPlusNonformat"/>
        <w:spacing w:before="120"/>
        <w:ind w:firstLine="709"/>
        <w:rPr>
          <w:rFonts w:ascii="Times New Roman" w:hAnsi="Times New Roman" w:cs="Times New Roman"/>
          <w:sz w:val="28"/>
          <w:szCs w:val="28"/>
        </w:rPr>
      </w:pPr>
      <w:r w:rsidRPr="00467F9C">
        <w:rPr>
          <w:rFonts w:ascii="Times New Roman" w:hAnsi="Times New Roman" w:cs="Times New Roman"/>
          <w:b/>
          <w:sz w:val="28"/>
          <w:szCs w:val="28"/>
        </w:rPr>
        <w:t xml:space="preserve">Сроки проведения экспертно-аналитического мероприятия </w:t>
      </w:r>
      <w:r w:rsidRPr="00467F9C">
        <w:rPr>
          <w:rFonts w:ascii="Times New Roman" w:hAnsi="Times New Roman" w:cs="Times New Roman"/>
          <w:b/>
          <w:sz w:val="28"/>
          <w:szCs w:val="28"/>
        </w:rPr>
        <w:br/>
      </w:r>
      <w:r w:rsidRPr="00467F9C">
        <w:rPr>
          <w:rFonts w:ascii="Times New Roman" w:hAnsi="Times New Roman" w:cs="Times New Roman"/>
          <w:sz w:val="28"/>
          <w:szCs w:val="28"/>
        </w:rPr>
        <w:t>с 11 по 23 мая 2022 года.</w:t>
      </w:r>
    </w:p>
    <w:p w:rsidR="00191861" w:rsidRPr="00467F9C" w:rsidRDefault="00191861" w:rsidP="00191861">
      <w:pPr>
        <w:spacing w:before="120"/>
        <w:ind w:firstLine="709"/>
        <w:jc w:val="both"/>
        <w:rPr>
          <w:sz w:val="28"/>
          <w:szCs w:val="28"/>
        </w:rPr>
      </w:pPr>
      <w:r w:rsidRPr="00467F9C">
        <w:rPr>
          <w:sz w:val="28"/>
          <w:szCs w:val="28"/>
        </w:rPr>
        <w:t>Отчет подготовлен на основании отчета Правительства Чукотского автономного округа об исполнении окружного бюджета за 1 квартал 2022 года, статистических данных, размещенных на официальном сайте Управления Федеральной службы государственной статистики по Хабаровскому краю, Магаданской области, Еврейской автономной области и Чукотскому автономному округу (</w:t>
      </w:r>
      <w:proofErr w:type="spellStart"/>
      <w:r w:rsidRPr="00467F9C">
        <w:rPr>
          <w:sz w:val="28"/>
          <w:szCs w:val="28"/>
        </w:rPr>
        <w:t>Хабаровскстат</w:t>
      </w:r>
      <w:proofErr w:type="spellEnd"/>
      <w:r w:rsidRPr="00467F9C">
        <w:rPr>
          <w:sz w:val="28"/>
          <w:szCs w:val="28"/>
        </w:rPr>
        <w:t>), и по данным, представленным органами исполнительной власти Чукотского автономного округа.</w:t>
      </w:r>
    </w:p>
    <w:p w:rsidR="00191861" w:rsidRPr="00467F9C" w:rsidRDefault="00191861" w:rsidP="00191861">
      <w:pPr>
        <w:spacing w:before="120"/>
        <w:ind w:firstLine="709"/>
        <w:jc w:val="both"/>
        <w:rPr>
          <w:rFonts w:eastAsiaTheme="minorEastAsia"/>
          <w:b/>
          <w:sz w:val="28"/>
          <w:szCs w:val="28"/>
        </w:rPr>
        <w:sectPr w:rsidR="00191861" w:rsidRPr="00467F9C" w:rsidSect="006B0E79">
          <w:headerReference w:type="even" r:id="rId21"/>
          <w:headerReference w:type="default" r:id="rId22"/>
          <w:pgSz w:w="11906" w:h="16838" w:code="9"/>
          <w:pgMar w:top="1134" w:right="849" w:bottom="907" w:left="1134" w:header="709" w:footer="709" w:gutter="0"/>
          <w:pgNumType w:start="1"/>
          <w:cols w:space="708"/>
          <w:titlePg/>
          <w:docGrid w:linePitch="360"/>
        </w:sectPr>
      </w:pPr>
    </w:p>
    <w:p w:rsidR="00191861" w:rsidRPr="00467F9C" w:rsidRDefault="00191861" w:rsidP="00191861">
      <w:pPr>
        <w:pStyle w:val="ConsPlusNonformat"/>
        <w:spacing w:before="240" w:after="120"/>
        <w:ind w:hanging="142"/>
        <w:jc w:val="center"/>
        <w:rPr>
          <w:rFonts w:ascii="Times New Roman" w:hAnsi="Times New Roman" w:cs="Times New Roman"/>
          <w:b/>
          <w:sz w:val="28"/>
          <w:szCs w:val="28"/>
        </w:rPr>
      </w:pPr>
      <w:r w:rsidRPr="00467F9C">
        <w:rPr>
          <w:rFonts w:ascii="Times New Roman" w:hAnsi="Times New Roman" w:cs="Times New Roman"/>
          <w:b/>
          <w:sz w:val="28"/>
          <w:szCs w:val="28"/>
        </w:rPr>
        <w:lastRenderedPageBreak/>
        <w:t xml:space="preserve">1. Анализ основных показателей </w:t>
      </w:r>
      <w:r w:rsidRPr="00467F9C">
        <w:rPr>
          <w:rFonts w:ascii="Times New Roman" w:hAnsi="Times New Roman" w:cs="Times New Roman"/>
          <w:b/>
          <w:sz w:val="28"/>
          <w:szCs w:val="28"/>
        </w:rPr>
        <w:br/>
        <w:t>социально-экономического развития Чукотского автономного округа</w:t>
      </w:r>
    </w:p>
    <w:p w:rsidR="00191861" w:rsidRPr="00467F9C" w:rsidRDefault="00191861" w:rsidP="00191861">
      <w:pPr>
        <w:ind w:firstLine="709"/>
        <w:jc w:val="both"/>
        <w:rPr>
          <w:sz w:val="28"/>
          <w:szCs w:val="28"/>
        </w:rPr>
      </w:pPr>
      <w:r w:rsidRPr="00467F9C">
        <w:rPr>
          <w:sz w:val="28"/>
          <w:szCs w:val="28"/>
        </w:rPr>
        <w:t>Утвержденные статьей 1 Закона об окружном бюджете</w:t>
      </w:r>
      <w:r w:rsidRPr="00467F9C">
        <w:rPr>
          <w:rStyle w:val="ab"/>
          <w:sz w:val="28"/>
          <w:szCs w:val="28"/>
        </w:rPr>
        <w:footnoteReference w:id="129"/>
      </w:r>
      <w:r w:rsidRPr="00467F9C">
        <w:rPr>
          <w:sz w:val="28"/>
          <w:szCs w:val="28"/>
        </w:rPr>
        <w:t xml:space="preserve"> основные характеристики окружного бюджета на 2022 год определены исходя из прогнозируемого объема валового регионального продукта в размере 136 576,5 млн рублей.</w:t>
      </w:r>
    </w:p>
    <w:p w:rsidR="00191861" w:rsidRPr="00467F9C" w:rsidRDefault="00191861" w:rsidP="00191861">
      <w:pPr>
        <w:ind w:firstLine="709"/>
        <w:jc w:val="both"/>
        <w:rPr>
          <w:sz w:val="28"/>
          <w:szCs w:val="28"/>
        </w:rPr>
      </w:pPr>
      <w:r w:rsidRPr="00467F9C">
        <w:rPr>
          <w:sz w:val="28"/>
          <w:szCs w:val="28"/>
        </w:rPr>
        <w:t>Показатели, характеризующие социально-экономическое развитие Чукотского автономного округа, представлены в сравнении с аналогичным периодом прошлого года.</w:t>
      </w:r>
    </w:p>
    <w:p w:rsidR="00191861" w:rsidRPr="00467F9C" w:rsidRDefault="00191861" w:rsidP="00191861">
      <w:pPr>
        <w:tabs>
          <w:tab w:val="left" w:pos="851"/>
        </w:tabs>
        <w:ind w:firstLine="709"/>
        <w:jc w:val="both"/>
        <w:rPr>
          <w:sz w:val="28"/>
          <w:szCs w:val="28"/>
        </w:rPr>
      </w:pPr>
      <w:r w:rsidRPr="00467F9C">
        <w:rPr>
          <w:b/>
          <w:sz w:val="28"/>
          <w:szCs w:val="28"/>
        </w:rPr>
        <w:t>Индекс промышленного производства</w:t>
      </w:r>
      <w:r w:rsidRPr="00467F9C">
        <w:rPr>
          <w:sz w:val="28"/>
          <w:szCs w:val="28"/>
        </w:rPr>
        <w:t xml:space="preserve"> в 1 квартале 2022 года составил 91,5% к аналогичному периоду 2021 года, в том числе в добывающей отрасли – 86,6%, обрабатывающих производствах – 103,1%, обеспечение электрической энергией, газом и паром – 100,8%, водоснабжении, водоотведении, организации сбора и утилизации отходов, деятельности по ликвидации загрязнений – 100,3%.</w:t>
      </w:r>
    </w:p>
    <w:p w:rsidR="00191861" w:rsidRPr="00467F9C" w:rsidRDefault="00191861" w:rsidP="00191861">
      <w:pPr>
        <w:ind w:firstLine="709"/>
        <w:jc w:val="both"/>
        <w:rPr>
          <w:sz w:val="28"/>
          <w:szCs w:val="28"/>
        </w:rPr>
      </w:pPr>
      <w:r w:rsidRPr="00467F9C">
        <w:rPr>
          <w:sz w:val="28"/>
          <w:szCs w:val="28"/>
        </w:rPr>
        <w:t>По данным Департамента промышленной политики Чукотского автономного округа</w:t>
      </w:r>
      <w:r w:rsidRPr="00467F9C">
        <w:rPr>
          <w:b/>
          <w:i/>
          <w:sz w:val="28"/>
          <w:szCs w:val="28"/>
        </w:rPr>
        <w:t xml:space="preserve"> </w:t>
      </w:r>
      <w:r w:rsidRPr="00467F9C">
        <w:rPr>
          <w:sz w:val="28"/>
          <w:szCs w:val="28"/>
        </w:rPr>
        <w:t>на 1 апреля 2022 года на территории региона добыто 4,9 тонн золота, что на 4,8% больше аналогичного периода прошлого года. Объем добычи серебра составил 24,8 тонны или на 2,6% больше соответствующего периода предыдущего года. За три месяца текущего года добыто 23,5 млн м</w:t>
      </w:r>
      <w:r w:rsidRPr="00467F9C">
        <w:rPr>
          <w:sz w:val="28"/>
          <w:szCs w:val="28"/>
          <w:vertAlign w:val="superscript"/>
        </w:rPr>
        <w:t>3</w:t>
      </w:r>
      <w:r w:rsidRPr="00467F9C">
        <w:rPr>
          <w:sz w:val="28"/>
          <w:szCs w:val="28"/>
        </w:rPr>
        <w:t xml:space="preserve"> газа, что на 1% ниже аналогичного периода 2021 года, добыча угля за анализируемый период выросла на 13,3%, с 267,9 тыс. тонн до 303,6 тыс. тонн. </w:t>
      </w:r>
    </w:p>
    <w:p w:rsidR="00191861" w:rsidRPr="00467F9C" w:rsidRDefault="00191861" w:rsidP="00191861">
      <w:pPr>
        <w:tabs>
          <w:tab w:val="left" w:pos="851"/>
        </w:tabs>
        <w:ind w:firstLine="709"/>
        <w:jc w:val="both"/>
        <w:rPr>
          <w:sz w:val="28"/>
          <w:szCs w:val="28"/>
        </w:rPr>
      </w:pPr>
      <w:r w:rsidRPr="00467F9C">
        <w:rPr>
          <w:b/>
          <w:sz w:val="28"/>
          <w:szCs w:val="28"/>
        </w:rPr>
        <w:t>Объем собственного производства</w:t>
      </w:r>
      <w:r w:rsidRPr="00467F9C">
        <w:rPr>
          <w:sz w:val="28"/>
          <w:szCs w:val="28"/>
        </w:rPr>
        <w:t>, выполненных работ и услуг собственными силами (отгруженных товаров), по видам экономической деятельности в Чукотском автономном округе за январь-март 2022 года составил 27 429,3 млн рублей, в том числе: добыча полезных ископаемых – 522,9 млн рублей, обрабатывающие производства – 21 490,1 млн рублей, обеспечение электрической энергией – 5 239,1 млн рублей, водоснабжение, водоотведение – 177,2 млн рублей.</w:t>
      </w:r>
    </w:p>
    <w:p w:rsidR="00191861" w:rsidRPr="00467F9C" w:rsidRDefault="00191861" w:rsidP="00191861">
      <w:pPr>
        <w:ind w:firstLine="709"/>
        <w:jc w:val="both"/>
        <w:rPr>
          <w:bCs/>
          <w:sz w:val="28"/>
          <w:szCs w:val="28"/>
        </w:rPr>
      </w:pPr>
      <w:r w:rsidRPr="00467F9C">
        <w:rPr>
          <w:bCs/>
          <w:sz w:val="28"/>
          <w:szCs w:val="28"/>
        </w:rPr>
        <w:t xml:space="preserve">Объем работ, выполненных по виду деятельности </w:t>
      </w:r>
      <w:r w:rsidRPr="00467F9C">
        <w:rPr>
          <w:b/>
          <w:bCs/>
          <w:sz w:val="28"/>
          <w:szCs w:val="28"/>
        </w:rPr>
        <w:t xml:space="preserve">«Строительство» </w:t>
      </w:r>
      <w:r w:rsidRPr="00467F9C">
        <w:rPr>
          <w:b/>
          <w:bCs/>
          <w:sz w:val="28"/>
          <w:szCs w:val="28"/>
        </w:rPr>
        <w:br/>
      </w:r>
      <w:r w:rsidRPr="00467F9C">
        <w:rPr>
          <w:bCs/>
          <w:sz w:val="28"/>
          <w:szCs w:val="28"/>
        </w:rPr>
        <w:t>за январь-март 2022 года, уменьшился до 92% к аналогичному периоду 2021 года, и составил 1 131,1 млн рублей.</w:t>
      </w:r>
    </w:p>
    <w:p w:rsidR="00191861" w:rsidRPr="00467F9C" w:rsidRDefault="00191861" w:rsidP="00191861">
      <w:pPr>
        <w:ind w:firstLine="709"/>
        <w:jc w:val="both"/>
        <w:rPr>
          <w:sz w:val="28"/>
          <w:szCs w:val="28"/>
        </w:rPr>
      </w:pPr>
      <w:r w:rsidRPr="00467F9C">
        <w:rPr>
          <w:b/>
          <w:sz w:val="28"/>
          <w:szCs w:val="28"/>
        </w:rPr>
        <w:t>В транспортной отрасли</w:t>
      </w:r>
      <w:r w:rsidRPr="00467F9C">
        <w:rPr>
          <w:sz w:val="28"/>
          <w:szCs w:val="28"/>
        </w:rPr>
        <w:t xml:space="preserve"> округа в отчетном периоде 2022 года пассажирооборот увеличился на 1,5% к аналогичному периоду прошлого года и составил 1,6 млн пасс.-км.</w:t>
      </w:r>
    </w:p>
    <w:p w:rsidR="00191861" w:rsidRPr="00467F9C" w:rsidRDefault="00191861" w:rsidP="00191861">
      <w:pPr>
        <w:ind w:firstLine="709"/>
        <w:jc w:val="both"/>
        <w:rPr>
          <w:sz w:val="28"/>
          <w:szCs w:val="28"/>
        </w:rPr>
      </w:pPr>
      <w:r w:rsidRPr="00467F9C">
        <w:rPr>
          <w:sz w:val="28"/>
          <w:szCs w:val="28"/>
        </w:rPr>
        <w:t xml:space="preserve">Объем производства </w:t>
      </w:r>
      <w:r w:rsidRPr="00467F9C">
        <w:rPr>
          <w:b/>
          <w:sz w:val="28"/>
          <w:szCs w:val="28"/>
        </w:rPr>
        <w:t>продукции сельского хозяйства</w:t>
      </w:r>
      <w:r w:rsidRPr="00467F9C">
        <w:rPr>
          <w:sz w:val="28"/>
          <w:szCs w:val="28"/>
        </w:rPr>
        <w:t xml:space="preserve"> по основным показателям увеличился по отношению к аналогичному периоду прошлого года. В отчетном периоде относительно уровня прошлого года наблюдается увеличение производства мяса в живом весе на 21,6% (140,3 тонн), валового сбора яиц на 44,7% (1 703,2 тыс. штук), валового сбора овощей в закрытом грунте на 64,3% (14,3 тонн).</w:t>
      </w:r>
    </w:p>
    <w:p w:rsidR="00191861" w:rsidRPr="00467F9C" w:rsidRDefault="00191861" w:rsidP="00191861">
      <w:pPr>
        <w:ind w:firstLine="709"/>
        <w:jc w:val="both"/>
        <w:rPr>
          <w:iCs/>
          <w:sz w:val="28"/>
          <w:szCs w:val="28"/>
        </w:rPr>
      </w:pPr>
      <w:r w:rsidRPr="00467F9C">
        <w:rPr>
          <w:sz w:val="28"/>
          <w:szCs w:val="28"/>
        </w:rPr>
        <w:lastRenderedPageBreak/>
        <w:t>Численность выходного поголовья оленей составила 121 018 единиц, что на 2,5% выше уровня прошлого года (118 041); с</w:t>
      </w:r>
      <w:r w:rsidRPr="00467F9C">
        <w:rPr>
          <w:iCs/>
          <w:sz w:val="28"/>
          <w:szCs w:val="28"/>
        </w:rPr>
        <w:t>охранность взрослого поголовья оленей составила 96%, что на 0,7% выше показателя аналогичного периода прошлого года.</w:t>
      </w:r>
    </w:p>
    <w:p w:rsidR="00191861" w:rsidRPr="00467F9C" w:rsidRDefault="00191861" w:rsidP="00191861">
      <w:pPr>
        <w:ind w:firstLine="709"/>
        <w:jc w:val="both"/>
        <w:rPr>
          <w:sz w:val="28"/>
          <w:szCs w:val="28"/>
        </w:rPr>
      </w:pPr>
      <w:r w:rsidRPr="00467F9C">
        <w:rPr>
          <w:sz w:val="28"/>
          <w:szCs w:val="28"/>
        </w:rPr>
        <w:t xml:space="preserve">Добыча морских млекопитающих в отчетном периоде уменьшилась на 25,7% и составила 136 голов. </w:t>
      </w:r>
    </w:p>
    <w:p w:rsidR="00191861" w:rsidRPr="00467F9C" w:rsidRDefault="00191861" w:rsidP="00191861">
      <w:pPr>
        <w:pStyle w:val="24"/>
        <w:ind w:firstLine="709"/>
        <w:jc w:val="both"/>
        <w:rPr>
          <w:sz w:val="28"/>
          <w:szCs w:val="28"/>
        </w:rPr>
      </w:pPr>
      <w:r w:rsidRPr="00467F9C">
        <w:rPr>
          <w:sz w:val="28"/>
          <w:szCs w:val="28"/>
        </w:rPr>
        <w:t>Производственные показатели в оленеводстве и морском зверобойном промысле представлены в таблице №1.</w:t>
      </w:r>
    </w:p>
    <w:p w:rsidR="00191861" w:rsidRPr="00467F9C" w:rsidRDefault="00191861" w:rsidP="00191861">
      <w:pPr>
        <w:pStyle w:val="24"/>
        <w:ind w:firstLine="709"/>
        <w:jc w:val="right"/>
        <w:rPr>
          <w:sz w:val="28"/>
          <w:szCs w:val="28"/>
        </w:rPr>
      </w:pPr>
      <w:r w:rsidRPr="00467F9C">
        <w:rPr>
          <w:sz w:val="28"/>
          <w:szCs w:val="28"/>
        </w:rPr>
        <w:t>Таблица №1</w:t>
      </w:r>
    </w:p>
    <w:tbl>
      <w:tblPr>
        <w:tblW w:w="9639" w:type="dxa"/>
        <w:tblInd w:w="-5" w:type="dxa"/>
        <w:tblLook w:val="04A0" w:firstRow="1" w:lastRow="0" w:firstColumn="1" w:lastColumn="0" w:noHBand="0" w:noVBand="1"/>
      </w:tblPr>
      <w:tblGrid>
        <w:gridCol w:w="4111"/>
        <w:gridCol w:w="1418"/>
        <w:gridCol w:w="1843"/>
        <w:gridCol w:w="2267"/>
      </w:tblGrid>
      <w:tr w:rsidR="00467F9C" w:rsidRPr="00E352CE" w:rsidTr="00E352CE">
        <w:trPr>
          <w:trHeight w:val="414"/>
          <w:tblHeader/>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E352CE" w:rsidRDefault="00191861" w:rsidP="00191861">
            <w:pPr>
              <w:jc w:val="center"/>
              <w:rPr>
                <w:sz w:val="20"/>
                <w:szCs w:val="20"/>
              </w:rPr>
            </w:pPr>
            <w:r w:rsidRPr="00E352CE">
              <w:rPr>
                <w:sz w:val="20"/>
                <w:szCs w:val="20"/>
              </w:rPr>
              <w:t>Наименование показателя</w:t>
            </w:r>
          </w:p>
        </w:tc>
        <w:tc>
          <w:tcPr>
            <w:tcW w:w="1418" w:type="dxa"/>
            <w:tcBorders>
              <w:top w:val="single" w:sz="4" w:space="0" w:color="auto"/>
              <w:left w:val="nil"/>
              <w:bottom w:val="single" w:sz="4" w:space="0" w:color="auto"/>
              <w:right w:val="nil"/>
            </w:tcBorders>
            <w:vAlign w:val="center"/>
          </w:tcPr>
          <w:p w:rsidR="00191861" w:rsidRPr="00E352CE" w:rsidRDefault="00191861" w:rsidP="00191861">
            <w:pPr>
              <w:jc w:val="center"/>
              <w:rPr>
                <w:sz w:val="20"/>
                <w:szCs w:val="20"/>
              </w:rPr>
            </w:pPr>
            <w:r w:rsidRPr="00E352CE">
              <w:rPr>
                <w:sz w:val="20"/>
                <w:szCs w:val="20"/>
              </w:rPr>
              <w:t xml:space="preserve">3 месяца </w:t>
            </w:r>
            <w:r w:rsidRPr="00E352CE">
              <w:rPr>
                <w:sz w:val="20"/>
                <w:szCs w:val="20"/>
              </w:rPr>
              <w:br/>
              <w:t>2021 года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E352CE" w:rsidRDefault="00191861" w:rsidP="00191861">
            <w:pPr>
              <w:jc w:val="center"/>
              <w:rPr>
                <w:sz w:val="20"/>
                <w:szCs w:val="20"/>
              </w:rPr>
            </w:pPr>
            <w:r w:rsidRPr="00E352CE">
              <w:rPr>
                <w:sz w:val="20"/>
                <w:szCs w:val="20"/>
              </w:rPr>
              <w:t xml:space="preserve">3 месяца </w:t>
            </w:r>
            <w:r w:rsidRPr="00E352CE">
              <w:rPr>
                <w:sz w:val="20"/>
                <w:szCs w:val="20"/>
              </w:rPr>
              <w:br/>
              <w:t>2022 года</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rsidR="00191861" w:rsidRPr="00E352CE" w:rsidRDefault="00191861" w:rsidP="00191861">
            <w:pPr>
              <w:jc w:val="center"/>
              <w:rPr>
                <w:sz w:val="20"/>
                <w:szCs w:val="20"/>
              </w:rPr>
            </w:pPr>
            <w:r w:rsidRPr="00E352CE">
              <w:rPr>
                <w:sz w:val="20"/>
                <w:szCs w:val="20"/>
              </w:rPr>
              <w:t>Темп роста/снижения к 2021 году (%)</w:t>
            </w:r>
          </w:p>
        </w:tc>
      </w:tr>
      <w:tr w:rsidR="00467F9C" w:rsidRPr="00E352CE" w:rsidTr="00E352CE">
        <w:trPr>
          <w:trHeight w:val="213"/>
          <w:tblHeader/>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191861" w:rsidRPr="00E352CE" w:rsidRDefault="00191861" w:rsidP="00191861">
            <w:pPr>
              <w:jc w:val="center"/>
              <w:rPr>
                <w:sz w:val="20"/>
                <w:szCs w:val="20"/>
              </w:rPr>
            </w:pPr>
            <w:r w:rsidRPr="00E352CE">
              <w:rPr>
                <w:sz w:val="20"/>
                <w:szCs w:val="20"/>
              </w:rPr>
              <w:t>1</w:t>
            </w:r>
          </w:p>
        </w:tc>
        <w:tc>
          <w:tcPr>
            <w:tcW w:w="1418" w:type="dxa"/>
            <w:tcBorders>
              <w:top w:val="single" w:sz="4" w:space="0" w:color="auto"/>
              <w:left w:val="nil"/>
              <w:bottom w:val="single" w:sz="4" w:space="0" w:color="auto"/>
              <w:right w:val="nil"/>
            </w:tcBorders>
            <w:vAlign w:val="center"/>
          </w:tcPr>
          <w:p w:rsidR="00191861" w:rsidRPr="00E352CE" w:rsidRDefault="00191861" w:rsidP="00191861">
            <w:pPr>
              <w:jc w:val="center"/>
              <w:rPr>
                <w:sz w:val="20"/>
                <w:szCs w:val="20"/>
              </w:rPr>
            </w:pPr>
            <w:r w:rsidRPr="00E352CE">
              <w:rPr>
                <w:sz w:val="20"/>
                <w:szCs w:val="20"/>
              </w:rPr>
              <w:t>3</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191861" w:rsidRPr="00E352CE" w:rsidRDefault="00191861" w:rsidP="00191861">
            <w:pPr>
              <w:jc w:val="center"/>
              <w:rPr>
                <w:sz w:val="20"/>
                <w:szCs w:val="20"/>
              </w:rPr>
            </w:pPr>
            <w:r w:rsidRPr="00E352CE">
              <w:rPr>
                <w:sz w:val="20"/>
                <w:szCs w:val="20"/>
              </w:rPr>
              <w:t>2</w:t>
            </w:r>
          </w:p>
        </w:tc>
        <w:tc>
          <w:tcPr>
            <w:tcW w:w="2267" w:type="dxa"/>
            <w:tcBorders>
              <w:top w:val="nil"/>
              <w:left w:val="nil"/>
              <w:bottom w:val="single" w:sz="4" w:space="0" w:color="auto"/>
              <w:right w:val="single" w:sz="4" w:space="0" w:color="auto"/>
            </w:tcBorders>
            <w:shd w:val="clear" w:color="auto" w:fill="auto"/>
            <w:vAlign w:val="center"/>
            <w:hideMark/>
          </w:tcPr>
          <w:p w:rsidR="00191861" w:rsidRPr="00E352CE" w:rsidRDefault="00191861" w:rsidP="00191861">
            <w:pPr>
              <w:jc w:val="center"/>
              <w:rPr>
                <w:sz w:val="20"/>
                <w:szCs w:val="20"/>
              </w:rPr>
            </w:pPr>
            <w:r w:rsidRPr="00E352CE">
              <w:rPr>
                <w:sz w:val="20"/>
                <w:szCs w:val="20"/>
              </w:rPr>
              <w:t>4</w:t>
            </w:r>
          </w:p>
        </w:tc>
      </w:tr>
      <w:tr w:rsidR="00467F9C" w:rsidRPr="00E352CE" w:rsidTr="00E352CE">
        <w:trPr>
          <w:trHeight w:val="264"/>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191861" w:rsidRPr="00E352CE" w:rsidRDefault="00191861" w:rsidP="00191861">
            <w:pPr>
              <w:rPr>
                <w:sz w:val="20"/>
                <w:szCs w:val="20"/>
              </w:rPr>
            </w:pPr>
            <w:r w:rsidRPr="00E352CE">
              <w:rPr>
                <w:sz w:val="20"/>
                <w:szCs w:val="20"/>
              </w:rPr>
              <w:t>Поголовье оленей (тыс. голов)</w:t>
            </w:r>
          </w:p>
        </w:tc>
        <w:tc>
          <w:tcPr>
            <w:tcW w:w="1418" w:type="dxa"/>
            <w:tcBorders>
              <w:top w:val="single" w:sz="4" w:space="0" w:color="auto"/>
              <w:left w:val="nil"/>
              <w:bottom w:val="single" w:sz="4" w:space="0" w:color="auto"/>
              <w:right w:val="nil"/>
            </w:tcBorders>
            <w:vAlign w:val="center"/>
          </w:tcPr>
          <w:p w:rsidR="00191861" w:rsidRPr="00E352CE" w:rsidRDefault="00191861" w:rsidP="00191861">
            <w:pPr>
              <w:jc w:val="right"/>
              <w:rPr>
                <w:sz w:val="20"/>
                <w:szCs w:val="20"/>
              </w:rPr>
            </w:pPr>
            <w:r w:rsidRPr="00E352CE">
              <w:rPr>
                <w:sz w:val="20"/>
                <w:szCs w:val="20"/>
              </w:rPr>
              <w:t>118 041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191861" w:rsidRPr="00E352CE" w:rsidRDefault="00191861" w:rsidP="00191861">
            <w:pPr>
              <w:jc w:val="right"/>
              <w:rPr>
                <w:sz w:val="20"/>
                <w:szCs w:val="20"/>
              </w:rPr>
            </w:pPr>
            <w:r w:rsidRPr="00E352CE">
              <w:rPr>
                <w:sz w:val="20"/>
                <w:szCs w:val="20"/>
              </w:rPr>
              <w:t>121 018</w:t>
            </w:r>
          </w:p>
        </w:tc>
        <w:tc>
          <w:tcPr>
            <w:tcW w:w="2267" w:type="dxa"/>
            <w:tcBorders>
              <w:top w:val="nil"/>
              <w:left w:val="nil"/>
              <w:bottom w:val="single" w:sz="4" w:space="0" w:color="auto"/>
              <w:right w:val="single" w:sz="4" w:space="0" w:color="auto"/>
            </w:tcBorders>
            <w:shd w:val="clear" w:color="auto" w:fill="auto"/>
            <w:vAlign w:val="center"/>
            <w:hideMark/>
          </w:tcPr>
          <w:p w:rsidR="00191861" w:rsidRPr="00E352CE" w:rsidRDefault="00191861" w:rsidP="00191861">
            <w:pPr>
              <w:jc w:val="center"/>
              <w:rPr>
                <w:sz w:val="20"/>
                <w:szCs w:val="20"/>
              </w:rPr>
            </w:pPr>
            <w:r w:rsidRPr="00E352CE">
              <w:rPr>
                <w:sz w:val="20"/>
                <w:szCs w:val="20"/>
              </w:rPr>
              <w:t>102,5</w:t>
            </w:r>
          </w:p>
        </w:tc>
      </w:tr>
      <w:tr w:rsidR="00467F9C" w:rsidRPr="00E352CE" w:rsidTr="00E352CE">
        <w:trPr>
          <w:trHeight w:val="26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191861" w:rsidRPr="00E352CE" w:rsidRDefault="00191861" w:rsidP="00191861">
            <w:pPr>
              <w:rPr>
                <w:sz w:val="20"/>
                <w:szCs w:val="20"/>
              </w:rPr>
            </w:pPr>
            <w:r w:rsidRPr="00E352CE">
              <w:rPr>
                <w:sz w:val="20"/>
                <w:szCs w:val="20"/>
              </w:rPr>
              <w:t>Сохранность взрослого поголовья (%)</w:t>
            </w:r>
          </w:p>
        </w:tc>
        <w:tc>
          <w:tcPr>
            <w:tcW w:w="1418" w:type="dxa"/>
            <w:tcBorders>
              <w:top w:val="single" w:sz="4" w:space="0" w:color="auto"/>
              <w:left w:val="nil"/>
              <w:bottom w:val="single" w:sz="4" w:space="0" w:color="auto"/>
              <w:right w:val="nil"/>
            </w:tcBorders>
            <w:vAlign w:val="center"/>
          </w:tcPr>
          <w:p w:rsidR="00191861" w:rsidRPr="00E352CE" w:rsidRDefault="00191861" w:rsidP="00191861">
            <w:pPr>
              <w:jc w:val="right"/>
              <w:rPr>
                <w:sz w:val="20"/>
                <w:szCs w:val="20"/>
              </w:rPr>
            </w:pPr>
            <w:r w:rsidRPr="00E352CE">
              <w:rPr>
                <w:sz w:val="20"/>
                <w:szCs w:val="20"/>
              </w:rPr>
              <w:t>95,3</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191861" w:rsidRPr="00E352CE" w:rsidRDefault="00191861" w:rsidP="00191861">
            <w:pPr>
              <w:jc w:val="right"/>
              <w:rPr>
                <w:sz w:val="20"/>
                <w:szCs w:val="20"/>
              </w:rPr>
            </w:pPr>
            <w:r w:rsidRPr="00E352CE">
              <w:rPr>
                <w:sz w:val="20"/>
                <w:szCs w:val="20"/>
              </w:rPr>
              <w:t>96,0</w:t>
            </w:r>
          </w:p>
        </w:tc>
        <w:tc>
          <w:tcPr>
            <w:tcW w:w="2267" w:type="dxa"/>
            <w:tcBorders>
              <w:top w:val="nil"/>
              <w:left w:val="nil"/>
              <w:bottom w:val="single" w:sz="4" w:space="0" w:color="auto"/>
              <w:right w:val="single" w:sz="4" w:space="0" w:color="auto"/>
            </w:tcBorders>
            <w:shd w:val="clear" w:color="auto" w:fill="auto"/>
            <w:vAlign w:val="center"/>
            <w:hideMark/>
          </w:tcPr>
          <w:p w:rsidR="00191861" w:rsidRPr="00E352CE" w:rsidRDefault="00191861" w:rsidP="00191861">
            <w:pPr>
              <w:jc w:val="center"/>
              <w:rPr>
                <w:sz w:val="20"/>
                <w:szCs w:val="20"/>
              </w:rPr>
            </w:pPr>
            <w:r w:rsidRPr="00E352CE">
              <w:rPr>
                <w:sz w:val="20"/>
                <w:szCs w:val="20"/>
              </w:rPr>
              <w:t>100,7</w:t>
            </w:r>
          </w:p>
        </w:tc>
      </w:tr>
      <w:tr w:rsidR="00467F9C" w:rsidRPr="00E352CE" w:rsidTr="00E352CE">
        <w:trPr>
          <w:trHeight w:val="201"/>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191861" w:rsidRPr="00E352CE" w:rsidRDefault="00191861" w:rsidP="00191861">
            <w:pPr>
              <w:rPr>
                <w:sz w:val="20"/>
                <w:szCs w:val="20"/>
              </w:rPr>
            </w:pPr>
            <w:r w:rsidRPr="00E352CE">
              <w:rPr>
                <w:sz w:val="20"/>
                <w:szCs w:val="20"/>
              </w:rPr>
              <w:t>Добыча морского зверя (голов)</w:t>
            </w:r>
          </w:p>
        </w:tc>
        <w:tc>
          <w:tcPr>
            <w:tcW w:w="1418" w:type="dxa"/>
            <w:tcBorders>
              <w:top w:val="single" w:sz="4" w:space="0" w:color="auto"/>
              <w:left w:val="nil"/>
              <w:bottom w:val="single" w:sz="4" w:space="0" w:color="auto"/>
              <w:right w:val="nil"/>
            </w:tcBorders>
            <w:vAlign w:val="center"/>
          </w:tcPr>
          <w:p w:rsidR="00191861" w:rsidRPr="00E352CE" w:rsidRDefault="00191861" w:rsidP="00191861">
            <w:pPr>
              <w:jc w:val="right"/>
              <w:rPr>
                <w:sz w:val="20"/>
                <w:szCs w:val="20"/>
              </w:rPr>
            </w:pPr>
            <w:r w:rsidRPr="00E352CE">
              <w:rPr>
                <w:sz w:val="20"/>
                <w:szCs w:val="20"/>
              </w:rPr>
              <w:t>183</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191861" w:rsidRPr="00E352CE" w:rsidRDefault="00191861" w:rsidP="00191861">
            <w:pPr>
              <w:jc w:val="right"/>
              <w:rPr>
                <w:sz w:val="20"/>
                <w:szCs w:val="20"/>
              </w:rPr>
            </w:pPr>
            <w:r w:rsidRPr="00E352CE">
              <w:rPr>
                <w:sz w:val="20"/>
                <w:szCs w:val="20"/>
              </w:rPr>
              <w:t>136</w:t>
            </w:r>
          </w:p>
        </w:tc>
        <w:tc>
          <w:tcPr>
            <w:tcW w:w="2267" w:type="dxa"/>
            <w:tcBorders>
              <w:top w:val="nil"/>
              <w:left w:val="nil"/>
              <w:bottom w:val="single" w:sz="4" w:space="0" w:color="auto"/>
              <w:right w:val="single" w:sz="4" w:space="0" w:color="auto"/>
            </w:tcBorders>
            <w:shd w:val="clear" w:color="auto" w:fill="auto"/>
            <w:vAlign w:val="center"/>
            <w:hideMark/>
          </w:tcPr>
          <w:p w:rsidR="00191861" w:rsidRPr="00E352CE" w:rsidRDefault="00191861" w:rsidP="00191861">
            <w:pPr>
              <w:jc w:val="center"/>
              <w:rPr>
                <w:sz w:val="20"/>
                <w:szCs w:val="20"/>
              </w:rPr>
            </w:pPr>
            <w:r w:rsidRPr="00E352CE">
              <w:rPr>
                <w:sz w:val="20"/>
                <w:szCs w:val="20"/>
              </w:rPr>
              <w:t>74,3</w:t>
            </w:r>
          </w:p>
        </w:tc>
      </w:tr>
      <w:tr w:rsidR="00467F9C" w:rsidRPr="00E352CE" w:rsidTr="00E352CE">
        <w:trPr>
          <w:trHeight w:val="289"/>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191861" w:rsidRPr="00E352CE" w:rsidRDefault="00191861" w:rsidP="00191861">
            <w:pPr>
              <w:rPr>
                <w:sz w:val="20"/>
                <w:szCs w:val="20"/>
              </w:rPr>
            </w:pPr>
            <w:r w:rsidRPr="00E352CE">
              <w:rPr>
                <w:sz w:val="20"/>
                <w:szCs w:val="20"/>
              </w:rPr>
              <w:t>Добыча морского зверя (тонн)</w:t>
            </w:r>
          </w:p>
        </w:tc>
        <w:tc>
          <w:tcPr>
            <w:tcW w:w="1418" w:type="dxa"/>
            <w:tcBorders>
              <w:top w:val="single" w:sz="4" w:space="0" w:color="auto"/>
              <w:left w:val="nil"/>
              <w:bottom w:val="single" w:sz="4" w:space="0" w:color="auto"/>
              <w:right w:val="nil"/>
            </w:tcBorders>
            <w:vAlign w:val="center"/>
          </w:tcPr>
          <w:p w:rsidR="00191861" w:rsidRPr="00E352CE" w:rsidRDefault="00191861" w:rsidP="00191861">
            <w:pPr>
              <w:jc w:val="right"/>
              <w:rPr>
                <w:sz w:val="20"/>
                <w:szCs w:val="20"/>
              </w:rPr>
            </w:pPr>
            <w:r w:rsidRPr="00E352CE">
              <w:rPr>
                <w:sz w:val="20"/>
                <w:szCs w:val="20"/>
              </w:rPr>
              <w:t>5,2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191861" w:rsidRPr="00E352CE" w:rsidRDefault="00191861" w:rsidP="00191861">
            <w:pPr>
              <w:jc w:val="right"/>
              <w:rPr>
                <w:sz w:val="20"/>
                <w:szCs w:val="20"/>
              </w:rPr>
            </w:pPr>
            <w:r w:rsidRPr="00E352CE">
              <w:rPr>
                <w:sz w:val="20"/>
                <w:szCs w:val="20"/>
              </w:rPr>
              <w:t>4,8</w:t>
            </w:r>
          </w:p>
        </w:tc>
        <w:tc>
          <w:tcPr>
            <w:tcW w:w="2267" w:type="dxa"/>
            <w:tcBorders>
              <w:top w:val="nil"/>
              <w:left w:val="nil"/>
              <w:bottom w:val="single" w:sz="4" w:space="0" w:color="auto"/>
              <w:right w:val="single" w:sz="4" w:space="0" w:color="auto"/>
            </w:tcBorders>
            <w:shd w:val="clear" w:color="auto" w:fill="auto"/>
            <w:vAlign w:val="center"/>
            <w:hideMark/>
          </w:tcPr>
          <w:p w:rsidR="00191861" w:rsidRPr="00E352CE" w:rsidRDefault="00191861" w:rsidP="00191861">
            <w:pPr>
              <w:jc w:val="center"/>
              <w:rPr>
                <w:sz w:val="20"/>
                <w:szCs w:val="20"/>
              </w:rPr>
            </w:pPr>
            <w:r w:rsidRPr="00E352CE">
              <w:rPr>
                <w:sz w:val="20"/>
                <w:szCs w:val="20"/>
              </w:rPr>
              <w:t>91,7</w:t>
            </w:r>
          </w:p>
        </w:tc>
      </w:tr>
    </w:tbl>
    <w:p w:rsidR="00191861" w:rsidRPr="00467F9C" w:rsidRDefault="00191861" w:rsidP="00191861">
      <w:pPr>
        <w:spacing w:before="120"/>
        <w:ind w:firstLine="709"/>
        <w:jc w:val="both"/>
        <w:rPr>
          <w:sz w:val="28"/>
          <w:szCs w:val="28"/>
        </w:rPr>
      </w:pPr>
      <w:r w:rsidRPr="00467F9C">
        <w:rPr>
          <w:sz w:val="28"/>
          <w:szCs w:val="28"/>
        </w:rPr>
        <w:t xml:space="preserve">Оборот </w:t>
      </w:r>
      <w:r w:rsidRPr="00467F9C">
        <w:rPr>
          <w:b/>
          <w:sz w:val="28"/>
          <w:szCs w:val="28"/>
        </w:rPr>
        <w:t>розничной торговли</w:t>
      </w:r>
      <w:r w:rsidRPr="00467F9C">
        <w:rPr>
          <w:sz w:val="28"/>
          <w:szCs w:val="28"/>
        </w:rPr>
        <w:t xml:space="preserve"> за первый квартал текущего года составил 3 269,6 млн рублей или 107% к соответствующему периоду 2021 года. </w:t>
      </w:r>
    </w:p>
    <w:p w:rsidR="00191861" w:rsidRPr="00467F9C" w:rsidRDefault="00191861" w:rsidP="00191861">
      <w:pPr>
        <w:ind w:firstLine="709"/>
        <w:jc w:val="both"/>
        <w:rPr>
          <w:sz w:val="28"/>
          <w:szCs w:val="28"/>
        </w:rPr>
      </w:pPr>
      <w:r w:rsidRPr="00467F9C">
        <w:rPr>
          <w:sz w:val="28"/>
          <w:szCs w:val="28"/>
        </w:rPr>
        <w:t xml:space="preserve">В марте 2022 года </w:t>
      </w:r>
      <w:r w:rsidRPr="00467F9C">
        <w:rPr>
          <w:b/>
          <w:sz w:val="28"/>
          <w:szCs w:val="28"/>
        </w:rPr>
        <w:t xml:space="preserve">индекс потребительских цен (тарифов) на товары и платные услуги </w:t>
      </w:r>
      <w:r w:rsidRPr="00467F9C">
        <w:rPr>
          <w:sz w:val="28"/>
          <w:szCs w:val="28"/>
        </w:rPr>
        <w:t>составил 102 % к февралю 2022 года, рост индекса цен отмечается по всем видам товаров и услуг, в том числе:</w:t>
      </w:r>
    </w:p>
    <w:p w:rsidR="00191861" w:rsidRPr="00467F9C" w:rsidRDefault="00191861" w:rsidP="00191861">
      <w:pPr>
        <w:ind w:firstLine="709"/>
        <w:jc w:val="both"/>
        <w:rPr>
          <w:sz w:val="28"/>
          <w:szCs w:val="28"/>
        </w:rPr>
      </w:pPr>
      <w:r w:rsidRPr="00467F9C">
        <w:rPr>
          <w:sz w:val="28"/>
          <w:szCs w:val="28"/>
        </w:rPr>
        <w:t>- до 101,6% – продовольственные товары;</w:t>
      </w:r>
    </w:p>
    <w:p w:rsidR="00191861" w:rsidRPr="00467F9C" w:rsidRDefault="00191861" w:rsidP="00191861">
      <w:pPr>
        <w:ind w:firstLine="709"/>
        <w:jc w:val="both"/>
        <w:rPr>
          <w:sz w:val="28"/>
          <w:szCs w:val="28"/>
        </w:rPr>
      </w:pPr>
      <w:r w:rsidRPr="00467F9C">
        <w:rPr>
          <w:sz w:val="28"/>
          <w:szCs w:val="28"/>
        </w:rPr>
        <w:t>- до 101,7% – непродовольственные товары;</w:t>
      </w:r>
    </w:p>
    <w:p w:rsidR="00191861" w:rsidRPr="00467F9C" w:rsidRDefault="00191861" w:rsidP="00191861">
      <w:pPr>
        <w:ind w:firstLine="709"/>
        <w:jc w:val="both"/>
        <w:rPr>
          <w:sz w:val="28"/>
          <w:szCs w:val="28"/>
        </w:rPr>
      </w:pPr>
      <w:r w:rsidRPr="00467F9C">
        <w:rPr>
          <w:sz w:val="28"/>
          <w:szCs w:val="28"/>
        </w:rPr>
        <w:t>- до 103,2% – платные услуги населению.</w:t>
      </w:r>
    </w:p>
    <w:p w:rsidR="00191861" w:rsidRPr="00467F9C" w:rsidRDefault="00191861" w:rsidP="00191861">
      <w:pPr>
        <w:pStyle w:val="29"/>
        <w:shd w:val="clear" w:color="auto" w:fill="FFFFFF"/>
        <w:spacing w:after="0" w:line="240" w:lineRule="auto"/>
        <w:ind w:firstLine="709"/>
        <w:jc w:val="both"/>
        <w:rPr>
          <w:rFonts w:ascii="Times New Roman" w:hAnsi="Times New Roman" w:cs="Times New Roman"/>
          <w:sz w:val="28"/>
          <w:szCs w:val="28"/>
        </w:rPr>
      </w:pPr>
      <w:r w:rsidRPr="00467F9C">
        <w:rPr>
          <w:rFonts w:ascii="Times New Roman" w:hAnsi="Times New Roman" w:cs="Times New Roman"/>
          <w:b/>
          <w:sz w:val="28"/>
          <w:szCs w:val="28"/>
        </w:rPr>
        <w:t xml:space="preserve">Среднемесячная начисленная заработная плата </w:t>
      </w:r>
      <w:r w:rsidRPr="00467F9C">
        <w:rPr>
          <w:rFonts w:ascii="Times New Roman" w:hAnsi="Times New Roman" w:cs="Times New Roman"/>
          <w:sz w:val="28"/>
          <w:szCs w:val="28"/>
        </w:rPr>
        <w:t>по отношению к аналогичному периоду прошлого года выросла на 2,2% и за январь-февраль 2022 года составила 125 837,5 рублей.</w:t>
      </w:r>
    </w:p>
    <w:p w:rsidR="00191861" w:rsidRPr="00467F9C" w:rsidRDefault="00191861" w:rsidP="00191861">
      <w:pPr>
        <w:pStyle w:val="29"/>
        <w:shd w:val="clear" w:color="auto" w:fill="FFFFFF"/>
        <w:spacing w:after="0" w:line="240" w:lineRule="auto"/>
        <w:ind w:firstLine="709"/>
        <w:jc w:val="both"/>
        <w:rPr>
          <w:rFonts w:ascii="Times New Roman" w:hAnsi="Times New Roman" w:cs="Times New Roman"/>
          <w:sz w:val="28"/>
          <w:szCs w:val="28"/>
        </w:rPr>
      </w:pPr>
      <w:r w:rsidRPr="00467F9C">
        <w:rPr>
          <w:rFonts w:ascii="Times New Roman" w:hAnsi="Times New Roman" w:cs="Times New Roman"/>
          <w:sz w:val="28"/>
          <w:szCs w:val="28"/>
        </w:rPr>
        <w:t>Просроченная задолженность по заработной плате в крупных и средних организациях Чукотского автономного округа по состоянию на 1 апреля 2022 года отсутствует.</w:t>
      </w:r>
    </w:p>
    <w:p w:rsidR="00191861" w:rsidRPr="00467F9C" w:rsidRDefault="00191861" w:rsidP="00191861">
      <w:pPr>
        <w:pStyle w:val="29"/>
        <w:shd w:val="clear" w:color="auto" w:fill="FFFFFF"/>
        <w:spacing w:after="0" w:line="240" w:lineRule="auto"/>
        <w:ind w:firstLine="709"/>
        <w:jc w:val="both"/>
        <w:rPr>
          <w:rFonts w:ascii="Times New Roman" w:hAnsi="Times New Roman" w:cs="Times New Roman"/>
          <w:sz w:val="28"/>
          <w:szCs w:val="28"/>
        </w:rPr>
      </w:pPr>
      <w:r w:rsidRPr="00467F9C">
        <w:rPr>
          <w:rFonts w:ascii="Times New Roman" w:hAnsi="Times New Roman" w:cs="Times New Roman"/>
          <w:sz w:val="28"/>
          <w:szCs w:val="28"/>
        </w:rPr>
        <w:t>По данным Департамента социальной политики Чукотского автономного округа уровень регистрируемой безработицы по состоянию на 1 апреля 2022 года составил 1,4%, численность безработных – 441 человек. Заявленная работодателями потребность в работниках составила 1 313 вакантных рабочих мест.</w:t>
      </w:r>
    </w:p>
    <w:p w:rsidR="00191861" w:rsidRPr="00467F9C" w:rsidRDefault="00191861" w:rsidP="00191861">
      <w:pPr>
        <w:pStyle w:val="29"/>
        <w:shd w:val="clear" w:color="auto" w:fill="FFFFFF"/>
        <w:spacing w:after="0" w:line="240" w:lineRule="auto"/>
        <w:ind w:firstLine="709"/>
        <w:jc w:val="both"/>
        <w:rPr>
          <w:rFonts w:ascii="Times New Roman" w:hAnsi="Times New Roman" w:cs="Times New Roman"/>
          <w:sz w:val="28"/>
          <w:szCs w:val="28"/>
        </w:rPr>
      </w:pPr>
      <w:r w:rsidRPr="00467F9C">
        <w:rPr>
          <w:rFonts w:ascii="Times New Roman" w:hAnsi="Times New Roman" w:cs="Times New Roman"/>
          <w:b/>
          <w:sz w:val="28"/>
          <w:szCs w:val="28"/>
        </w:rPr>
        <w:t xml:space="preserve">Демографическая ситуация в Чукотском автономном округе </w:t>
      </w:r>
      <w:r w:rsidRPr="00467F9C">
        <w:rPr>
          <w:rFonts w:ascii="Times New Roman" w:hAnsi="Times New Roman" w:cs="Times New Roman"/>
          <w:sz w:val="28"/>
          <w:szCs w:val="28"/>
        </w:rPr>
        <w:t>за январь – март 2022 года</w:t>
      </w:r>
      <w:r w:rsidRPr="00467F9C">
        <w:rPr>
          <w:rFonts w:ascii="Times New Roman" w:hAnsi="Times New Roman" w:cs="Times New Roman"/>
          <w:b/>
          <w:sz w:val="28"/>
          <w:szCs w:val="28"/>
        </w:rPr>
        <w:t xml:space="preserve"> </w:t>
      </w:r>
      <w:r w:rsidRPr="00467F9C">
        <w:rPr>
          <w:rFonts w:ascii="Times New Roman" w:hAnsi="Times New Roman" w:cs="Times New Roman"/>
          <w:sz w:val="28"/>
          <w:szCs w:val="28"/>
        </w:rPr>
        <w:t xml:space="preserve">характеризуется приростом населения: естественный прирост </w:t>
      </w:r>
      <w:proofErr w:type="spellStart"/>
      <w:r w:rsidRPr="00467F9C">
        <w:rPr>
          <w:rFonts w:ascii="Times New Roman" w:hAnsi="Times New Roman" w:cs="Times New Roman"/>
          <w:sz w:val="28"/>
          <w:szCs w:val="28"/>
        </w:rPr>
        <w:t>составивил</w:t>
      </w:r>
      <w:proofErr w:type="spellEnd"/>
      <w:r w:rsidRPr="00467F9C">
        <w:rPr>
          <w:rFonts w:ascii="Times New Roman" w:hAnsi="Times New Roman" w:cs="Times New Roman"/>
          <w:sz w:val="28"/>
          <w:szCs w:val="28"/>
        </w:rPr>
        <w:t xml:space="preserve"> 11 человек, миграционный прирост составил – 98 человек.</w:t>
      </w:r>
    </w:p>
    <w:p w:rsidR="00191861" w:rsidRPr="00467F9C" w:rsidRDefault="00191861" w:rsidP="00191861">
      <w:pPr>
        <w:pStyle w:val="ConsPlusNonformat"/>
        <w:spacing w:before="240" w:after="120"/>
        <w:jc w:val="center"/>
        <w:rPr>
          <w:rFonts w:ascii="Times New Roman" w:hAnsi="Times New Roman" w:cs="Times New Roman"/>
          <w:b/>
          <w:sz w:val="28"/>
          <w:szCs w:val="28"/>
        </w:rPr>
      </w:pPr>
      <w:r w:rsidRPr="00467F9C">
        <w:rPr>
          <w:rFonts w:ascii="Times New Roman" w:hAnsi="Times New Roman" w:cs="Times New Roman"/>
          <w:b/>
          <w:sz w:val="28"/>
          <w:szCs w:val="28"/>
        </w:rPr>
        <w:t xml:space="preserve">2. Анализ исполнения основных </w:t>
      </w:r>
      <w:r w:rsidRPr="00467F9C">
        <w:rPr>
          <w:rFonts w:ascii="Times New Roman" w:hAnsi="Times New Roman" w:cs="Times New Roman"/>
          <w:b/>
          <w:sz w:val="28"/>
          <w:szCs w:val="28"/>
        </w:rPr>
        <w:br/>
        <w:t>параметров (показателей) окружного бюджета</w:t>
      </w:r>
    </w:p>
    <w:p w:rsidR="00191861" w:rsidRPr="00467F9C" w:rsidRDefault="00191861" w:rsidP="00191861">
      <w:pPr>
        <w:autoSpaceDE w:val="0"/>
        <w:autoSpaceDN w:val="0"/>
        <w:adjustRightInd w:val="0"/>
        <w:ind w:firstLine="709"/>
        <w:jc w:val="both"/>
        <w:rPr>
          <w:sz w:val="28"/>
          <w:szCs w:val="28"/>
        </w:rPr>
      </w:pPr>
      <w:r w:rsidRPr="00467F9C">
        <w:rPr>
          <w:sz w:val="28"/>
          <w:szCs w:val="28"/>
        </w:rPr>
        <w:t>В Закон об окружном бюджете</w:t>
      </w:r>
      <w:r w:rsidRPr="00467F9C">
        <w:rPr>
          <w:rStyle w:val="ab"/>
          <w:sz w:val="28"/>
          <w:szCs w:val="28"/>
        </w:rPr>
        <w:footnoteReference w:id="130"/>
      </w:r>
      <w:r w:rsidRPr="00467F9C">
        <w:rPr>
          <w:sz w:val="28"/>
          <w:szCs w:val="28"/>
        </w:rPr>
        <w:t xml:space="preserve"> в отчетном периоде изменения вносились один раз, с учетом внесенных изменений доходы окружного бюджета </w:t>
      </w:r>
      <w:r w:rsidRPr="00467F9C">
        <w:rPr>
          <w:sz w:val="28"/>
          <w:szCs w:val="28"/>
        </w:rPr>
        <w:lastRenderedPageBreak/>
        <w:t>утверждены в объеме 48 890 949,7 тыс. рублей, расходы – 53 370 155,2 тыс. рублей, дефицит окружного бюджета определен в размере 4 479 205,5 тыс. рублей.</w:t>
      </w:r>
    </w:p>
    <w:p w:rsidR="00191861" w:rsidRPr="00467F9C" w:rsidRDefault="00191861" w:rsidP="00191861">
      <w:pPr>
        <w:autoSpaceDE w:val="0"/>
        <w:autoSpaceDN w:val="0"/>
        <w:adjustRightInd w:val="0"/>
        <w:ind w:firstLine="709"/>
        <w:jc w:val="both"/>
        <w:rPr>
          <w:rFonts w:eastAsia="Calibri"/>
          <w:sz w:val="28"/>
          <w:szCs w:val="28"/>
        </w:rPr>
      </w:pPr>
      <w:r w:rsidRPr="00467F9C">
        <w:rPr>
          <w:rFonts w:eastAsia="Calibri"/>
          <w:sz w:val="28"/>
          <w:szCs w:val="28"/>
        </w:rPr>
        <w:t>Изменения основных параметров окружного бюджета в отчетном периоде представлены в таблице №2.</w:t>
      </w:r>
    </w:p>
    <w:p w:rsidR="00191861" w:rsidRPr="00467F9C" w:rsidRDefault="00191861" w:rsidP="00191861">
      <w:pPr>
        <w:ind w:left="7082" w:firstLine="709"/>
        <w:jc w:val="right"/>
        <w:rPr>
          <w:sz w:val="28"/>
          <w:szCs w:val="28"/>
        </w:rPr>
      </w:pPr>
      <w:r w:rsidRPr="00467F9C">
        <w:rPr>
          <w:sz w:val="28"/>
          <w:szCs w:val="28"/>
        </w:rPr>
        <w:t>Таблица №2</w:t>
      </w:r>
    </w:p>
    <w:p w:rsidR="00191861" w:rsidRPr="00467F9C" w:rsidRDefault="00191861" w:rsidP="00191861">
      <w:pPr>
        <w:ind w:firstLine="709"/>
        <w:jc w:val="right"/>
        <w:rPr>
          <w:sz w:val="28"/>
          <w:szCs w:val="28"/>
        </w:rPr>
      </w:pPr>
      <w:r w:rsidRPr="00467F9C">
        <w:rPr>
          <w:sz w:val="28"/>
          <w:szCs w:val="28"/>
        </w:rPr>
        <w:t>(тыс. рублей)</w:t>
      </w:r>
    </w:p>
    <w:tbl>
      <w:tblPr>
        <w:tblW w:w="9640" w:type="dxa"/>
        <w:tblInd w:w="-5" w:type="dxa"/>
        <w:tblLook w:val="04A0" w:firstRow="1" w:lastRow="0" w:firstColumn="1" w:lastColumn="0" w:noHBand="0" w:noVBand="1"/>
      </w:tblPr>
      <w:tblGrid>
        <w:gridCol w:w="3431"/>
        <w:gridCol w:w="1389"/>
        <w:gridCol w:w="2410"/>
        <w:gridCol w:w="1275"/>
        <w:gridCol w:w="1135"/>
      </w:tblGrid>
      <w:tr w:rsidR="00467F9C" w:rsidRPr="00E352CE" w:rsidTr="00E352CE">
        <w:trPr>
          <w:trHeight w:val="375"/>
        </w:trPr>
        <w:tc>
          <w:tcPr>
            <w:tcW w:w="34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E352CE" w:rsidRDefault="00191861" w:rsidP="00191861">
            <w:pPr>
              <w:jc w:val="center"/>
              <w:rPr>
                <w:sz w:val="20"/>
                <w:szCs w:val="20"/>
              </w:rPr>
            </w:pPr>
            <w:bookmarkStart w:id="54" w:name="_MON_1465199577"/>
            <w:bookmarkStart w:id="55" w:name="_MON_1458478963"/>
            <w:bookmarkStart w:id="56" w:name="_MON_1458478991"/>
            <w:bookmarkStart w:id="57" w:name="_MON_1458478803"/>
            <w:bookmarkStart w:id="58" w:name="_MON_1458478942"/>
            <w:bookmarkStart w:id="59" w:name="_MON_1445667771"/>
            <w:bookmarkStart w:id="60" w:name="_MON_1445667784"/>
            <w:bookmarkStart w:id="61" w:name="_MON_1448203449"/>
            <w:bookmarkStart w:id="62" w:name="_MON_1448203503"/>
            <w:bookmarkStart w:id="63" w:name="_MON_1448203518"/>
            <w:bookmarkStart w:id="64" w:name="_MON_1445181757"/>
            <w:bookmarkStart w:id="65" w:name="_MON_1445181681"/>
            <w:bookmarkStart w:id="66" w:name="_MON_1445181723"/>
            <w:bookmarkStart w:id="67" w:name="_MON_1445667616"/>
            <w:bookmarkStart w:id="68" w:name="_MON_1445864244"/>
            <w:bookmarkStart w:id="69" w:name="_MON_1445864765"/>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E352CE">
              <w:rPr>
                <w:sz w:val="20"/>
                <w:szCs w:val="20"/>
              </w:rPr>
              <w:t>Наименование показателя</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E352CE" w:rsidRDefault="00191861" w:rsidP="00191861">
            <w:pPr>
              <w:jc w:val="center"/>
              <w:rPr>
                <w:sz w:val="20"/>
                <w:szCs w:val="20"/>
              </w:rPr>
            </w:pPr>
            <w:r w:rsidRPr="00E352CE">
              <w:rPr>
                <w:sz w:val="20"/>
                <w:szCs w:val="20"/>
              </w:rPr>
              <w:t>Закон об окружном бюджете</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E352CE" w:rsidRDefault="00191861" w:rsidP="00191861">
            <w:pPr>
              <w:ind w:left="-105" w:right="-113"/>
              <w:jc w:val="center"/>
              <w:rPr>
                <w:sz w:val="20"/>
                <w:szCs w:val="20"/>
              </w:rPr>
            </w:pPr>
            <w:r w:rsidRPr="00E352CE">
              <w:rPr>
                <w:sz w:val="20"/>
                <w:szCs w:val="20"/>
              </w:rPr>
              <w:t xml:space="preserve">Закон </w:t>
            </w:r>
            <w:r w:rsidRPr="00E352CE">
              <w:rPr>
                <w:sz w:val="20"/>
                <w:szCs w:val="20"/>
              </w:rPr>
              <w:br/>
              <w:t xml:space="preserve">об окружном бюджете (в редакции </w:t>
            </w:r>
            <w:r w:rsidRPr="00E352CE">
              <w:rPr>
                <w:sz w:val="20"/>
                <w:szCs w:val="20"/>
              </w:rPr>
              <w:br/>
              <w:t>от 30.03.2022 г. №14-ОЗ)</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191861" w:rsidRPr="00E352CE" w:rsidRDefault="00191861" w:rsidP="00191861">
            <w:pPr>
              <w:jc w:val="center"/>
              <w:rPr>
                <w:sz w:val="20"/>
                <w:szCs w:val="20"/>
              </w:rPr>
            </w:pPr>
            <w:r w:rsidRPr="00E352CE">
              <w:rPr>
                <w:sz w:val="20"/>
                <w:szCs w:val="20"/>
              </w:rPr>
              <w:t xml:space="preserve">Изменения </w:t>
            </w:r>
          </w:p>
        </w:tc>
      </w:tr>
      <w:tr w:rsidR="00467F9C" w:rsidRPr="00E352CE" w:rsidTr="00E352CE">
        <w:trPr>
          <w:trHeight w:val="360"/>
        </w:trPr>
        <w:tc>
          <w:tcPr>
            <w:tcW w:w="3431" w:type="dxa"/>
            <w:vMerge/>
            <w:tcBorders>
              <w:top w:val="single" w:sz="4" w:space="0" w:color="auto"/>
              <w:left w:val="single" w:sz="4" w:space="0" w:color="auto"/>
              <w:bottom w:val="single" w:sz="4" w:space="0" w:color="auto"/>
              <w:right w:val="single" w:sz="4" w:space="0" w:color="auto"/>
            </w:tcBorders>
            <w:vAlign w:val="center"/>
            <w:hideMark/>
          </w:tcPr>
          <w:p w:rsidR="00191861" w:rsidRPr="00E352CE" w:rsidRDefault="00191861" w:rsidP="00191861">
            <w:pPr>
              <w:rPr>
                <w:sz w:val="20"/>
                <w:szCs w:val="20"/>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191861" w:rsidRPr="00E352CE" w:rsidRDefault="00191861" w:rsidP="00191861">
            <w:pPr>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91861" w:rsidRPr="00E352CE" w:rsidRDefault="00191861" w:rsidP="00191861">
            <w:pPr>
              <w:rPr>
                <w:sz w:val="20"/>
                <w:szCs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center"/>
              <w:rPr>
                <w:sz w:val="20"/>
                <w:szCs w:val="20"/>
              </w:rPr>
            </w:pPr>
            <w:r w:rsidRPr="00E352CE">
              <w:rPr>
                <w:sz w:val="20"/>
                <w:szCs w:val="20"/>
              </w:rPr>
              <w:t>сумма</w:t>
            </w:r>
          </w:p>
        </w:tc>
        <w:tc>
          <w:tcPr>
            <w:tcW w:w="1135"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center"/>
              <w:rPr>
                <w:sz w:val="20"/>
                <w:szCs w:val="20"/>
              </w:rPr>
            </w:pPr>
            <w:r w:rsidRPr="00E352CE">
              <w:rPr>
                <w:sz w:val="20"/>
                <w:szCs w:val="20"/>
              </w:rPr>
              <w:t>процент</w:t>
            </w:r>
          </w:p>
        </w:tc>
      </w:tr>
      <w:tr w:rsidR="00467F9C" w:rsidRPr="00E352CE" w:rsidTr="00E352CE">
        <w:trPr>
          <w:trHeight w:val="270"/>
        </w:trPr>
        <w:tc>
          <w:tcPr>
            <w:tcW w:w="3431" w:type="dxa"/>
            <w:tcBorders>
              <w:top w:val="nil"/>
              <w:left w:val="single" w:sz="4" w:space="0" w:color="auto"/>
              <w:bottom w:val="single" w:sz="4" w:space="0" w:color="auto"/>
              <w:right w:val="single" w:sz="4" w:space="0" w:color="auto"/>
            </w:tcBorders>
            <w:shd w:val="clear" w:color="auto" w:fill="auto"/>
            <w:vAlign w:val="center"/>
            <w:hideMark/>
          </w:tcPr>
          <w:p w:rsidR="00191861" w:rsidRPr="00E352CE" w:rsidRDefault="00191861" w:rsidP="00191861">
            <w:pPr>
              <w:jc w:val="center"/>
              <w:rPr>
                <w:sz w:val="20"/>
                <w:szCs w:val="20"/>
              </w:rPr>
            </w:pPr>
            <w:r w:rsidRPr="00E352CE">
              <w:rPr>
                <w:sz w:val="20"/>
                <w:szCs w:val="20"/>
              </w:rPr>
              <w:t>1</w:t>
            </w:r>
          </w:p>
        </w:tc>
        <w:tc>
          <w:tcPr>
            <w:tcW w:w="1389" w:type="dxa"/>
            <w:tcBorders>
              <w:top w:val="nil"/>
              <w:left w:val="nil"/>
              <w:bottom w:val="single" w:sz="4" w:space="0" w:color="auto"/>
              <w:right w:val="single" w:sz="4" w:space="0" w:color="auto"/>
            </w:tcBorders>
            <w:shd w:val="clear" w:color="auto" w:fill="auto"/>
            <w:vAlign w:val="center"/>
            <w:hideMark/>
          </w:tcPr>
          <w:p w:rsidR="00191861" w:rsidRPr="00E352CE" w:rsidRDefault="00191861" w:rsidP="00191861">
            <w:pPr>
              <w:jc w:val="center"/>
              <w:rPr>
                <w:sz w:val="20"/>
                <w:szCs w:val="20"/>
              </w:rPr>
            </w:pPr>
            <w:r w:rsidRPr="00E352CE">
              <w:rPr>
                <w:sz w:val="20"/>
                <w:szCs w:val="20"/>
              </w:rPr>
              <w:t>2</w:t>
            </w:r>
          </w:p>
        </w:tc>
        <w:tc>
          <w:tcPr>
            <w:tcW w:w="2410" w:type="dxa"/>
            <w:tcBorders>
              <w:top w:val="nil"/>
              <w:left w:val="nil"/>
              <w:bottom w:val="single" w:sz="4" w:space="0" w:color="auto"/>
              <w:right w:val="single" w:sz="4" w:space="0" w:color="auto"/>
            </w:tcBorders>
            <w:shd w:val="clear" w:color="auto" w:fill="auto"/>
            <w:vAlign w:val="center"/>
            <w:hideMark/>
          </w:tcPr>
          <w:p w:rsidR="00191861" w:rsidRPr="00E352CE" w:rsidRDefault="00191861" w:rsidP="00191861">
            <w:pPr>
              <w:jc w:val="center"/>
              <w:rPr>
                <w:sz w:val="20"/>
                <w:szCs w:val="20"/>
              </w:rPr>
            </w:pPr>
            <w:r w:rsidRPr="00E352CE">
              <w:rPr>
                <w:sz w:val="20"/>
                <w:szCs w:val="20"/>
              </w:rPr>
              <w:t>3</w:t>
            </w:r>
          </w:p>
        </w:tc>
        <w:tc>
          <w:tcPr>
            <w:tcW w:w="1275" w:type="dxa"/>
            <w:tcBorders>
              <w:top w:val="nil"/>
              <w:left w:val="nil"/>
              <w:bottom w:val="single" w:sz="4" w:space="0" w:color="auto"/>
              <w:right w:val="single" w:sz="4" w:space="0" w:color="auto"/>
            </w:tcBorders>
            <w:shd w:val="clear" w:color="auto" w:fill="auto"/>
            <w:vAlign w:val="center"/>
            <w:hideMark/>
          </w:tcPr>
          <w:p w:rsidR="00191861" w:rsidRPr="00E352CE" w:rsidRDefault="00191861" w:rsidP="00191861">
            <w:pPr>
              <w:jc w:val="center"/>
              <w:rPr>
                <w:sz w:val="20"/>
                <w:szCs w:val="20"/>
              </w:rPr>
            </w:pPr>
            <w:r w:rsidRPr="00E352CE">
              <w:rPr>
                <w:sz w:val="20"/>
                <w:szCs w:val="20"/>
              </w:rPr>
              <w:t>4</w:t>
            </w:r>
          </w:p>
        </w:tc>
        <w:tc>
          <w:tcPr>
            <w:tcW w:w="1135" w:type="dxa"/>
            <w:tcBorders>
              <w:top w:val="nil"/>
              <w:left w:val="nil"/>
              <w:bottom w:val="single" w:sz="4" w:space="0" w:color="auto"/>
              <w:right w:val="single" w:sz="4" w:space="0" w:color="auto"/>
            </w:tcBorders>
            <w:shd w:val="clear" w:color="auto" w:fill="auto"/>
            <w:vAlign w:val="center"/>
            <w:hideMark/>
          </w:tcPr>
          <w:p w:rsidR="00191861" w:rsidRPr="00E352CE" w:rsidRDefault="00191861" w:rsidP="00191861">
            <w:pPr>
              <w:jc w:val="center"/>
              <w:rPr>
                <w:sz w:val="20"/>
                <w:szCs w:val="20"/>
              </w:rPr>
            </w:pPr>
            <w:r w:rsidRPr="00E352CE">
              <w:rPr>
                <w:sz w:val="20"/>
                <w:szCs w:val="20"/>
              </w:rPr>
              <w:t>5</w:t>
            </w:r>
          </w:p>
        </w:tc>
      </w:tr>
      <w:tr w:rsidR="00467F9C" w:rsidRPr="00E352CE" w:rsidTr="00E352CE">
        <w:trPr>
          <w:trHeight w:val="300"/>
        </w:trPr>
        <w:tc>
          <w:tcPr>
            <w:tcW w:w="3431" w:type="dxa"/>
            <w:tcBorders>
              <w:top w:val="nil"/>
              <w:left w:val="single" w:sz="4" w:space="0" w:color="auto"/>
              <w:bottom w:val="single" w:sz="4" w:space="0" w:color="auto"/>
              <w:right w:val="single" w:sz="4" w:space="0" w:color="auto"/>
            </w:tcBorders>
            <w:shd w:val="clear" w:color="auto" w:fill="auto"/>
            <w:vAlign w:val="center"/>
            <w:hideMark/>
          </w:tcPr>
          <w:p w:rsidR="00191861" w:rsidRPr="00E352CE" w:rsidRDefault="00191861" w:rsidP="00191861">
            <w:pPr>
              <w:rPr>
                <w:b/>
                <w:bCs/>
                <w:sz w:val="20"/>
                <w:szCs w:val="20"/>
              </w:rPr>
            </w:pPr>
            <w:r w:rsidRPr="00E352CE">
              <w:rPr>
                <w:b/>
                <w:bCs/>
                <w:sz w:val="20"/>
                <w:szCs w:val="20"/>
              </w:rPr>
              <w:t>Доходы, в том числе:</w:t>
            </w:r>
          </w:p>
        </w:tc>
        <w:tc>
          <w:tcPr>
            <w:tcW w:w="1389"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right"/>
              <w:rPr>
                <w:b/>
                <w:bCs/>
                <w:sz w:val="20"/>
                <w:szCs w:val="20"/>
              </w:rPr>
            </w:pPr>
            <w:r w:rsidRPr="00E352CE">
              <w:rPr>
                <w:b/>
                <w:bCs/>
                <w:sz w:val="20"/>
                <w:szCs w:val="20"/>
              </w:rPr>
              <w:t>39 714 674,5</w:t>
            </w:r>
          </w:p>
        </w:tc>
        <w:tc>
          <w:tcPr>
            <w:tcW w:w="2410"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right"/>
              <w:rPr>
                <w:b/>
                <w:bCs/>
                <w:sz w:val="20"/>
                <w:szCs w:val="20"/>
              </w:rPr>
            </w:pPr>
            <w:r w:rsidRPr="00E352CE">
              <w:rPr>
                <w:b/>
                <w:bCs/>
                <w:sz w:val="20"/>
                <w:szCs w:val="20"/>
              </w:rPr>
              <w:t>48 890 949,7</w:t>
            </w:r>
          </w:p>
        </w:tc>
        <w:tc>
          <w:tcPr>
            <w:tcW w:w="1275"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E352CE">
            <w:pPr>
              <w:ind w:left="-101"/>
              <w:jc w:val="right"/>
              <w:rPr>
                <w:b/>
                <w:bCs/>
                <w:sz w:val="20"/>
                <w:szCs w:val="20"/>
              </w:rPr>
            </w:pPr>
            <w:r w:rsidRPr="00E352CE">
              <w:rPr>
                <w:b/>
                <w:bCs/>
                <w:sz w:val="20"/>
                <w:szCs w:val="20"/>
              </w:rPr>
              <w:t>9 176 275,2</w:t>
            </w:r>
          </w:p>
        </w:tc>
        <w:tc>
          <w:tcPr>
            <w:tcW w:w="1135"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center"/>
              <w:rPr>
                <w:b/>
                <w:bCs/>
                <w:sz w:val="20"/>
                <w:szCs w:val="20"/>
              </w:rPr>
            </w:pPr>
            <w:r w:rsidRPr="00E352CE">
              <w:rPr>
                <w:b/>
                <w:bCs/>
                <w:sz w:val="20"/>
                <w:szCs w:val="20"/>
              </w:rPr>
              <w:t>23,1</w:t>
            </w:r>
          </w:p>
        </w:tc>
      </w:tr>
      <w:tr w:rsidR="00467F9C" w:rsidRPr="00E352CE" w:rsidTr="00E352CE">
        <w:trPr>
          <w:trHeight w:val="300"/>
        </w:trPr>
        <w:tc>
          <w:tcPr>
            <w:tcW w:w="3431" w:type="dxa"/>
            <w:tcBorders>
              <w:top w:val="nil"/>
              <w:left w:val="single" w:sz="4" w:space="0" w:color="auto"/>
              <w:bottom w:val="single" w:sz="4" w:space="0" w:color="auto"/>
              <w:right w:val="single" w:sz="4" w:space="0" w:color="auto"/>
            </w:tcBorders>
            <w:shd w:val="clear" w:color="auto" w:fill="auto"/>
            <w:vAlign w:val="center"/>
            <w:hideMark/>
          </w:tcPr>
          <w:p w:rsidR="00191861" w:rsidRPr="00E352CE" w:rsidRDefault="00191861" w:rsidP="00191861">
            <w:pPr>
              <w:rPr>
                <w:sz w:val="20"/>
                <w:szCs w:val="20"/>
              </w:rPr>
            </w:pPr>
            <w:r w:rsidRPr="00E352CE">
              <w:rPr>
                <w:sz w:val="20"/>
                <w:szCs w:val="20"/>
              </w:rPr>
              <w:t>Налоговые доходы</w:t>
            </w:r>
          </w:p>
        </w:tc>
        <w:tc>
          <w:tcPr>
            <w:tcW w:w="1389"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right"/>
              <w:rPr>
                <w:sz w:val="20"/>
                <w:szCs w:val="20"/>
              </w:rPr>
            </w:pPr>
            <w:r w:rsidRPr="00E352CE">
              <w:rPr>
                <w:sz w:val="20"/>
                <w:szCs w:val="20"/>
              </w:rPr>
              <w:t>17 321 462,8</w:t>
            </w:r>
          </w:p>
        </w:tc>
        <w:tc>
          <w:tcPr>
            <w:tcW w:w="2410"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right"/>
              <w:rPr>
                <w:sz w:val="20"/>
                <w:szCs w:val="20"/>
              </w:rPr>
            </w:pPr>
            <w:r w:rsidRPr="00E352CE">
              <w:rPr>
                <w:sz w:val="20"/>
                <w:szCs w:val="20"/>
              </w:rPr>
              <w:t>17 333 972,3</w:t>
            </w:r>
          </w:p>
        </w:tc>
        <w:tc>
          <w:tcPr>
            <w:tcW w:w="1275"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E352CE">
            <w:pPr>
              <w:ind w:left="-101"/>
              <w:jc w:val="right"/>
              <w:rPr>
                <w:sz w:val="20"/>
                <w:szCs w:val="20"/>
              </w:rPr>
            </w:pPr>
            <w:r w:rsidRPr="00E352CE">
              <w:rPr>
                <w:sz w:val="20"/>
                <w:szCs w:val="20"/>
              </w:rPr>
              <w:t>12 509,5</w:t>
            </w:r>
          </w:p>
        </w:tc>
        <w:tc>
          <w:tcPr>
            <w:tcW w:w="1135"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center"/>
              <w:rPr>
                <w:sz w:val="20"/>
                <w:szCs w:val="20"/>
              </w:rPr>
            </w:pPr>
            <w:r w:rsidRPr="00E352CE">
              <w:rPr>
                <w:sz w:val="20"/>
                <w:szCs w:val="20"/>
              </w:rPr>
              <w:t>0,1</w:t>
            </w:r>
          </w:p>
        </w:tc>
      </w:tr>
      <w:tr w:rsidR="00467F9C" w:rsidRPr="00E352CE" w:rsidTr="00E352CE">
        <w:trPr>
          <w:trHeight w:val="300"/>
        </w:trPr>
        <w:tc>
          <w:tcPr>
            <w:tcW w:w="3431" w:type="dxa"/>
            <w:tcBorders>
              <w:top w:val="nil"/>
              <w:left w:val="single" w:sz="4" w:space="0" w:color="auto"/>
              <w:bottom w:val="single" w:sz="4" w:space="0" w:color="auto"/>
              <w:right w:val="single" w:sz="4" w:space="0" w:color="auto"/>
            </w:tcBorders>
            <w:shd w:val="clear" w:color="auto" w:fill="auto"/>
            <w:vAlign w:val="center"/>
            <w:hideMark/>
          </w:tcPr>
          <w:p w:rsidR="00191861" w:rsidRPr="00E352CE" w:rsidRDefault="00191861" w:rsidP="00191861">
            <w:pPr>
              <w:rPr>
                <w:sz w:val="20"/>
                <w:szCs w:val="20"/>
              </w:rPr>
            </w:pPr>
            <w:r w:rsidRPr="00E352CE">
              <w:rPr>
                <w:sz w:val="20"/>
                <w:szCs w:val="20"/>
              </w:rPr>
              <w:t>Неналоговые доходы</w:t>
            </w:r>
          </w:p>
        </w:tc>
        <w:tc>
          <w:tcPr>
            <w:tcW w:w="1389"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right"/>
              <w:rPr>
                <w:sz w:val="20"/>
                <w:szCs w:val="20"/>
              </w:rPr>
            </w:pPr>
            <w:r w:rsidRPr="00E352CE">
              <w:rPr>
                <w:sz w:val="20"/>
                <w:szCs w:val="20"/>
              </w:rPr>
              <w:t>149 538,8</w:t>
            </w:r>
          </w:p>
        </w:tc>
        <w:tc>
          <w:tcPr>
            <w:tcW w:w="2410"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right"/>
              <w:rPr>
                <w:sz w:val="20"/>
                <w:szCs w:val="20"/>
              </w:rPr>
            </w:pPr>
            <w:r w:rsidRPr="00E352CE">
              <w:rPr>
                <w:sz w:val="20"/>
                <w:szCs w:val="20"/>
              </w:rPr>
              <w:t>149 538,8</w:t>
            </w:r>
          </w:p>
        </w:tc>
        <w:tc>
          <w:tcPr>
            <w:tcW w:w="1275"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E352CE">
            <w:pPr>
              <w:ind w:left="-101"/>
              <w:jc w:val="right"/>
              <w:rPr>
                <w:sz w:val="20"/>
                <w:szCs w:val="20"/>
              </w:rPr>
            </w:pPr>
            <w:r w:rsidRPr="00E352CE">
              <w:rPr>
                <w:sz w:val="20"/>
                <w:szCs w:val="20"/>
              </w:rPr>
              <w:t>-</w:t>
            </w:r>
          </w:p>
        </w:tc>
        <w:tc>
          <w:tcPr>
            <w:tcW w:w="1135"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center"/>
              <w:rPr>
                <w:sz w:val="20"/>
                <w:szCs w:val="20"/>
              </w:rPr>
            </w:pPr>
            <w:r w:rsidRPr="00E352CE">
              <w:rPr>
                <w:sz w:val="20"/>
                <w:szCs w:val="20"/>
              </w:rPr>
              <w:t>-</w:t>
            </w:r>
          </w:p>
        </w:tc>
      </w:tr>
      <w:tr w:rsidR="00467F9C" w:rsidRPr="00E352CE" w:rsidTr="00E352CE">
        <w:trPr>
          <w:trHeight w:val="300"/>
        </w:trPr>
        <w:tc>
          <w:tcPr>
            <w:tcW w:w="3431" w:type="dxa"/>
            <w:tcBorders>
              <w:top w:val="nil"/>
              <w:left w:val="single" w:sz="4" w:space="0" w:color="auto"/>
              <w:bottom w:val="single" w:sz="4" w:space="0" w:color="auto"/>
              <w:right w:val="single" w:sz="4" w:space="0" w:color="auto"/>
            </w:tcBorders>
            <w:shd w:val="clear" w:color="auto" w:fill="auto"/>
            <w:vAlign w:val="center"/>
            <w:hideMark/>
          </w:tcPr>
          <w:p w:rsidR="00191861" w:rsidRPr="00E352CE" w:rsidRDefault="00191861" w:rsidP="00191861">
            <w:pPr>
              <w:rPr>
                <w:sz w:val="20"/>
                <w:szCs w:val="20"/>
              </w:rPr>
            </w:pPr>
            <w:r w:rsidRPr="00E352CE">
              <w:rPr>
                <w:sz w:val="20"/>
                <w:szCs w:val="20"/>
              </w:rPr>
              <w:t>Безвозмездные поступления</w:t>
            </w:r>
          </w:p>
        </w:tc>
        <w:tc>
          <w:tcPr>
            <w:tcW w:w="1389"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right"/>
              <w:rPr>
                <w:sz w:val="20"/>
                <w:szCs w:val="20"/>
              </w:rPr>
            </w:pPr>
            <w:r w:rsidRPr="00E352CE">
              <w:rPr>
                <w:sz w:val="20"/>
                <w:szCs w:val="20"/>
              </w:rPr>
              <w:t>22 243 672,9</w:t>
            </w:r>
          </w:p>
        </w:tc>
        <w:tc>
          <w:tcPr>
            <w:tcW w:w="2410"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right"/>
              <w:rPr>
                <w:sz w:val="20"/>
                <w:szCs w:val="20"/>
              </w:rPr>
            </w:pPr>
            <w:r w:rsidRPr="00E352CE">
              <w:rPr>
                <w:sz w:val="20"/>
                <w:szCs w:val="20"/>
              </w:rPr>
              <w:t>31 407 438,6</w:t>
            </w:r>
          </w:p>
        </w:tc>
        <w:tc>
          <w:tcPr>
            <w:tcW w:w="1275"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E352CE">
            <w:pPr>
              <w:ind w:left="-101"/>
              <w:jc w:val="right"/>
              <w:rPr>
                <w:sz w:val="20"/>
                <w:szCs w:val="20"/>
              </w:rPr>
            </w:pPr>
            <w:r w:rsidRPr="00E352CE">
              <w:rPr>
                <w:sz w:val="20"/>
                <w:szCs w:val="20"/>
              </w:rPr>
              <w:t>9 163 765,7</w:t>
            </w:r>
          </w:p>
        </w:tc>
        <w:tc>
          <w:tcPr>
            <w:tcW w:w="1135"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center"/>
              <w:rPr>
                <w:sz w:val="20"/>
                <w:szCs w:val="20"/>
              </w:rPr>
            </w:pPr>
            <w:r w:rsidRPr="00E352CE">
              <w:rPr>
                <w:sz w:val="20"/>
                <w:szCs w:val="20"/>
              </w:rPr>
              <w:t>41,2</w:t>
            </w:r>
          </w:p>
        </w:tc>
      </w:tr>
      <w:tr w:rsidR="00467F9C" w:rsidRPr="00E352CE" w:rsidTr="00E352CE">
        <w:trPr>
          <w:trHeight w:val="300"/>
        </w:trPr>
        <w:tc>
          <w:tcPr>
            <w:tcW w:w="3431" w:type="dxa"/>
            <w:tcBorders>
              <w:top w:val="nil"/>
              <w:left w:val="single" w:sz="4" w:space="0" w:color="auto"/>
              <w:bottom w:val="single" w:sz="4" w:space="0" w:color="auto"/>
              <w:right w:val="single" w:sz="4" w:space="0" w:color="auto"/>
            </w:tcBorders>
            <w:shd w:val="clear" w:color="auto" w:fill="auto"/>
            <w:vAlign w:val="center"/>
            <w:hideMark/>
          </w:tcPr>
          <w:p w:rsidR="00191861" w:rsidRPr="00E352CE" w:rsidRDefault="00191861" w:rsidP="00191861">
            <w:pPr>
              <w:rPr>
                <w:b/>
                <w:bCs/>
                <w:sz w:val="20"/>
                <w:szCs w:val="20"/>
              </w:rPr>
            </w:pPr>
            <w:r w:rsidRPr="00E352CE">
              <w:rPr>
                <w:b/>
                <w:bCs/>
                <w:sz w:val="20"/>
                <w:szCs w:val="20"/>
              </w:rPr>
              <w:t>Расходы, в том числе:</w:t>
            </w:r>
          </w:p>
        </w:tc>
        <w:tc>
          <w:tcPr>
            <w:tcW w:w="1389"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right"/>
              <w:rPr>
                <w:b/>
                <w:bCs/>
                <w:sz w:val="20"/>
                <w:szCs w:val="20"/>
              </w:rPr>
            </w:pPr>
            <w:r w:rsidRPr="00E352CE">
              <w:rPr>
                <w:b/>
                <w:bCs/>
                <w:sz w:val="20"/>
                <w:szCs w:val="20"/>
              </w:rPr>
              <w:t>41 416 326,2</w:t>
            </w:r>
          </w:p>
        </w:tc>
        <w:tc>
          <w:tcPr>
            <w:tcW w:w="2410"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right"/>
              <w:rPr>
                <w:b/>
                <w:bCs/>
                <w:sz w:val="20"/>
                <w:szCs w:val="20"/>
              </w:rPr>
            </w:pPr>
            <w:r w:rsidRPr="00E352CE">
              <w:rPr>
                <w:b/>
                <w:bCs/>
                <w:sz w:val="20"/>
                <w:szCs w:val="20"/>
              </w:rPr>
              <w:t>53 370 155,2</w:t>
            </w:r>
          </w:p>
        </w:tc>
        <w:tc>
          <w:tcPr>
            <w:tcW w:w="1275"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E352CE">
            <w:pPr>
              <w:ind w:left="-101"/>
              <w:jc w:val="right"/>
              <w:rPr>
                <w:b/>
                <w:bCs/>
                <w:sz w:val="20"/>
                <w:szCs w:val="20"/>
              </w:rPr>
            </w:pPr>
            <w:r w:rsidRPr="00E352CE">
              <w:rPr>
                <w:b/>
                <w:bCs/>
                <w:sz w:val="20"/>
                <w:szCs w:val="20"/>
              </w:rPr>
              <w:t>11 953 829,0</w:t>
            </w:r>
          </w:p>
        </w:tc>
        <w:tc>
          <w:tcPr>
            <w:tcW w:w="1135"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center"/>
              <w:rPr>
                <w:b/>
                <w:bCs/>
                <w:sz w:val="20"/>
                <w:szCs w:val="20"/>
              </w:rPr>
            </w:pPr>
            <w:r w:rsidRPr="00E352CE">
              <w:rPr>
                <w:b/>
                <w:bCs/>
                <w:sz w:val="20"/>
                <w:szCs w:val="20"/>
              </w:rPr>
              <w:t>28,9</w:t>
            </w:r>
          </w:p>
        </w:tc>
      </w:tr>
      <w:tr w:rsidR="00467F9C" w:rsidRPr="00E352CE" w:rsidTr="00E352CE">
        <w:trPr>
          <w:trHeight w:val="300"/>
        </w:trPr>
        <w:tc>
          <w:tcPr>
            <w:tcW w:w="3431" w:type="dxa"/>
            <w:tcBorders>
              <w:top w:val="nil"/>
              <w:left w:val="single" w:sz="4" w:space="0" w:color="auto"/>
              <w:bottom w:val="single" w:sz="4" w:space="0" w:color="auto"/>
              <w:right w:val="single" w:sz="4" w:space="0" w:color="auto"/>
            </w:tcBorders>
            <w:shd w:val="clear" w:color="auto" w:fill="auto"/>
            <w:vAlign w:val="center"/>
            <w:hideMark/>
          </w:tcPr>
          <w:p w:rsidR="00191861" w:rsidRPr="00E352CE" w:rsidRDefault="00191861" w:rsidP="00191861">
            <w:pPr>
              <w:rPr>
                <w:sz w:val="20"/>
                <w:szCs w:val="20"/>
              </w:rPr>
            </w:pPr>
            <w:r w:rsidRPr="00E352CE">
              <w:rPr>
                <w:sz w:val="20"/>
                <w:szCs w:val="20"/>
              </w:rPr>
              <w:t xml:space="preserve">Программные направления </w:t>
            </w:r>
          </w:p>
        </w:tc>
        <w:tc>
          <w:tcPr>
            <w:tcW w:w="1389"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right"/>
              <w:rPr>
                <w:sz w:val="20"/>
                <w:szCs w:val="20"/>
              </w:rPr>
            </w:pPr>
            <w:r w:rsidRPr="00E352CE">
              <w:rPr>
                <w:sz w:val="20"/>
                <w:szCs w:val="20"/>
              </w:rPr>
              <w:t>39 605 061,0</w:t>
            </w:r>
          </w:p>
        </w:tc>
        <w:tc>
          <w:tcPr>
            <w:tcW w:w="2410"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right"/>
              <w:rPr>
                <w:sz w:val="20"/>
                <w:szCs w:val="20"/>
              </w:rPr>
            </w:pPr>
            <w:r w:rsidRPr="00E352CE">
              <w:rPr>
                <w:sz w:val="20"/>
                <w:szCs w:val="20"/>
              </w:rPr>
              <w:t>51 112 322,1</w:t>
            </w:r>
          </w:p>
        </w:tc>
        <w:tc>
          <w:tcPr>
            <w:tcW w:w="1275"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E352CE">
            <w:pPr>
              <w:ind w:left="-101"/>
              <w:jc w:val="right"/>
              <w:rPr>
                <w:sz w:val="20"/>
                <w:szCs w:val="20"/>
              </w:rPr>
            </w:pPr>
            <w:r w:rsidRPr="00E352CE">
              <w:rPr>
                <w:sz w:val="20"/>
                <w:szCs w:val="20"/>
              </w:rPr>
              <w:t>11 507 261,1</w:t>
            </w:r>
          </w:p>
        </w:tc>
        <w:tc>
          <w:tcPr>
            <w:tcW w:w="1135"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center"/>
              <w:rPr>
                <w:sz w:val="20"/>
                <w:szCs w:val="20"/>
              </w:rPr>
            </w:pPr>
            <w:r w:rsidRPr="00E352CE">
              <w:rPr>
                <w:sz w:val="20"/>
                <w:szCs w:val="20"/>
              </w:rPr>
              <w:t>29,1</w:t>
            </w:r>
          </w:p>
        </w:tc>
      </w:tr>
      <w:tr w:rsidR="00467F9C" w:rsidRPr="00E352CE" w:rsidTr="00E352CE">
        <w:trPr>
          <w:trHeight w:val="300"/>
        </w:trPr>
        <w:tc>
          <w:tcPr>
            <w:tcW w:w="3431" w:type="dxa"/>
            <w:tcBorders>
              <w:top w:val="nil"/>
              <w:left w:val="single" w:sz="4" w:space="0" w:color="auto"/>
              <w:bottom w:val="single" w:sz="4" w:space="0" w:color="auto"/>
              <w:right w:val="single" w:sz="4" w:space="0" w:color="auto"/>
            </w:tcBorders>
            <w:shd w:val="clear" w:color="auto" w:fill="auto"/>
            <w:vAlign w:val="center"/>
            <w:hideMark/>
          </w:tcPr>
          <w:p w:rsidR="00191861" w:rsidRPr="00E352CE" w:rsidRDefault="00191861" w:rsidP="00191861">
            <w:pPr>
              <w:rPr>
                <w:sz w:val="20"/>
                <w:szCs w:val="20"/>
              </w:rPr>
            </w:pPr>
            <w:r w:rsidRPr="00E352CE">
              <w:rPr>
                <w:sz w:val="20"/>
                <w:szCs w:val="20"/>
              </w:rPr>
              <w:t xml:space="preserve">Непрограммные направления </w:t>
            </w:r>
          </w:p>
        </w:tc>
        <w:tc>
          <w:tcPr>
            <w:tcW w:w="1389"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right"/>
              <w:rPr>
                <w:sz w:val="20"/>
                <w:szCs w:val="20"/>
              </w:rPr>
            </w:pPr>
            <w:r w:rsidRPr="00E352CE">
              <w:rPr>
                <w:sz w:val="20"/>
                <w:szCs w:val="20"/>
              </w:rPr>
              <w:t>1 811 265,2</w:t>
            </w:r>
          </w:p>
        </w:tc>
        <w:tc>
          <w:tcPr>
            <w:tcW w:w="2410"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right"/>
              <w:rPr>
                <w:sz w:val="20"/>
                <w:szCs w:val="20"/>
              </w:rPr>
            </w:pPr>
            <w:r w:rsidRPr="00E352CE">
              <w:rPr>
                <w:sz w:val="20"/>
                <w:szCs w:val="20"/>
              </w:rPr>
              <w:t>2 257 833,1</w:t>
            </w:r>
          </w:p>
        </w:tc>
        <w:tc>
          <w:tcPr>
            <w:tcW w:w="1275"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E352CE">
            <w:pPr>
              <w:ind w:left="-101"/>
              <w:jc w:val="right"/>
              <w:rPr>
                <w:sz w:val="20"/>
                <w:szCs w:val="20"/>
              </w:rPr>
            </w:pPr>
            <w:r w:rsidRPr="00E352CE">
              <w:rPr>
                <w:sz w:val="20"/>
                <w:szCs w:val="20"/>
              </w:rPr>
              <w:t>446 567,9</w:t>
            </w:r>
          </w:p>
        </w:tc>
        <w:tc>
          <w:tcPr>
            <w:tcW w:w="1135"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center"/>
              <w:rPr>
                <w:sz w:val="20"/>
                <w:szCs w:val="20"/>
              </w:rPr>
            </w:pPr>
            <w:r w:rsidRPr="00E352CE">
              <w:rPr>
                <w:sz w:val="20"/>
                <w:szCs w:val="20"/>
              </w:rPr>
              <w:t>24,7</w:t>
            </w:r>
          </w:p>
        </w:tc>
      </w:tr>
      <w:tr w:rsidR="00467F9C" w:rsidRPr="00E352CE" w:rsidTr="00E352CE">
        <w:trPr>
          <w:trHeight w:val="300"/>
        </w:trPr>
        <w:tc>
          <w:tcPr>
            <w:tcW w:w="3431" w:type="dxa"/>
            <w:tcBorders>
              <w:top w:val="nil"/>
              <w:left w:val="single" w:sz="4" w:space="0" w:color="auto"/>
              <w:bottom w:val="single" w:sz="4" w:space="0" w:color="auto"/>
              <w:right w:val="single" w:sz="4" w:space="0" w:color="auto"/>
            </w:tcBorders>
            <w:shd w:val="clear" w:color="auto" w:fill="auto"/>
            <w:vAlign w:val="center"/>
            <w:hideMark/>
          </w:tcPr>
          <w:p w:rsidR="00191861" w:rsidRPr="00E352CE" w:rsidRDefault="00191861" w:rsidP="00191861">
            <w:pPr>
              <w:rPr>
                <w:b/>
                <w:bCs/>
                <w:sz w:val="20"/>
                <w:szCs w:val="20"/>
              </w:rPr>
            </w:pPr>
            <w:r w:rsidRPr="00E352CE">
              <w:rPr>
                <w:b/>
                <w:bCs/>
                <w:sz w:val="20"/>
                <w:szCs w:val="20"/>
              </w:rPr>
              <w:t>Профицит (+) Дефицит (-)</w:t>
            </w:r>
          </w:p>
        </w:tc>
        <w:tc>
          <w:tcPr>
            <w:tcW w:w="1389"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right"/>
              <w:rPr>
                <w:b/>
                <w:bCs/>
                <w:sz w:val="20"/>
                <w:szCs w:val="20"/>
              </w:rPr>
            </w:pPr>
            <w:r w:rsidRPr="00E352CE">
              <w:rPr>
                <w:b/>
                <w:bCs/>
                <w:sz w:val="20"/>
                <w:szCs w:val="20"/>
              </w:rPr>
              <w:t>-  1 701 651,7</w:t>
            </w:r>
          </w:p>
        </w:tc>
        <w:tc>
          <w:tcPr>
            <w:tcW w:w="2410"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right"/>
              <w:rPr>
                <w:b/>
                <w:bCs/>
                <w:sz w:val="20"/>
                <w:szCs w:val="20"/>
              </w:rPr>
            </w:pPr>
            <w:r w:rsidRPr="00E352CE">
              <w:rPr>
                <w:b/>
                <w:bCs/>
                <w:sz w:val="20"/>
                <w:szCs w:val="20"/>
              </w:rPr>
              <w:t>-  4 479 205,5</w:t>
            </w:r>
          </w:p>
        </w:tc>
        <w:tc>
          <w:tcPr>
            <w:tcW w:w="1275"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E352CE">
            <w:pPr>
              <w:ind w:left="-101"/>
              <w:jc w:val="right"/>
              <w:rPr>
                <w:b/>
                <w:bCs/>
                <w:sz w:val="20"/>
                <w:szCs w:val="20"/>
              </w:rPr>
            </w:pPr>
            <w:r w:rsidRPr="00E352CE">
              <w:rPr>
                <w:b/>
                <w:bCs/>
                <w:sz w:val="20"/>
                <w:szCs w:val="20"/>
              </w:rPr>
              <w:t>- 2 777 553,8</w:t>
            </w:r>
          </w:p>
        </w:tc>
        <w:tc>
          <w:tcPr>
            <w:tcW w:w="1135"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center"/>
              <w:rPr>
                <w:b/>
                <w:bCs/>
                <w:sz w:val="20"/>
                <w:szCs w:val="20"/>
              </w:rPr>
            </w:pPr>
            <w:r w:rsidRPr="00E352CE">
              <w:rPr>
                <w:b/>
                <w:bCs/>
                <w:sz w:val="20"/>
                <w:szCs w:val="20"/>
              </w:rPr>
              <w:t>в 1,6 раза</w:t>
            </w:r>
          </w:p>
        </w:tc>
      </w:tr>
      <w:tr w:rsidR="00467F9C" w:rsidRPr="00E352CE" w:rsidTr="00E352CE">
        <w:trPr>
          <w:trHeight w:val="312"/>
        </w:trPr>
        <w:tc>
          <w:tcPr>
            <w:tcW w:w="3431" w:type="dxa"/>
            <w:tcBorders>
              <w:top w:val="nil"/>
              <w:left w:val="single" w:sz="4" w:space="0" w:color="auto"/>
              <w:bottom w:val="single" w:sz="4" w:space="0" w:color="auto"/>
              <w:right w:val="single" w:sz="4" w:space="0" w:color="auto"/>
            </w:tcBorders>
            <w:shd w:val="clear" w:color="auto" w:fill="auto"/>
            <w:vAlign w:val="center"/>
            <w:hideMark/>
          </w:tcPr>
          <w:p w:rsidR="00191861" w:rsidRPr="00E352CE" w:rsidRDefault="00191861" w:rsidP="00191861">
            <w:pPr>
              <w:rPr>
                <w:sz w:val="20"/>
                <w:szCs w:val="20"/>
              </w:rPr>
            </w:pPr>
            <w:r w:rsidRPr="00E352CE">
              <w:rPr>
                <w:sz w:val="20"/>
                <w:szCs w:val="20"/>
              </w:rPr>
              <w:t>Верхний предел внутреннего долга на 01.01.2023 г., в том числе:</w:t>
            </w:r>
          </w:p>
        </w:tc>
        <w:tc>
          <w:tcPr>
            <w:tcW w:w="1389"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right"/>
              <w:rPr>
                <w:sz w:val="20"/>
                <w:szCs w:val="20"/>
              </w:rPr>
            </w:pPr>
            <w:r w:rsidRPr="00E352CE">
              <w:rPr>
                <w:sz w:val="20"/>
                <w:szCs w:val="20"/>
              </w:rPr>
              <w:t>8 478 097,3</w:t>
            </w:r>
          </w:p>
        </w:tc>
        <w:tc>
          <w:tcPr>
            <w:tcW w:w="2410"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right"/>
              <w:rPr>
                <w:sz w:val="20"/>
                <w:szCs w:val="20"/>
              </w:rPr>
            </w:pPr>
            <w:r w:rsidRPr="00E352CE">
              <w:rPr>
                <w:sz w:val="20"/>
                <w:szCs w:val="20"/>
              </w:rPr>
              <w:t>8 478 097,3</w:t>
            </w:r>
          </w:p>
        </w:tc>
        <w:tc>
          <w:tcPr>
            <w:tcW w:w="1275" w:type="dxa"/>
            <w:tcBorders>
              <w:top w:val="nil"/>
              <w:left w:val="nil"/>
              <w:bottom w:val="single" w:sz="4" w:space="0" w:color="auto"/>
              <w:right w:val="single" w:sz="4" w:space="0" w:color="auto"/>
            </w:tcBorders>
            <w:shd w:val="clear" w:color="auto" w:fill="auto"/>
            <w:noWrap/>
            <w:vAlign w:val="center"/>
          </w:tcPr>
          <w:p w:rsidR="00191861" w:rsidRPr="00E352CE" w:rsidRDefault="00191861" w:rsidP="00E352CE">
            <w:pPr>
              <w:ind w:left="-101"/>
              <w:jc w:val="center"/>
              <w:rPr>
                <w:sz w:val="20"/>
                <w:szCs w:val="20"/>
              </w:rPr>
            </w:pPr>
            <w:r w:rsidRPr="00E352CE">
              <w:rPr>
                <w:sz w:val="20"/>
                <w:szCs w:val="20"/>
              </w:rPr>
              <w:t>х</w:t>
            </w:r>
          </w:p>
        </w:tc>
        <w:tc>
          <w:tcPr>
            <w:tcW w:w="1135" w:type="dxa"/>
            <w:tcBorders>
              <w:top w:val="nil"/>
              <w:left w:val="nil"/>
              <w:bottom w:val="single" w:sz="4" w:space="0" w:color="auto"/>
              <w:right w:val="single" w:sz="4" w:space="0" w:color="auto"/>
            </w:tcBorders>
            <w:shd w:val="clear" w:color="auto" w:fill="auto"/>
            <w:noWrap/>
            <w:vAlign w:val="center"/>
          </w:tcPr>
          <w:p w:rsidR="00191861" w:rsidRPr="00E352CE" w:rsidRDefault="00191861" w:rsidP="00191861">
            <w:pPr>
              <w:jc w:val="center"/>
              <w:rPr>
                <w:sz w:val="20"/>
                <w:szCs w:val="20"/>
              </w:rPr>
            </w:pPr>
            <w:r w:rsidRPr="00E352CE">
              <w:rPr>
                <w:sz w:val="20"/>
                <w:szCs w:val="20"/>
              </w:rPr>
              <w:t>х</w:t>
            </w:r>
          </w:p>
        </w:tc>
      </w:tr>
      <w:tr w:rsidR="00467F9C" w:rsidRPr="00E352CE" w:rsidTr="00E352CE">
        <w:trPr>
          <w:trHeight w:val="300"/>
        </w:trPr>
        <w:tc>
          <w:tcPr>
            <w:tcW w:w="3431" w:type="dxa"/>
            <w:tcBorders>
              <w:top w:val="nil"/>
              <w:left w:val="single" w:sz="4" w:space="0" w:color="auto"/>
              <w:bottom w:val="single" w:sz="4" w:space="0" w:color="auto"/>
              <w:right w:val="single" w:sz="4" w:space="0" w:color="auto"/>
            </w:tcBorders>
            <w:shd w:val="clear" w:color="auto" w:fill="auto"/>
            <w:vAlign w:val="center"/>
            <w:hideMark/>
          </w:tcPr>
          <w:p w:rsidR="00191861" w:rsidRPr="00E352CE" w:rsidRDefault="00191861" w:rsidP="00191861">
            <w:pPr>
              <w:rPr>
                <w:i/>
                <w:iCs/>
                <w:sz w:val="20"/>
                <w:szCs w:val="20"/>
              </w:rPr>
            </w:pPr>
            <w:r w:rsidRPr="00E352CE">
              <w:rPr>
                <w:i/>
                <w:iCs/>
                <w:sz w:val="20"/>
                <w:szCs w:val="20"/>
              </w:rPr>
              <w:t>по государственным гарантиям</w:t>
            </w:r>
          </w:p>
        </w:tc>
        <w:tc>
          <w:tcPr>
            <w:tcW w:w="1389"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right"/>
              <w:rPr>
                <w:i/>
                <w:iCs/>
                <w:sz w:val="20"/>
                <w:szCs w:val="20"/>
              </w:rPr>
            </w:pPr>
            <w:r w:rsidRPr="00E352CE">
              <w:rPr>
                <w:i/>
                <w:iCs/>
                <w:sz w:val="20"/>
                <w:szCs w:val="20"/>
              </w:rPr>
              <w:t>1 750 000,0</w:t>
            </w:r>
          </w:p>
        </w:tc>
        <w:tc>
          <w:tcPr>
            <w:tcW w:w="2410"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right"/>
              <w:rPr>
                <w:i/>
                <w:iCs/>
                <w:sz w:val="20"/>
                <w:szCs w:val="20"/>
              </w:rPr>
            </w:pPr>
            <w:r w:rsidRPr="00E352CE">
              <w:rPr>
                <w:i/>
                <w:iCs/>
                <w:sz w:val="20"/>
                <w:szCs w:val="20"/>
              </w:rPr>
              <w:t>1 750 000,0</w:t>
            </w:r>
          </w:p>
        </w:tc>
        <w:tc>
          <w:tcPr>
            <w:tcW w:w="1275" w:type="dxa"/>
            <w:tcBorders>
              <w:top w:val="nil"/>
              <w:left w:val="nil"/>
              <w:bottom w:val="single" w:sz="4" w:space="0" w:color="auto"/>
              <w:right w:val="single" w:sz="4" w:space="0" w:color="auto"/>
            </w:tcBorders>
            <w:shd w:val="clear" w:color="auto" w:fill="auto"/>
            <w:noWrap/>
            <w:vAlign w:val="center"/>
          </w:tcPr>
          <w:p w:rsidR="00191861" w:rsidRPr="00E352CE" w:rsidRDefault="00191861" w:rsidP="00E352CE">
            <w:pPr>
              <w:ind w:left="-101"/>
              <w:jc w:val="center"/>
              <w:rPr>
                <w:sz w:val="20"/>
                <w:szCs w:val="20"/>
              </w:rPr>
            </w:pPr>
            <w:r w:rsidRPr="00E352CE">
              <w:rPr>
                <w:sz w:val="20"/>
                <w:szCs w:val="20"/>
              </w:rPr>
              <w:t>х</w:t>
            </w:r>
          </w:p>
        </w:tc>
        <w:tc>
          <w:tcPr>
            <w:tcW w:w="1135" w:type="dxa"/>
            <w:tcBorders>
              <w:top w:val="nil"/>
              <w:left w:val="nil"/>
              <w:bottom w:val="single" w:sz="4" w:space="0" w:color="auto"/>
              <w:right w:val="single" w:sz="4" w:space="0" w:color="auto"/>
            </w:tcBorders>
            <w:shd w:val="clear" w:color="auto" w:fill="auto"/>
            <w:noWrap/>
            <w:vAlign w:val="center"/>
          </w:tcPr>
          <w:p w:rsidR="00191861" w:rsidRPr="00E352CE" w:rsidRDefault="00191861" w:rsidP="00191861">
            <w:pPr>
              <w:jc w:val="center"/>
              <w:rPr>
                <w:sz w:val="20"/>
                <w:szCs w:val="20"/>
              </w:rPr>
            </w:pPr>
            <w:r w:rsidRPr="00E352CE">
              <w:rPr>
                <w:sz w:val="20"/>
                <w:szCs w:val="20"/>
              </w:rPr>
              <w:t>х</w:t>
            </w:r>
          </w:p>
        </w:tc>
      </w:tr>
      <w:tr w:rsidR="00467F9C" w:rsidRPr="00E352CE" w:rsidTr="00E352CE">
        <w:trPr>
          <w:trHeight w:val="390"/>
        </w:trPr>
        <w:tc>
          <w:tcPr>
            <w:tcW w:w="3431" w:type="dxa"/>
            <w:tcBorders>
              <w:top w:val="nil"/>
              <w:left w:val="single" w:sz="4" w:space="0" w:color="auto"/>
              <w:bottom w:val="single" w:sz="4" w:space="0" w:color="auto"/>
              <w:right w:val="single" w:sz="4" w:space="0" w:color="auto"/>
            </w:tcBorders>
            <w:shd w:val="clear" w:color="auto" w:fill="auto"/>
            <w:vAlign w:val="center"/>
            <w:hideMark/>
          </w:tcPr>
          <w:p w:rsidR="00191861" w:rsidRPr="00E352CE" w:rsidRDefault="00191861" w:rsidP="00191861">
            <w:pPr>
              <w:rPr>
                <w:i/>
                <w:iCs/>
                <w:sz w:val="20"/>
                <w:szCs w:val="20"/>
              </w:rPr>
            </w:pPr>
            <w:r w:rsidRPr="00E352CE">
              <w:rPr>
                <w:i/>
                <w:iCs/>
                <w:sz w:val="20"/>
                <w:szCs w:val="20"/>
              </w:rPr>
              <w:t xml:space="preserve">объем заимствований </w:t>
            </w:r>
          </w:p>
        </w:tc>
        <w:tc>
          <w:tcPr>
            <w:tcW w:w="1389"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right"/>
              <w:rPr>
                <w:i/>
                <w:iCs/>
                <w:sz w:val="20"/>
                <w:szCs w:val="20"/>
              </w:rPr>
            </w:pPr>
            <w:r w:rsidRPr="00E352CE">
              <w:rPr>
                <w:i/>
                <w:iCs/>
                <w:sz w:val="20"/>
                <w:szCs w:val="20"/>
              </w:rPr>
              <w:t>6 728 097,3</w:t>
            </w:r>
          </w:p>
        </w:tc>
        <w:tc>
          <w:tcPr>
            <w:tcW w:w="2410" w:type="dxa"/>
            <w:tcBorders>
              <w:top w:val="nil"/>
              <w:left w:val="nil"/>
              <w:bottom w:val="single" w:sz="4" w:space="0" w:color="auto"/>
              <w:right w:val="single" w:sz="4" w:space="0" w:color="auto"/>
            </w:tcBorders>
            <w:shd w:val="clear" w:color="auto" w:fill="auto"/>
            <w:noWrap/>
            <w:vAlign w:val="center"/>
            <w:hideMark/>
          </w:tcPr>
          <w:p w:rsidR="00191861" w:rsidRPr="00E352CE" w:rsidRDefault="00191861" w:rsidP="00191861">
            <w:pPr>
              <w:jc w:val="right"/>
              <w:rPr>
                <w:i/>
                <w:iCs/>
                <w:sz w:val="20"/>
                <w:szCs w:val="20"/>
              </w:rPr>
            </w:pPr>
            <w:r w:rsidRPr="00E352CE">
              <w:rPr>
                <w:i/>
                <w:iCs/>
                <w:sz w:val="20"/>
                <w:szCs w:val="20"/>
              </w:rPr>
              <w:t>6 728 097,3</w:t>
            </w:r>
          </w:p>
        </w:tc>
        <w:tc>
          <w:tcPr>
            <w:tcW w:w="1275" w:type="dxa"/>
            <w:tcBorders>
              <w:top w:val="nil"/>
              <w:left w:val="nil"/>
              <w:bottom w:val="single" w:sz="4" w:space="0" w:color="auto"/>
              <w:right w:val="single" w:sz="4" w:space="0" w:color="auto"/>
            </w:tcBorders>
            <w:shd w:val="clear" w:color="auto" w:fill="auto"/>
            <w:noWrap/>
            <w:vAlign w:val="center"/>
          </w:tcPr>
          <w:p w:rsidR="00191861" w:rsidRPr="00E352CE" w:rsidRDefault="00191861" w:rsidP="00E352CE">
            <w:pPr>
              <w:ind w:left="-101"/>
              <w:jc w:val="center"/>
              <w:rPr>
                <w:sz w:val="20"/>
                <w:szCs w:val="20"/>
              </w:rPr>
            </w:pPr>
            <w:r w:rsidRPr="00E352CE">
              <w:rPr>
                <w:sz w:val="20"/>
                <w:szCs w:val="20"/>
              </w:rPr>
              <w:t>х</w:t>
            </w:r>
          </w:p>
        </w:tc>
        <w:tc>
          <w:tcPr>
            <w:tcW w:w="1135" w:type="dxa"/>
            <w:tcBorders>
              <w:top w:val="nil"/>
              <w:left w:val="nil"/>
              <w:bottom w:val="single" w:sz="4" w:space="0" w:color="auto"/>
              <w:right w:val="single" w:sz="4" w:space="0" w:color="auto"/>
            </w:tcBorders>
            <w:shd w:val="clear" w:color="auto" w:fill="auto"/>
            <w:noWrap/>
            <w:vAlign w:val="center"/>
          </w:tcPr>
          <w:p w:rsidR="00191861" w:rsidRPr="00E352CE" w:rsidRDefault="00191861" w:rsidP="00191861">
            <w:pPr>
              <w:jc w:val="center"/>
              <w:rPr>
                <w:sz w:val="20"/>
                <w:szCs w:val="20"/>
              </w:rPr>
            </w:pPr>
            <w:r w:rsidRPr="00E352CE">
              <w:rPr>
                <w:sz w:val="20"/>
                <w:szCs w:val="20"/>
              </w:rPr>
              <w:t>х</w:t>
            </w:r>
          </w:p>
        </w:tc>
      </w:tr>
    </w:tbl>
    <w:p w:rsidR="00191861" w:rsidRPr="00467F9C" w:rsidRDefault="00191861" w:rsidP="00191861">
      <w:pPr>
        <w:pStyle w:val="Default"/>
        <w:spacing w:before="120"/>
        <w:ind w:firstLine="709"/>
        <w:jc w:val="both"/>
        <w:rPr>
          <w:color w:val="auto"/>
          <w:sz w:val="28"/>
          <w:szCs w:val="28"/>
        </w:rPr>
      </w:pPr>
      <w:r w:rsidRPr="00467F9C">
        <w:rPr>
          <w:color w:val="auto"/>
          <w:sz w:val="28"/>
          <w:szCs w:val="28"/>
        </w:rPr>
        <w:t>В соответствии со статьей 217 Бюджетного кодекса и статьей 12 Закона об окружном бюджете Департаментом финансов без внесения изменений в Закон об окружном бюджете план по расходам увеличен до 53 392 845,2 тыс. рублей или на 22 690,0 тыс. рублей (менее 0,1%). Указанный плановый показатель отражен в </w:t>
      </w:r>
      <w:r w:rsidRPr="00467F9C">
        <w:rPr>
          <w:bCs/>
          <w:color w:val="auto"/>
          <w:sz w:val="28"/>
          <w:szCs w:val="28"/>
        </w:rPr>
        <w:t>сводной бюджетной росписи</w:t>
      </w:r>
      <w:r w:rsidRPr="00467F9C">
        <w:rPr>
          <w:rStyle w:val="ab"/>
          <w:bCs/>
          <w:color w:val="auto"/>
          <w:sz w:val="28"/>
          <w:szCs w:val="28"/>
        </w:rPr>
        <w:footnoteReference w:id="131"/>
      </w:r>
      <w:r w:rsidRPr="00467F9C">
        <w:rPr>
          <w:bCs/>
          <w:color w:val="auto"/>
          <w:sz w:val="28"/>
          <w:szCs w:val="28"/>
        </w:rPr>
        <w:t xml:space="preserve"> по состоянию на 1 апреля 2022 года и Отчете об исполнении окружного бюджета</w:t>
      </w:r>
      <w:r w:rsidRPr="00467F9C">
        <w:rPr>
          <w:rStyle w:val="ab"/>
          <w:color w:val="auto"/>
          <w:sz w:val="28"/>
          <w:szCs w:val="28"/>
        </w:rPr>
        <w:footnoteReference w:id="132"/>
      </w:r>
      <w:r w:rsidRPr="00467F9C">
        <w:rPr>
          <w:bCs/>
          <w:color w:val="auto"/>
          <w:sz w:val="28"/>
          <w:szCs w:val="28"/>
        </w:rPr>
        <w:t>.</w:t>
      </w:r>
      <w:r w:rsidRPr="00467F9C">
        <w:rPr>
          <w:color w:val="auto"/>
          <w:sz w:val="28"/>
          <w:szCs w:val="28"/>
        </w:rPr>
        <w:t xml:space="preserve"> Необходимость внесения изменений в плановые назначения возникла в связи с распределением межбюджетных трансфертов за счет средств резервного фонда Правительства Российской Федерации (3 067,2 тыс. рублей – организация профессионального обучения и дополнительного профессионального образования работников промышленных предприятий, находящихся под риском увольнения; 18 941,8 тыс. рублей – мероприятия, направленные на снижение напряженности на рынке труда; 681,0 тыс. рублей – финансовое обеспечение оплаты труда медицинских работников, оказывающих консультативную медицинскую помощь с применением телемедицинских технологий гражданам с подтвержденным </w:t>
      </w:r>
      <w:r w:rsidRPr="00467F9C">
        <w:rPr>
          <w:color w:val="auto"/>
          <w:sz w:val="28"/>
          <w:szCs w:val="28"/>
        </w:rPr>
        <w:lastRenderedPageBreak/>
        <w:t xml:space="preserve">диагнозом новой </w:t>
      </w:r>
      <w:proofErr w:type="spellStart"/>
      <w:r w:rsidRPr="00467F9C">
        <w:rPr>
          <w:color w:val="auto"/>
          <w:sz w:val="28"/>
          <w:szCs w:val="28"/>
        </w:rPr>
        <w:t>короновирусной</w:t>
      </w:r>
      <w:proofErr w:type="spellEnd"/>
      <w:r w:rsidRPr="00467F9C">
        <w:rPr>
          <w:color w:val="auto"/>
          <w:sz w:val="28"/>
          <w:szCs w:val="28"/>
        </w:rPr>
        <w:t xml:space="preserve"> инфекции COVID-19, а также с признаками или подтвержденным диагнозом внебольничной пневмонии, острой респираторной вирусной инфекции, гриппа, получающим медицинскую помощь в амбулаторных условиях). </w:t>
      </w:r>
    </w:p>
    <w:p w:rsidR="00191861" w:rsidRPr="00467F9C" w:rsidRDefault="00191861" w:rsidP="00191861">
      <w:pPr>
        <w:pStyle w:val="29"/>
        <w:shd w:val="clear" w:color="auto" w:fill="FFFFFF"/>
        <w:spacing w:after="0" w:line="240" w:lineRule="auto"/>
        <w:ind w:firstLine="709"/>
        <w:jc w:val="both"/>
        <w:rPr>
          <w:rFonts w:ascii="Times New Roman" w:hAnsi="Times New Roman" w:cs="Times New Roman"/>
          <w:sz w:val="28"/>
          <w:szCs w:val="28"/>
        </w:rPr>
      </w:pPr>
      <w:r w:rsidRPr="00467F9C">
        <w:rPr>
          <w:rFonts w:ascii="Times New Roman" w:hAnsi="Times New Roman" w:cs="Times New Roman"/>
          <w:sz w:val="28"/>
          <w:szCs w:val="28"/>
        </w:rPr>
        <w:t>Характеристика исполнения окружного бюджета по итогам отчетного периода</w:t>
      </w:r>
      <w:r w:rsidRPr="00467F9C">
        <w:rPr>
          <w:rFonts w:ascii="Times New Roman" w:hAnsi="Times New Roman" w:cs="Times New Roman"/>
          <w:sz w:val="28"/>
          <w:szCs w:val="28"/>
          <w:vertAlign w:val="superscript"/>
        </w:rPr>
        <w:footnoteReference w:id="133"/>
      </w:r>
      <w:r w:rsidRPr="00467F9C">
        <w:rPr>
          <w:rFonts w:ascii="Times New Roman" w:hAnsi="Times New Roman" w:cs="Times New Roman"/>
          <w:sz w:val="28"/>
          <w:szCs w:val="28"/>
        </w:rPr>
        <w:t xml:space="preserve"> представлена</w:t>
      </w:r>
      <w:r w:rsidRPr="00467F9C">
        <w:rPr>
          <w:rFonts w:ascii="Times New Roman" w:hAnsi="Times New Roman" w:cs="Times New Roman"/>
          <w:sz w:val="16"/>
          <w:szCs w:val="16"/>
        </w:rPr>
        <w:t xml:space="preserve"> </w:t>
      </w:r>
      <w:r w:rsidRPr="00467F9C">
        <w:rPr>
          <w:rFonts w:ascii="Times New Roman" w:hAnsi="Times New Roman" w:cs="Times New Roman"/>
          <w:sz w:val="28"/>
          <w:szCs w:val="28"/>
        </w:rPr>
        <w:t>в таблице №3.</w:t>
      </w:r>
    </w:p>
    <w:p w:rsidR="00191861" w:rsidRPr="00467F9C" w:rsidRDefault="00191861" w:rsidP="00191861">
      <w:pPr>
        <w:tabs>
          <w:tab w:val="left" w:pos="993"/>
        </w:tabs>
        <w:ind w:firstLine="709"/>
        <w:jc w:val="right"/>
        <w:rPr>
          <w:sz w:val="28"/>
          <w:szCs w:val="28"/>
        </w:rPr>
      </w:pPr>
      <w:r w:rsidRPr="00467F9C">
        <w:rPr>
          <w:sz w:val="28"/>
          <w:szCs w:val="28"/>
        </w:rPr>
        <w:t>Таблица №3</w:t>
      </w:r>
    </w:p>
    <w:p w:rsidR="00191861" w:rsidRPr="00467F9C" w:rsidRDefault="00191861" w:rsidP="00191861">
      <w:pPr>
        <w:tabs>
          <w:tab w:val="left" w:pos="993"/>
        </w:tabs>
        <w:ind w:firstLine="709"/>
        <w:jc w:val="right"/>
        <w:rPr>
          <w:sz w:val="28"/>
          <w:szCs w:val="28"/>
        </w:rPr>
      </w:pPr>
      <w:r w:rsidRPr="00467F9C">
        <w:rPr>
          <w:sz w:val="28"/>
          <w:szCs w:val="28"/>
        </w:rPr>
        <w:t>(тыс. рублей)</w:t>
      </w:r>
    </w:p>
    <w:tbl>
      <w:tblPr>
        <w:tblW w:w="9635" w:type="dxa"/>
        <w:tblLook w:val="04A0" w:firstRow="1" w:lastRow="0" w:firstColumn="1" w:lastColumn="0" w:noHBand="0" w:noVBand="1"/>
      </w:tblPr>
      <w:tblGrid>
        <w:gridCol w:w="4815"/>
        <w:gridCol w:w="1701"/>
        <w:gridCol w:w="1502"/>
        <w:gridCol w:w="1617"/>
      </w:tblGrid>
      <w:tr w:rsidR="00467F9C" w:rsidRPr="00047DE6" w:rsidTr="00047DE6">
        <w:trPr>
          <w:trHeight w:val="567"/>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Наименование показателя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7DE6" w:rsidRDefault="00191861" w:rsidP="00191861">
            <w:pPr>
              <w:jc w:val="center"/>
              <w:rPr>
                <w:sz w:val="20"/>
                <w:szCs w:val="20"/>
              </w:rPr>
            </w:pPr>
            <w:r w:rsidRPr="00047DE6">
              <w:rPr>
                <w:sz w:val="20"/>
                <w:szCs w:val="20"/>
              </w:rPr>
              <w:t xml:space="preserve">Утверждено </w:t>
            </w:r>
          </w:p>
          <w:p w:rsidR="00191861" w:rsidRPr="00047DE6" w:rsidRDefault="00191861" w:rsidP="00191861">
            <w:pPr>
              <w:jc w:val="center"/>
              <w:rPr>
                <w:sz w:val="20"/>
                <w:szCs w:val="20"/>
              </w:rPr>
            </w:pPr>
            <w:r w:rsidRPr="00047DE6">
              <w:rPr>
                <w:sz w:val="20"/>
                <w:szCs w:val="20"/>
              </w:rPr>
              <w:t>на 2022 год</w:t>
            </w:r>
          </w:p>
        </w:tc>
        <w:tc>
          <w:tcPr>
            <w:tcW w:w="1502" w:type="dxa"/>
            <w:tcBorders>
              <w:top w:val="single" w:sz="4" w:space="0" w:color="auto"/>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 xml:space="preserve">Исполнено </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Уровень исполнения, %</w:t>
            </w:r>
          </w:p>
        </w:tc>
      </w:tr>
      <w:tr w:rsidR="00467F9C" w:rsidRPr="00047DE6" w:rsidTr="00047DE6">
        <w:trPr>
          <w:trHeight w:val="276"/>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1</w:t>
            </w:r>
          </w:p>
        </w:tc>
        <w:tc>
          <w:tcPr>
            <w:tcW w:w="1701"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2</w:t>
            </w:r>
          </w:p>
        </w:tc>
        <w:tc>
          <w:tcPr>
            <w:tcW w:w="1502"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3</w:t>
            </w:r>
          </w:p>
        </w:tc>
        <w:tc>
          <w:tcPr>
            <w:tcW w:w="1617"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4</w:t>
            </w:r>
          </w:p>
        </w:tc>
      </w:tr>
      <w:tr w:rsidR="00467F9C" w:rsidRPr="00047DE6" w:rsidTr="00047DE6">
        <w:trPr>
          <w:trHeight w:val="252"/>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rPr>
                <w:sz w:val="20"/>
                <w:szCs w:val="20"/>
              </w:rPr>
            </w:pPr>
            <w:r w:rsidRPr="00047DE6">
              <w:rPr>
                <w:sz w:val="20"/>
                <w:szCs w:val="20"/>
              </w:rPr>
              <w:t>Всего доходов</w:t>
            </w:r>
          </w:p>
        </w:tc>
        <w:tc>
          <w:tcPr>
            <w:tcW w:w="1701"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right"/>
              <w:rPr>
                <w:sz w:val="20"/>
                <w:szCs w:val="20"/>
              </w:rPr>
            </w:pPr>
            <w:r w:rsidRPr="00047DE6">
              <w:rPr>
                <w:sz w:val="20"/>
                <w:szCs w:val="20"/>
              </w:rPr>
              <w:t>48 890 949,7</w:t>
            </w:r>
          </w:p>
        </w:tc>
        <w:tc>
          <w:tcPr>
            <w:tcW w:w="1502"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right"/>
              <w:rPr>
                <w:sz w:val="20"/>
                <w:szCs w:val="20"/>
              </w:rPr>
            </w:pPr>
            <w:r w:rsidRPr="00047DE6">
              <w:rPr>
                <w:sz w:val="20"/>
                <w:szCs w:val="20"/>
              </w:rPr>
              <w:t>11 744 665,2</w:t>
            </w:r>
          </w:p>
        </w:tc>
        <w:tc>
          <w:tcPr>
            <w:tcW w:w="1617"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24,0</w:t>
            </w:r>
          </w:p>
        </w:tc>
      </w:tr>
      <w:tr w:rsidR="00467F9C" w:rsidRPr="00047DE6" w:rsidTr="00047DE6">
        <w:trPr>
          <w:trHeight w:val="283"/>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rPr>
                <w:sz w:val="20"/>
                <w:szCs w:val="20"/>
              </w:rPr>
            </w:pPr>
            <w:r w:rsidRPr="00047DE6">
              <w:rPr>
                <w:sz w:val="20"/>
                <w:szCs w:val="20"/>
              </w:rPr>
              <w:t>Всего расходов</w:t>
            </w:r>
          </w:p>
        </w:tc>
        <w:tc>
          <w:tcPr>
            <w:tcW w:w="1701"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right"/>
              <w:rPr>
                <w:sz w:val="20"/>
                <w:szCs w:val="20"/>
              </w:rPr>
            </w:pPr>
            <w:r w:rsidRPr="00047DE6">
              <w:rPr>
                <w:sz w:val="20"/>
                <w:szCs w:val="20"/>
              </w:rPr>
              <w:t>53 392 845,2*</w:t>
            </w:r>
          </w:p>
        </w:tc>
        <w:tc>
          <w:tcPr>
            <w:tcW w:w="1502"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right"/>
              <w:rPr>
                <w:sz w:val="20"/>
                <w:szCs w:val="20"/>
              </w:rPr>
            </w:pPr>
            <w:r w:rsidRPr="00047DE6">
              <w:rPr>
                <w:sz w:val="20"/>
                <w:szCs w:val="20"/>
              </w:rPr>
              <w:t>8 700 921,1</w:t>
            </w:r>
          </w:p>
        </w:tc>
        <w:tc>
          <w:tcPr>
            <w:tcW w:w="1617"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16,3</w:t>
            </w:r>
          </w:p>
        </w:tc>
      </w:tr>
      <w:tr w:rsidR="00467F9C" w:rsidRPr="00047DE6" w:rsidTr="00047DE6">
        <w:trPr>
          <w:trHeight w:val="26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rPr>
                <w:sz w:val="20"/>
                <w:szCs w:val="20"/>
              </w:rPr>
            </w:pPr>
            <w:r w:rsidRPr="00047DE6">
              <w:rPr>
                <w:sz w:val="20"/>
                <w:szCs w:val="20"/>
              </w:rPr>
              <w:t xml:space="preserve">Профицит (+), Дефицит (–) </w:t>
            </w:r>
          </w:p>
        </w:tc>
        <w:tc>
          <w:tcPr>
            <w:tcW w:w="1701"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х</w:t>
            </w:r>
          </w:p>
        </w:tc>
        <w:tc>
          <w:tcPr>
            <w:tcW w:w="1502"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right"/>
              <w:rPr>
                <w:sz w:val="20"/>
                <w:szCs w:val="20"/>
              </w:rPr>
            </w:pPr>
            <w:r w:rsidRPr="00047DE6">
              <w:rPr>
                <w:sz w:val="20"/>
                <w:szCs w:val="20"/>
              </w:rPr>
              <w:t>3 043 744,1</w:t>
            </w:r>
          </w:p>
        </w:tc>
        <w:tc>
          <w:tcPr>
            <w:tcW w:w="1617"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х</w:t>
            </w:r>
          </w:p>
        </w:tc>
      </w:tr>
    </w:tbl>
    <w:p w:rsidR="00191861" w:rsidRPr="00467F9C" w:rsidRDefault="00191861" w:rsidP="00191861">
      <w:pPr>
        <w:pStyle w:val="29"/>
        <w:shd w:val="clear" w:color="auto" w:fill="FFFFFF"/>
        <w:spacing w:after="0" w:line="240" w:lineRule="auto"/>
        <w:ind w:firstLine="284"/>
        <w:jc w:val="both"/>
        <w:rPr>
          <w:rFonts w:ascii="Times New Roman" w:hAnsi="Times New Roman" w:cs="Times New Roman"/>
          <w:sz w:val="20"/>
          <w:szCs w:val="20"/>
        </w:rPr>
      </w:pPr>
      <w:r w:rsidRPr="00467F9C">
        <w:rPr>
          <w:rFonts w:ascii="Times New Roman" w:hAnsi="Times New Roman" w:cs="Times New Roman"/>
          <w:sz w:val="20"/>
          <w:szCs w:val="20"/>
        </w:rPr>
        <w:t xml:space="preserve">*С учетом изменений, внесенных в сводную бюджетную роспись </w:t>
      </w:r>
    </w:p>
    <w:p w:rsidR="00047DE6" w:rsidRPr="00047DE6" w:rsidRDefault="00047DE6" w:rsidP="00047DE6">
      <w:pPr>
        <w:pStyle w:val="affc"/>
        <w:rPr>
          <w:sz w:val="6"/>
          <w:szCs w:val="6"/>
        </w:rPr>
      </w:pPr>
    </w:p>
    <w:p w:rsidR="00191861" w:rsidRPr="00467F9C" w:rsidRDefault="00191861" w:rsidP="00047DE6">
      <w:pPr>
        <w:pStyle w:val="affc"/>
      </w:pPr>
      <w:r w:rsidRPr="00467F9C">
        <w:t xml:space="preserve">Согласно данным Отчета об исполнении окружного бюджета за 1 квартал 2022 года: </w:t>
      </w:r>
    </w:p>
    <w:p w:rsidR="00191861" w:rsidRPr="00467F9C" w:rsidRDefault="00191861" w:rsidP="00047DE6">
      <w:pPr>
        <w:pStyle w:val="affc"/>
      </w:pPr>
      <w:r w:rsidRPr="00467F9C">
        <w:t>- доходы поступили в сумме 11 744 665,2 тыс. рублей или 24% утвержденных плановых показателей;</w:t>
      </w:r>
    </w:p>
    <w:p w:rsidR="00191861" w:rsidRPr="00467F9C" w:rsidRDefault="00191861" w:rsidP="00047DE6">
      <w:pPr>
        <w:pStyle w:val="affc"/>
      </w:pPr>
      <w:r w:rsidRPr="00467F9C">
        <w:t>- расходы составили 8 700 921,1 тыс. рублей или 16,3% утвержденных назначений; </w:t>
      </w:r>
    </w:p>
    <w:p w:rsidR="00191861" w:rsidRPr="00467F9C" w:rsidRDefault="00191861" w:rsidP="00047DE6">
      <w:pPr>
        <w:pStyle w:val="affc"/>
      </w:pPr>
      <w:r w:rsidRPr="00467F9C">
        <w:t>- окружной бюджет исполнен с профицитом в размере 3 043 744,1 тыс. рублей.</w:t>
      </w:r>
    </w:p>
    <w:p w:rsidR="00191861" w:rsidRPr="00467F9C" w:rsidRDefault="00191861" w:rsidP="00191861">
      <w:pPr>
        <w:widowControl w:val="0"/>
        <w:shd w:val="clear" w:color="auto" w:fill="FFFFFF"/>
        <w:suppressAutoHyphens/>
        <w:spacing w:before="240" w:after="120"/>
        <w:jc w:val="center"/>
        <w:rPr>
          <w:rFonts w:eastAsia="DejaVu Sans"/>
          <w:b/>
          <w:kern w:val="1"/>
          <w:sz w:val="28"/>
          <w:szCs w:val="28"/>
          <w:lang w:eastAsia="ar-SA"/>
        </w:rPr>
      </w:pPr>
      <w:r w:rsidRPr="00467F9C">
        <w:rPr>
          <w:rFonts w:eastAsia="DejaVu Sans"/>
          <w:b/>
          <w:kern w:val="1"/>
          <w:sz w:val="28"/>
          <w:szCs w:val="28"/>
          <w:lang w:eastAsia="ar-SA"/>
        </w:rPr>
        <w:t>Доходы окружного бюджета</w:t>
      </w:r>
    </w:p>
    <w:p w:rsidR="00191861" w:rsidRPr="00467F9C" w:rsidRDefault="00191861" w:rsidP="00191861">
      <w:pPr>
        <w:widowControl w:val="0"/>
        <w:shd w:val="clear" w:color="auto" w:fill="FFFFFF"/>
        <w:suppressAutoHyphens/>
        <w:ind w:firstLine="709"/>
        <w:jc w:val="both"/>
        <w:rPr>
          <w:rFonts w:eastAsia="DejaVu Sans"/>
          <w:kern w:val="1"/>
          <w:sz w:val="28"/>
          <w:szCs w:val="28"/>
          <w:lang w:eastAsia="ar-SA"/>
        </w:rPr>
      </w:pPr>
      <w:r w:rsidRPr="00467F9C">
        <w:rPr>
          <w:sz w:val="28"/>
          <w:szCs w:val="28"/>
        </w:rPr>
        <w:t>Согласно представленному отчету исполнение окружного бюджета за 1 квартал 2022 года по доходам составило 11 744 665,2 тыс. рублей или 24% утвержденного плана.</w:t>
      </w:r>
    </w:p>
    <w:p w:rsidR="00191861" w:rsidRPr="00467F9C" w:rsidRDefault="00191861" w:rsidP="00191861">
      <w:pPr>
        <w:widowControl w:val="0"/>
        <w:shd w:val="clear" w:color="auto" w:fill="FFFFFF"/>
        <w:suppressAutoHyphens/>
        <w:ind w:firstLine="709"/>
        <w:jc w:val="both"/>
        <w:rPr>
          <w:rFonts w:eastAsia="DejaVu Sans"/>
          <w:kern w:val="1"/>
          <w:sz w:val="28"/>
          <w:szCs w:val="28"/>
          <w:lang w:eastAsia="ar-SA"/>
        </w:rPr>
      </w:pPr>
      <w:r w:rsidRPr="00467F9C">
        <w:rPr>
          <w:rFonts w:eastAsia="DejaVu Sans"/>
          <w:kern w:val="1"/>
          <w:sz w:val="28"/>
          <w:szCs w:val="28"/>
          <w:lang w:eastAsia="ar-SA"/>
        </w:rPr>
        <w:t xml:space="preserve">Информация о полученных доходах за отчетный период приведена </w:t>
      </w:r>
      <w:r w:rsidRPr="00467F9C">
        <w:rPr>
          <w:rFonts w:eastAsia="DejaVu Sans"/>
          <w:kern w:val="1"/>
          <w:sz w:val="28"/>
          <w:szCs w:val="28"/>
          <w:lang w:eastAsia="ar-SA"/>
        </w:rPr>
        <w:br/>
        <w:t>в таблице №4.</w:t>
      </w:r>
    </w:p>
    <w:p w:rsidR="00191861" w:rsidRPr="00467F9C" w:rsidRDefault="00191861" w:rsidP="00191861">
      <w:pPr>
        <w:tabs>
          <w:tab w:val="left" w:pos="426"/>
          <w:tab w:val="left" w:pos="709"/>
        </w:tabs>
        <w:ind w:right="-2"/>
        <w:jc w:val="right"/>
        <w:rPr>
          <w:bCs/>
          <w:iCs/>
          <w:sz w:val="28"/>
          <w:szCs w:val="28"/>
        </w:rPr>
      </w:pPr>
      <w:r w:rsidRPr="00467F9C">
        <w:rPr>
          <w:bCs/>
          <w:iCs/>
          <w:sz w:val="28"/>
          <w:szCs w:val="28"/>
        </w:rPr>
        <w:t>Таблица №4</w:t>
      </w:r>
    </w:p>
    <w:p w:rsidR="00191861" w:rsidRPr="00467F9C" w:rsidRDefault="00191861" w:rsidP="00191861">
      <w:pPr>
        <w:tabs>
          <w:tab w:val="left" w:pos="426"/>
          <w:tab w:val="left" w:pos="709"/>
        </w:tabs>
        <w:jc w:val="right"/>
        <w:rPr>
          <w:bCs/>
          <w:iCs/>
          <w:sz w:val="28"/>
          <w:szCs w:val="28"/>
        </w:rPr>
      </w:pPr>
      <w:r w:rsidRPr="00467F9C">
        <w:rPr>
          <w:bCs/>
          <w:iCs/>
          <w:sz w:val="28"/>
          <w:szCs w:val="28"/>
        </w:rPr>
        <w:t>(тыс. рублей)</w:t>
      </w:r>
    </w:p>
    <w:tbl>
      <w:tblPr>
        <w:tblW w:w="9661" w:type="dxa"/>
        <w:tblLook w:val="04A0" w:firstRow="1" w:lastRow="0" w:firstColumn="1" w:lastColumn="0" w:noHBand="0" w:noVBand="1"/>
      </w:tblPr>
      <w:tblGrid>
        <w:gridCol w:w="4106"/>
        <w:gridCol w:w="1486"/>
        <w:gridCol w:w="1516"/>
        <w:gridCol w:w="1493"/>
        <w:gridCol w:w="1060"/>
      </w:tblGrid>
      <w:tr w:rsidR="00467F9C" w:rsidRPr="00047DE6" w:rsidTr="00047DE6">
        <w:trPr>
          <w:trHeight w:val="273"/>
          <w:tblHeader/>
        </w:trPr>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Наименование показателя</w:t>
            </w:r>
          </w:p>
        </w:tc>
        <w:tc>
          <w:tcPr>
            <w:tcW w:w="1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Утверждено на 2022 год</w:t>
            </w:r>
          </w:p>
        </w:tc>
        <w:tc>
          <w:tcPr>
            <w:tcW w:w="4069" w:type="dxa"/>
            <w:gridSpan w:val="3"/>
            <w:tcBorders>
              <w:top w:val="single" w:sz="4" w:space="0" w:color="auto"/>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Исполнено за 1 квартал 2022 года</w:t>
            </w:r>
          </w:p>
        </w:tc>
      </w:tr>
      <w:tr w:rsidR="00467F9C" w:rsidRPr="00047DE6" w:rsidTr="00047DE6">
        <w:trPr>
          <w:trHeight w:val="352"/>
          <w:tblHeader/>
        </w:trPr>
        <w:tc>
          <w:tcPr>
            <w:tcW w:w="4106" w:type="dxa"/>
            <w:vMerge/>
            <w:tcBorders>
              <w:top w:val="single" w:sz="4" w:space="0" w:color="auto"/>
              <w:left w:val="single" w:sz="4" w:space="0" w:color="auto"/>
              <w:bottom w:val="single" w:sz="4" w:space="0" w:color="auto"/>
              <w:right w:val="single" w:sz="4" w:space="0" w:color="auto"/>
            </w:tcBorders>
            <w:vAlign w:val="center"/>
            <w:hideMark/>
          </w:tcPr>
          <w:p w:rsidR="00191861" w:rsidRPr="00047DE6" w:rsidRDefault="00191861" w:rsidP="00191861">
            <w:pPr>
              <w:rPr>
                <w:sz w:val="20"/>
                <w:szCs w:val="20"/>
              </w:rPr>
            </w:pPr>
          </w:p>
        </w:tc>
        <w:tc>
          <w:tcPr>
            <w:tcW w:w="1486" w:type="dxa"/>
            <w:vMerge/>
            <w:tcBorders>
              <w:top w:val="single" w:sz="4" w:space="0" w:color="auto"/>
              <w:left w:val="single" w:sz="4" w:space="0" w:color="auto"/>
              <w:bottom w:val="single" w:sz="4" w:space="0" w:color="auto"/>
              <w:right w:val="single" w:sz="4" w:space="0" w:color="auto"/>
            </w:tcBorders>
            <w:vAlign w:val="center"/>
            <w:hideMark/>
          </w:tcPr>
          <w:p w:rsidR="00191861" w:rsidRPr="00047DE6" w:rsidRDefault="00191861" w:rsidP="00191861">
            <w:pPr>
              <w:rPr>
                <w:sz w:val="20"/>
                <w:szCs w:val="20"/>
              </w:rPr>
            </w:pPr>
          </w:p>
        </w:tc>
        <w:tc>
          <w:tcPr>
            <w:tcW w:w="1516"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сумма</w:t>
            </w:r>
          </w:p>
        </w:tc>
        <w:tc>
          <w:tcPr>
            <w:tcW w:w="1493"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уровень исполнения, %</w:t>
            </w:r>
          </w:p>
        </w:tc>
        <w:tc>
          <w:tcPr>
            <w:tcW w:w="1060"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удельный вес, %</w:t>
            </w:r>
          </w:p>
        </w:tc>
      </w:tr>
      <w:tr w:rsidR="00467F9C" w:rsidRPr="00047DE6" w:rsidTr="00047DE6">
        <w:trPr>
          <w:trHeight w:val="76"/>
          <w:tblHeader/>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1</w:t>
            </w:r>
          </w:p>
        </w:tc>
        <w:tc>
          <w:tcPr>
            <w:tcW w:w="1486"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2</w:t>
            </w:r>
          </w:p>
        </w:tc>
        <w:tc>
          <w:tcPr>
            <w:tcW w:w="1516"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3</w:t>
            </w:r>
          </w:p>
        </w:tc>
        <w:tc>
          <w:tcPr>
            <w:tcW w:w="1493"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4</w:t>
            </w:r>
          </w:p>
        </w:tc>
        <w:tc>
          <w:tcPr>
            <w:tcW w:w="1060"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5</w:t>
            </w:r>
          </w:p>
        </w:tc>
      </w:tr>
      <w:tr w:rsidR="00467F9C" w:rsidRPr="00047DE6" w:rsidTr="00047DE6">
        <w:trPr>
          <w:trHeight w:val="274"/>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rPr>
                <w:b/>
                <w:bCs/>
                <w:sz w:val="20"/>
                <w:szCs w:val="20"/>
              </w:rPr>
            </w:pPr>
            <w:r w:rsidRPr="00047DE6">
              <w:rPr>
                <w:b/>
                <w:bCs/>
                <w:sz w:val="20"/>
                <w:szCs w:val="20"/>
              </w:rPr>
              <w:t>Доходы бюджета - всего</w:t>
            </w:r>
          </w:p>
        </w:tc>
        <w:tc>
          <w:tcPr>
            <w:tcW w:w="1486"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right"/>
              <w:rPr>
                <w:b/>
                <w:bCs/>
                <w:sz w:val="20"/>
                <w:szCs w:val="20"/>
              </w:rPr>
            </w:pPr>
            <w:r w:rsidRPr="00047DE6">
              <w:rPr>
                <w:b/>
                <w:bCs/>
                <w:sz w:val="20"/>
                <w:szCs w:val="20"/>
              </w:rPr>
              <w:t>48 890 949,7</w:t>
            </w:r>
          </w:p>
        </w:tc>
        <w:tc>
          <w:tcPr>
            <w:tcW w:w="1516"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right"/>
              <w:rPr>
                <w:b/>
                <w:bCs/>
                <w:sz w:val="20"/>
                <w:szCs w:val="20"/>
              </w:rPr>
            </w:pPr>
            <w:r w:rsidRPr="00047DE6">
              <w:rPr>
                <w:b/>
                <w:bCs/>
                <w:sz w:val="20"/>
                <w:szCs w:val="20"/>
              </w:rPr>
              <w:t>11 744 665,2</w:t>
            </w:r>
          </w:p>
        </w:tc>
        <w:tc>
          <w:tcPr>
            <w:tcW w:w="1493"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b/>
                <w:bCs/>
                <w:sz w:val="20"/>
                <w:szCs w:val="20"/>
              </w:rPr>
            </w:pPr>
            <w:r w:rsidRPr="00047DE6">
              <w:rPr>
                <w:b/>
                <w:bCs/>
                <w:sz w:val="20"/>
                <w:szCs w:val="20"/>
              </w:rPr>
              <w:t>24,0</w:t>
            </w:r>
          </w:p>
        </w:tc>
        <w:tc>
          <w:tcPr>
            <w:tcW w:w="1060"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b/>
                <w:bCs/>
                <w:sz w:val="20"/>
                <w:szCs w:val="20"/>
              </w:rPr>
            </w:pPr>
            <w:r w:rsidRPr="00047DE6">
              <w:rPr>
                <w:b/>
                <w:bCs/>
                <w:sz w:val="20"/>
                <w:szCs w:val="20"/>
              </w:rPr>
              <w:t>100,0</w:t>
            </w:r>
          </w:p>
        </w:tc>
      </w:tr>
      <w:tr w:rsidR="00467F9C" w:rsidRPr="00047DE6" w:rsidTr="00047DE6">
        <w:trPr>
          <w:trHeight w:val="408"/>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rPr>
                <w:bCs/>
                <w:sz w:val="20"/>
                <w:szCs w:val="20"/>
              </w:rPr>
            </w:pPr>
            <w:r w:rsidRPr="00047DE6">
              <w:rPr>
                <w:bCs/>
                <w:sz w:val="20"/>
                <w:szCs w:val="20"/>
              </w:rPr>
              <w:t>Налоговые и неналоговые доходы</w:t>
            </w:r>
          </w:p>
        </w:tc>
        <w:tc>
          <w:tcPr>
            <w:tcW w:w="1486"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bCs/>
                <w:sz w:val="20"/>
                <w:szCs w:val="20"/>
              </w:rPr>
            </w:pPr>
            <w:r w:rsidRPr="00047DE6">
              <w:rPr>
                <w:bCs/>
                <w:sz w:val="20"/>
                <w:szCs w:val="20"/>
              </w:rPr>
              <w:t>17 483 511,1</w:t>
            </w:r>
          </w:p>
        </w:tc>
        <w:tc>
          <w:tcPr>
            <w:tcW w:w="1516"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bCs/>
                <w:sz w:val="20"/>
                <w:szCs w:val="20"/>
              </w:rPr>
            </w:pPr>
            <w:r w:rsidRPr="00047DE6">
              <w:rPr>
                <w:bCs/>
                <w:sz w:val="20"/>
                <w:szCs w:val="20"/>
              </w:rPr>
              <w:t>6 130 842,9</w:t>
            </w:r>
          </w:p>
        </w:tc>
        <w:tc>
          <w:tcPr>
            <w:tcW w:w="1493"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bCs/>
                <w:sz w:val="20"/>
                <w:szCs w:val="20"/>
              </w:rPr>
            </w:pPr>
            <w:r w:rsidRPr="00047DE6">
              <w:rPr>
                <w:bCs/>
                <w:sz w:val="20"/>
                <w:szCs w:val="20"/>
              </w:rPr>
              <w:t>35,1</w:t>
            </w:r>
          </w:p>
        </w:tc>
        <w:tc>
          <w:tcPr>
            <w:tcW w:w="1060"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bCs/>
                <w:sz w:val="20"/>
                <w:szCs w:val="20"/>
              </w:rPr>
            </w:pPr>
            <w:r w:rsidRPr="00047DE6">
              <w:rPr>
                <w:bCs/>
                <w:sz w:val="20"/>
                <w:szCs w:val="20"/>
              </w:rPr>
              <w:t>52,2</w:t>
            </w:r>
          </w:p>
        </w:tc>
      </w:tr>
      <w:tr w:rsidR="00467F9C" w:rsidRPr="00047DE6" w:rsidTr="00047DE6">
        <w:trPr>
          <w:trHeight w:val="258"/>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rPr>
                <w:bCs/>
                <w:i/>
                <w:sz w:val="20"/>
                <w:szCs w:val="20"/>
              </w:rPr>
            </w:pPr>
            <w:r w:rsidRPr="00047DE6">
              <w:rPr>
                <w:bCs/>
                <w:i/>
                <w:sz w:val="20"/>
                <w:szCs w:val="20"/>
              </w:rPr>
              <w:t>Налоговые доходы</w:t>
            </w:r>
          </w:p>
        </w:tc>
        <w:tc>
          <w:tcPr>
            <w:tcW w:w="1486"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bCs/>
                <w:i/>
                <w:sz w:val="20"/>
                <w:szCs w:val="20"/>
              </w:rPr>
            </w:pPr>
            <w:r w:rsidRPr="00047DE6">
              <w:rPr>
                <w:bCs/>
                <w:i/>
                <w:sz w:val="20"/>
                <w:szCs w:val="20"/>
              </w:rPr>
              <w:t>17 333 972,3</w:t>
            </w:r>
          </w:p>
        </w:tc>
        <w:tc>
          <w:tcPr>
            <w:tcW w:w="1516"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bCs/>
                <w:i/>
                <w:sz w:val="20"/>
                <w:szCs w:val="20"/>
              </w:rPr>
            </w:pPr>
            <w:r w:rsidRPr="00047DE6">
              <w:rPr>
                <w:bCs/>
                <w:i/>
                <w:sz w:val="20"/>
                <w:szCs w:val="20"/>
              </w:rPr>
              <w:t>6 101 683,2</w:t>
            </w:r>
          </w:p>
        </w:tc>
        <w:tc>
          <w:tcPr>
            <w:tcW w:w="1493"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bCs/>
                <w:i/>
                <w:sz w:val="20"/>
                <w:szCs w:val="20"/>
              </w:rPr>
            </w:pPr>
            <w:r w:rsidRPr="00047DE6">
              <w:rPr>
                <w:bCs/>
                <w:i/>
                <w:sz w:val="20"/>
                <w:szCs w:val="20"/>
              </w:rPr>
              <w:t>35,2</w:t>
            </w:r>
          </w:p>
        </w:tc>
        <w:tc>
          <w:tcPr>
            <w:tcW w:w="1060"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bCs/>
                <w:i/>
                <w:sz w:val="20"/>
                <w:szCs w:val="20"/>
              </w:rPr>
            </w:pPr>
            <w:r w:rsidRPr="00047DE6">
              <w:rPr>
                <w:bCs/>
                <w:i/>
                <w:sz w:val="20"/>
                <w:szCs w:val="20"/>
              </w:rPr>
              <w:t>52,0</w:t>
            </w:r>
          </w:p>
        </w:tc>
      </w:tr>
      <w:tr w:rsidR="00467F9C" w:rsidRPr="00047DE6" w:rsidTr="00047DE6">
        <w:trPr>
          <w:trHeight w:val="289"/>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rPr>
                <w:bCs/>
                <w:i/>
                <w:sz w:val="20"/>
                <w:szCs w:val="20"/>
              </w:rPr>
            </w:pPr>
            <w:r w:rsidRPr="00047DE6">
              <w:rPr>
                <w:bCs/>
                <w:i/>
                <w:sz w:val="20"/>
                <w:szCs w:val="20"/>
              </w:rPr>
              <w:t>Неналоговые доходы</w:t>
            </w:r>
          </w:p>
        </w:tc>
        <w:tc>
          <w:tcPr>
            <w:tcW w:w="1486"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bCs/>
                <w:i/>
                <w:sz w:val="20"/>
                <w:szCs w:val="20"/>
              </w:rPr>
            </w:pPr>
            <w:r w:rsidRPr="00047DE6">
              <w:rPr>
                <w:bCs/>
                <w:i/>
                <w:sz w:val="20"/>
                <w:szCs w:val="20"/>
              </w:rPr>
              <w:t>149 538,8</w:t>
            </w:r>
          </w:p>
        </w:tc>
        <w:tc>
          <w:tcPr>
            <w:tcW w:w="1516"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bCs/>
                <w:i/>
                <w:sz w:val="20"/>
                <w:szCs w:val="20"/>
              </w:rPr>
            </w:pPr>
            <w:r w:rsidRPr="00047DE6">
              <w:rPr>
                <w:bCs/>
                <w:i/>
                <w:sz w:val="20"/>
                <w:szCs w:val="20"/>
              </w:rPr>
              <w:t>29 159,7</w:t>
            </w:r>
          </w:p>
        </w:tc>
        <w:tc>
          <w:tcPr>
            <w:tcW w:w="1493"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bCs/>
                <w:i/>
                <w:sz w:val="20"/>
                <w:szCs w:val="20"/>
              </w:rPr>
            </w:pPr>
            <w:r w:rsidRPr="00047DE6">
              <w:rPr>
                <w:bCs/>
                <w:i/>
                <w:sz w:val="20"/>
                <w:szCs w:val="20"/>
              </w:rPr>
              <w:t>19,5</w:t>
            </w:r>
          </w:p>
        </w:tc>
        <w:tc>
          <w:tcPr>
            <w:tcW w:w="1060"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bCs/>
                <w:i/>
                <w:sz w:val="20"/>
                <w:szCs w:val="20"/>
              </w:rPr>
            </w:pPr>
            <w:r w:rsidRPr="00047DE6">
              <w:rPr>
                <w:bCs/>
                <w:i/>
                <w:sz w:val="20"/>
                <w:szCs w:val="20"/>
              </w:rPr>
              <w:t>0,2</w:t>
            </w:r>
          </w:p>
        </w:tc>
      </w:tr>
      <w:tr w:rsidR="00467F9C" w:rsidRPr="00047DE6" w:rsidTr="00047DE6">
        <w:trPr>
          <w:trHeight w:val="408"/>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rPr>
                <w:bCs/>
                <w:sz w:val="20"/>
                <w:szCs w:val="20"/>
              </w:rPr>
            </w:pPr>
            <w:r w:rsidRPr="00047DE6">
              <w:rPr>
                <w:bCs/>
                <w:sz w:val="20"/>
                <w:szCs w:val="20"/>
              </w:rPr>
              <w:t>Безвозмездные поступления</w:t>
            </w:r>
          </w:p>
        </w:tc>
        <w:tc>
          <w:tcPr>
            <w:tcW w:w="1486"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bCs/>
                <w:sz w:val="20"/>
                <w:szCs w:val="20"/>
              </w:rPr>
            </w:pPr>
            <w:r w:rsidRPr="00047DE6">
              <w:rPr>
                <w:bCs/>
                <w:sz w:val="20"/>
                <w:szCs w:val="20"/>
              </w:rPr>
              <w:t>31 407 438,6</w:t>
            </w:r>
          </w:p>
        </w:tc>
        <w:tc>
          <w:tcPr>
            <w:tcW w:w="1516"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bCs/>
                <w:sz w:val="20"/>
                <w:szCs w:val="20"/>
              </w:rPr>
            </w:pPr>
            <w:r w:rsidRPr="00047DE6">
              <w:rPr>
                <w:bCs/>
                <w:sz w:val="20"/>
                <w:szCs w:val="20"/>
              </w:rPr>
              <w:t>5 613 822,3</w:t>
            </w:r>
          </w:p>
        </w:tc>
        <w:tc>
          <w:tcPr>
            <w:tcW w:w="1493"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bCs/>
                <w:sz w:val="20"/>
                <w:szCs w:val="20"/>
              </w:rPr>
            </w:pPr>
            <w:r w:rsidRPr="00047DE6">
              <w:rPr>
                <w:bCs/>
                <w:sz w:val="20"/>
                <w:szCs w:val="20"/>
              </w:rPr>
              <w:t>17,9</w:t>
            </w:r>
          </w:p>
        </w:tc>
        <w:tc>
          <w:tcPr>
            <w:tcW w:w="1060"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bCs/>
                <w:sz w:val="20"/>
                <w:szCs w:val="20"/>
              </w:rPr>
            </w:pPr>
            <w:r w:rsidRPr="00047DE6">
              <w:rPr>
                <w:bCs/>
                <w:sz w:val="20"/>
                <w:szCs w:val="20"/>
              </w:rPr>
              <w:t>47,8</w:t>
            </w:r>
          </w:p>
        </w:tc>
      </w:tr>
    </w:tbl>
    <w:p w:rsidR="00191861" w:rsidRPr="00467F9C" w:rsidRDefault="00191861" w:rsidP="00191861">
      <w:pPr>
        <w:tabs>
          <w:tab w:val="left" w:pos="709"/>
          <w:tab w:val="left" w:pos="851"/>
        </w:tabs>
        <w:spacing w:before="120"/>
        <w:ind w:firstLine="709"/>
        <w:jc w:val="both"/>
        <w:rPr>
          <w:bCs/>
          <w:sz w:val="28"/>
          <w:szCs w:val="28"/>
        </w:rPr>
      </w:pPr>
      <w:r w:rsidRPr="00467F9C">
        <w:rPr>
          <w:bCs/>
          <w:sz w:val="28"/>
          <w:szCs w:val="28"/>
        </w:rPr>
        <w:lastRenderedPageBreak/>
        <w:t>В отчетном периоде объем поступлений налоговых и неналоговых доходов составил 6 130 842,9 тыс. рублей или 35,1% утвержденных назначений, безвозмездных поступлений – 5 613 822,3 тыс. рублей или 17,9%.</w:t>
      </w:r>
    </w:p>
    <w:p w:rsidR="00191861" w:rsidRPr="00467F9C" w:rsidRDefault="00191861" w:rsidP="00191861">
      <w:pPr>
        <w:spacing w:before="240" w:after="120"/>
        <w:jc w:val="center"/>
        <w:rPr>
          <w:b/>
          <w:sz w:val="28"/>
          <w:szCs w:val="28"/>
        </w:rPr>
      </w:pPr>
      <w:r w:rsidRPr="00467F9C">
        <w:rPr>
          <w:b/>
          <w:sz w:val="28"/>
          <w:szCs w:val="28"/>
        </w:rPr>
        <w:t>Налоговые доходы</w:t>
      </w:r>
    </w:p>
    <w:p w:rsidR="00191861" w:rsidRPr="00467F9C" w:rsidRDefault="00191861" w:rsidP="00191861">
      <w:pPr>
        <w:widowControl w:val="0"/>
        <w:shd w:val="clear" w:color="auto" w:fill="FFFFFF"/>
        <w:suppressAutoHyphens/>
        <w:ind w:firstLine="709"/>
        <w:jc w:val="both"/>
        <w:rPr>
          <w:rFonts w:eastAsia="DejaVu Sans"/>
          <w:kern w:val="1"/>
          <w:sz w:val="28"/>
          <w:szCs w:val="28"/>
          <w:lang w:eastAsia="ar-SA"/>
        </w:rPr>
      </w:pPr>
      <w:r w:rsidRPr="00467F9C">
        <w:rPr>
          <w:rFonts w:eastAsia="DejaVu Sans"/>
          <w:kern w:val="1"/>
          <w:sz w:val="28"/>
          <w:szCs w:val="28"/>
          <w:lang w:eastAsia="ar-SA"/>
        </w:rPr>
        <w:t>В структуре полученных доходов окружного бюджета доля налоговых поступлений составляет 52%. В</w:t>
      </w:r>
      <w:r w:rsidRPr="00467F9C">
        <w:rPr>
          <w:sz w:val="28"/>
          <w:szCs w:val="28"/>
        </w:rPr>
        <w:t xml:space="preserve"> отчетном периоде объем налоговых поступлений в окружной бюджет составил</w:t>
      </w:r>
      <w:r w:rsidRPr="00467F9C">
        <w:rPr>
          <w:rFonts w:eastAsia="DejaVu Sans"/>
          <w:kern w:val="1"/>
          <w:sz w:val="28"/>
          <w:szCs w:val="28"/>
          <w:lang w:eastAsia="ar-SA"/>
        </w:rPr>
        <w:t xml:space="preserve"> 6 101 683,2 тыс. рублей или 35,2% утвержденных годовых показателей.</w:t>
      </w:r>
    </w:p>
    <w:p w:rsidR="00191861" w:rsidRPr="00467F9C" w:rsidRDefault="00191861" w:rsidP="00191861">
      <w:pPr>
        <w:widowControl w:val="0"/>
        <w:shd w:val="clear" w:color="auto" w:fill="FFFFFF"/>
        <w:suppressAutoHyphens/>
        <w:ind w:firstLine="709"/>
        <w:jc w:val="both"/>
        <w:rPr>
          <w:rFonts w:eastAsia="DejaVu Sans"/>
          <w:kern w:val="1"/>
          <w:sz w:val="28"/>
          <w:szCs w:val="28"/>
          <w:lang w:eastAsia="ar-SA"/>
        </w:rPr>
      </w:pPr>
      <w:r w:rsidRPr="00467F9C">
        <w:rPr>
          <w:rFonts w:eastAsia="DejaVu Sans"/>
          <w:kern w:val="1"/>
          <w:sz w:val="28"/>
          <w:szCs w:val="28"/>
          <w:lang w:eastAsia="ar-SA"/>
        </w:rPr>
        <w:t>Информация об объемах поступлений налоговых доходов представлена в таблице №5.</w:t>
      </w:r>
    </w:p>
    <w:p w:rsidR="00191861" w:rsidRPr="00467F9C" w:rsidRDefault="00191861" w:rsidP="00191861">
      <w:pPr>
        <w:tabs>
          <w:tab w:val="left" w:pos="426"/>
          <w:tab w:val="left" w:pos="709"/>
        </w:tabs>
        <w:ind w:right="-2"/>
        <w:jc w:val="right"/>
        <w:rPr>
          <w:bCs/>
          <w:iCs/>
          <w:sz w:val="28"/>
          <w:szCs w:val="28"/>
        </w:rPr>
      </w:pPr>
      <w:r w:rsidRPr="00467F9C">
        <w:rPr>
          <w:bCs/>
          <w:iCs/>
          <w:sz w:val="28"/>
          <w:szCs w:val="28"/>
        </w:rPr>
        <w:t>Таблица №5</w:t>
      </w:r>
    </w:p>
    <w:p w:rsidR="00191861" w:rsidRPr="00467F9C" w:rsidRDefault="00191861" w:rsidP="00191861">
      <w:pPr>
        <w:tabs>
          <w:tab w:val="left" w:pos="426"/>
          <w:tab w:val="left" w:pos="709"/>
        </w:tabs>
        <w:jc w:val="right"/>
        <w:rPr>
          <w:bCs/>
          <w:iCs/>
          <w:sz w:val="28"/>
          <w:szCs w:val="28"/>
        </w:rPr>
      </w:pPr>
      <w:r w:rsidRPr="00467F9C">
        <w:rPr>
          <w:bCs/>
          <w:iCs/>
          <w:sz w:val="28"/>
          <w:szCs w:val="28"/>
        </w:rPr>
        <w:t>(тыс. рублей)</w:t>
      </w:r>
    </w:p>
    <w:tbl>
      <w:tblPr>
        <w:tblW w:w="9634" w:type="dxa"/>
        <w:tblLook w:val="04A0" w:firstRow="1" w:lastRow="0" w:firstColumn="1" w:lastColumn="0" w:noHBand="0" w:noVBand="1"/>
      </w:tblPr>
      <w:tblGrid>
        <w:gridCol w:w="4276"/>
        <w:gridCol w:w="1264"/>
        <w:gridCol w:w="1259"/>
        <w:gridCol w:w="1616"/>
        <w:gridCol w:w="1219"/>
      </w:tblGrid>
      <w:tr w:rsidR="00467F9C" w:rsidRPr="00047DE6" w:rsidTr="00047DE6">
        <w:trPr>
          <w:trHeight w:val="378"/>
          <w:tblHeader/>
        </w:trPr>
        <w:tc>
          <w:tcPr>
            <w:tcW w:w="4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Наименование показателя</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Утверждено на 2022 год</w:t>
            </w:r>
          </w:p>
        </w:tc>
        <w:tc>
          <w:tcPr>
            <w:tcW w:w="4094" w:type="dxa"/>
            <w:gridSpan w:val="3"/>
            <w:tcBorders>
              <w:top w:val="single" w:sz="4" w:space="0" w:color="auto"/>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Исполнено за 1 квартал 2022 года</w:t>
            </w:r>
          </w:p>
        </w:tc>
      </w:tr>
      <w:tr w:rsidR="00467F9C" w:rsidRPr="00047DE6" w:rsidTr="00047DE6">
        <w:trPr>
          <w:trHeight w:val="451"/>
          <w:tblHeader/>
        </w:trPr>
        <w:tc>
          <w:tcPr>
            <w:tcW w:w="4276" w:type="dxa"/>
            <w:vMerge/>
            <w:tcBorders>
              <w:top w:val="single" w:sz="4" w:space="0" w:color="auto"/>
              <w:left w:val="single" w:sz="4" w:space="0" w:color="auto"/>
              <w:bottom w:val="single" w:sz="4" w:space="0" w:color="auto"/>
              <w:right w:val="single" w:sz="4" w:space="0" w:color="auto"/>
            </w:tcBorders>
            <w:vAlign w:val="center"/>
            <w:hideMark/>
          </w:tcPr>
          <w:p w:rsidR="00191861" w:rsidRPr="00047DE6" w:rsidRDefault="00191861" w:rsidP="00191861">
            <w:pPr>
              <w:rPr>
                <w:sz w:val="20"/>
                <w:szCs w:val="20"/>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rsidR="00191861" w:rsidRPr="00047DE6" w:rsidRDefault="00191861" w:rsidP="00191861">
            <w:pPr>
              <w:rPr>
                <w:sz w:val="20"/>
                <w:szCs w:val="20"/>
              </w:rPr>
            </w:pPr>
          </w:p>
        </w:tc>
        <w:tc>
          <w:tcPr>
            <w:tcW w:w="1259"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сумма</w:t>
            </w:r>
          </w:p>
        </w:tc>
        <w:tc>
          <w:tcPr>
            <w:tcW w:w="1616" w:type="dxa"/>
            <w:tcBorders>
              <w:top w:val="nil"/>
              <w:left w:val="nil"/>
              <w:bottom w:val="single" w:sz="4" w:space="0" w:color="auto"/>
              <w:right w:val="single" w:sz="4" w:space="0" w:color="auto"/>
            </w:tcBorders>
            <w:shd w:val="clear" w:color="auto" w:fill="auto"/>
            <w:vAlign w:val="center"/>
            <w:hideMark/>
          </w:tcPr>
          <w:p w:rsidR="00191861" w:rsidRDefault="00191861" w:rsidP="00191861">
            <w:pPr>
              <w:jc w:val="center"/>
              <w:rPr>
                <w:sz w:val="20"/>
                <w:szCs w:val="20"/>
              </w:rPr>
            </w:pPr>
            <w:r w:rsidRPr="00047DE6">
              <w:rPr>
                <w:sz w:val="20"/>
                <w:szCs w:val="20"/>
              </w:rPr>
              <w:t>уровень исполнения, %</w:t>
            </w:r>
          </w:p>
          <w:p w:rsidR="00047DE6" w:rsidRPr="00047DE6" w:rsidRDefault="00047DE6" w:rsidP="00191861">
            <w:pPr>
              <w:jc w:val="center"/>
              <w:rPr>
                <w:sz w:val="4"/>
                <w:szCs w:val="4"/>
              </w:rPr>
            </w:pPr>
          </w:p>
        </w:tc>
        <w:tc>
          <w:tcPr>
            <w:tcW w:w="1219"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удельный вес, %</w:t>
            </w:r>
          </w:p>
        </w:tc>
      </w:tr>
      <w:tr w:rsidR="00467F9C" w:rsidRPr="00047DE6" w:rsidTr="00047DE6">
        <w:trPr>
          <w:trHeight w:val="273"/>
          <w:tblHeader/>
        </w:trPr>
        <w:tc>
          <w:tcPr>
            <w:tcW w:w="4276"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1</w:t>
            </w:r>
          </w:p>
        </w:tc>
        <w:tc>
          <w:tcPr>
            <w:tcW w:w="1264"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2</w:t>
            </w:r>
          </w:p>
        </w:tc>
        <w:tc>
          <w:tcPr>
            <w:tcW w:w="1259"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3</w:t>
            </w:r>
          </w:p>
        </w:tc>
        <w:tc>
          <w:tcPr>
            <w:tcW w:w="1616"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4</w:t>
            </w:r>
          </w:p>
        </w:tc>
        <w:tc>
          <w:tcPr>
            <w:tcW w:w="1219"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5</w:t>
            </w:r>
          </w:p>
        </w:tc>
      </w:tr>
      <w:tr w:rsidR="00467F9C" w:rsidRPr="00047DE6" w:rsidTr="00047DE6">
        <w:trPr>
          <w:trHeight w:val="277"/>
        </w:trPr>
        <w:tc>
          <w:tcPr>
            <w:tcW w:w="4276"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rPr>
                <w:b/>
                <w:bCs/>
                <w:sz w:val="20"/>
                <w:szCs w:val="20"/>
              </w:rPr>
            </w:pPr>
            <w:r w:rsidRPr="00047DE6">
              <w:rPr>
                <w:b/>
                <w:bCs/>
                <w:sz w:val="20"/>
                <w:szCs w:val="20"/>
              </w:rPr>
              <w:t>Налоговые доходы</w:t>
            </w:r>
          </w:p>
        </w:tc>
        <w:tc>
          <w:tcPr>
            <w:tcW w:w="1264"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047DE6">
            <w:pPr>
              <w:ind w:left="-141"/>
              <w:jc w:val="right"/>
              <w:rPr>
                <w:b/>
                <w:bCs/>
                <w:sz w:val="20"/>
                <w:szCs w:val="20"/>
              </w:rPr>
            </w:pPr>
            <w:r w:rsidRPr="00047DE6">
              <w:rPr>
                <w:b/>
                <w:bCs/>
                <w:sz w:val="20"/>
                <w:szCs w:val="20"/>
              </w:rPr>
              <w:t>17 333 972,3</w:t>
            </w:r>
          </w:p>
        </w:tc>
        <w:tc>
          <w:tcPr>
            <w:tcW w:w="1259"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b/>
                <w:bCs/>
                <w:sz w:val="20"/>
                <w:szCs w:val="20"/>
              </w:rPr>
            </w:pPr>
            <w:r w:rsidRPr="00047DE6">
              <w:rPr>
                <w:b/>
                <w:bCs/>
                <w:sz w:val="20"/>
                <w:szCs w:val="20"/>
              </w:rPr>
              <w:t>6 101 683,2</w:t>
            </w:r>
          </w:p>
        </w:tc>
        <w:tc>
          <w:tcPr>
            <w:tcW w:w="1616"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b/>
                <w:bCs/>
                <w:sz w:val="20"/>
                <w:szCs w:val="20"/>
              </w:rPr>
            </w:pPr>
            <w:r w:rsidRPr="00047DE6">
              <w:rPr>
                <w:b/>
                <w:bCs/>
                <w:sz w:val="20"/>
                <w:szCs w:val="20"/>
              </w:rPr>
              <w:t>35,2</w:t>
            </w:r>
          </w:p>
        </w:tc>
        <w:tc>
          <w:tcPr>
            <w:tcW w:w="1219"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b/>
                <w:bCs/>
                <w:sz w:val="20"/>
                <w:szCs w:val="20"/>
              </w:rPr>
            </w:pPr>
            <w:r w:rsidRPr="00047DE6">
              <w:rPr>
                <w:b/>
                <w:bCs/>
                <w:sz w:val="20"/>
                <w:szCs w:val="20"/>
              </w:rPr>
              <w:t>100,0</w:t>
            </w:r>
          </w:p>
        </w:tc>
      </w:tr>
      <w:tr w:rsidR="00467F9C" w:rsidRPr="00047DE6" w:rsidTr="00047DE6">
        <w:trPr>
          <w:trHeight w:val="398"/>
        </w:trPr>
        <w:tc>
          <w:tcPr>
            <w:tcW w:w="4276"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rPr>
                <w:sz w:val="20"/>
                <w:szCs w:val="20"/>
              </w:rPr>
            </w:pPr>
            <w:r w:rsidRPr="00047DE6">
              <w:rPr>
                <w:sz w:val="20"/>
                <w:szCs w:val="20"/>
              </w:rPr>
              <w:t>101 Налоги на прибыль, доходы</w:t>
            </w:r>
          </w:p>
        </w:tc>
        <w:tc>
          <w:tcPr>
            <w:tcW w:w="1264"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047DE6">
            <w:pPr>
              <w:ind w:left="-141"/>
              <w:jc w:val="right"/>
              <w:rPr>
                <w:sz w:val="20"/>
                <w:szCs w:val="20"/>
              </w:rPr>
            </w:pPr>
            <w:r w:rsidRPr="00047DE6">
              <w:rPr>
                <w:sz w:val="20"/>
                <w:szCs w:val="20"/>
              </w:rPr>
              <w:t>12 605 687,3</w:t>
            </w:r>
          </w:p>
        </w:tc>
        <w:tc>
          <w:tcPr>
            <w:tcW w:w="1259"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sz w:val="20"/>
                <w:szCs w:val="20"/>
              </w:rPr>
            </w:pPr>
            <w:r w:rsidRPr="00047DE6">
              <w:rPr>
                <w:sz w:val="20"/>
                <w:szCs w:val="20"/>
              </w:rPr>
              <w:t>4 631 178,3</w:t>
            </w:r>
          </w:p>
        </w:tc>
        <w:tc>
          <w:tcPr>
            <w:tcW w:w="1616"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36,7</w:t>
            </w:r>
          </w:p>
        </w:tc>
        <w:tc>
          <w:tcPr>
            <w:tcW w:w="1219"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75,9</w:t>
            </w:r>
          </w:p>
        </w:tc>
      </w:tr>
      <w:tr w:rsidR="00467F9C" w:rsidRPr="00047DE6" w:rsidTr="00047DE6">
        <w:trPr>
          <w:trHeight w:val="559"/>
        </w:trPr>
        <w:tc>
          <w:tcPr>
            <w:tcW w:w="4276"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rPr>
                <w:sz w:val="20"/>
                <w:szCs w:val="20"/>
              </w:rPr>
            </w:pPr>
            <w:r w:rsidRPr="00047DE6">
              <w:rPr>
                <w:sz w:val="20"/>
                <w:szCs w:val="20"/>
              </w:rPr>
              <w:t>103 Налоги на товары (работы, услуги), реализуемые на территории РФ</w:t>
            </w:r>
          </w:p>
        </w:tc>
        <w:tc>
          <w:tcPr>
            <w:tcW w:w="1264"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047DE6">
            <w:pPr>
              <w:ind w:left="-141"/>
              <w:jc w:val="right"/>
              <w:rPr>
                <w:sz w:val="20"/>
                <w:szCs w:val="20"/>
              </w:rPr>
            </w:pPr>
            <w:r w:rsidRPr="00047DE6">
              <w:rPr>
                <w:sz w:val="20"/>
                <w:szCs w:val="20"/>
              </w:rPr>
              <w:t>461 699,6</w:t>
            </w:r>
          </w:p>
        </w:tc>
        <w:tc>
          <w:tcPr>
            <w:tcW w:w="1259"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sz w:val="20"/>
                <w:szCs w:val="20"/>
              </w:rPr>
            </w:pPr>
            <w:r w:rsidRPr="00047DE6">
              <w:rPr>
                <w:sz w:val="20"/>
                <w:szCs w:val="20"/>
              </w:rPr>
              <w:t>106 598,9</w:t>
            </w:r>
          </w:p>
        </w:tc>
        <w:tc>
          <w:tcPr>
            <w:tcW w:w="1616"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23,1</w:t>
            </w:r>
          </w:p>
        </w:tc>
        <w:tc>
          <w:tcPr>
            <w:tcW w:w="1219"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1,7</w:t>
            </w:r>
          </w:p>
        </w:tc>
      </w:tr>
      <w:tr w:rsidR="00467F9C" w:rsidRPr="00047DE6" w:rsidTr="00047DE6">
        <w:trPr>
          <w:trHeight w:val="292"/>
        </w:trPr>
        <w:tc>
          <w:tcPr>
            <w:tcW w:w="4276"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rPr>
                <w:sz w:val="20"/>
                <w:szCs w:val="20"/>
              </w:rPr>
            </w:pPr>
            <w:r w:rsidRPr="00047DE6">
              <w:rPr>
                <w:sz w:val="20"/>
                <w:szCs w:val="20"/>
              </w:rPr>
              <w:t>105 Налоги на совокупный доход</w:t>
            </w:r>
          </w:p>
        </w:tc>
        <w:tc>
          <w:tcPr>
            <w:tcW w:w="1264"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047DE6">
            <w:pPr>
              <w:ind w:left="-141"/>
              <w:jc w:val="right"/>
              <w:rPr>
                <w:sz w:val="20"/>
                <w:szCs w:val="20"/>
              </w:rPr>
            </w:pPr>
            <w:r w:rsidRPr="00047DE6">
              <w:rPr>
                <w:sz w:val="20"/>
                <w:szCs w:val="20"/>
              </w:rPr>
              <w:t>878,9</w:t>
            </w:r>
          </w:p>
        </w:tc>
        <w:tc>
          <w:tcPr>
            <w:tcW w:w="1259"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sz w:val="20"/>
                <w:szCs w:val="20"/>
              </w:rPr>
            </w:pPr>
            <w:r w:rsidRPr="00047DE6">
              <w:rPr>
                <w:sz w:val="20"/>
                <w:szCs w:val="20"/>
              </w:rPr>
              <w:t>827,9</w:t>
            </w:r>
          </w:p>
        </w:tc>
        <w:tc>
          <w:tcPr>
            <w:tcW w:w="1616"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94,2</w:t>
            </w:r>
          </w:p>
        </w:tc>
        <w:tc>
          <w:tcPr>
            <w:tcW w:w="1219"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менее 0,1</w:t>
            </w:r>
          </w:p>
        </w:tc>
      </w:tr>
      <w:tr w:rsidR="00467F9C" w:rsidRPr="00047DE6" w:rsidTr="00047DE6">
        <w:trPr>
          <w:trHeight w:val="337"/>
        </w:trPr>
        <w:tc>
          <w:tcPr>
            <w:tcW w:w="4276"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rPr>
                <w:sz w:val="20"/>
                <w:szCs w:val="20"/>
              </w:rPr>
            </w:pPr>
            <w:r w:rsidRPr="00047DE6">
              <w:rPr>
                <w:sz w:val="20"/>
                <w:szCs w:val="20"/>
              </w:rPr>
              <w:t>106 Налоги на имущество</w:t>
            </w:r>
          </w:p>
        </w:tc>
        <w:tc>
          <w:tcPr>
            <w:tcW w:w="1264"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047DE6">
            <w:pPr>
              <w:ind w:left="-141"/>
              <w:jc w:val="right"/>
              <w:rPr>
                <w:sz w:val="20"/>
                <w:szCs w:val="20"/>
              </w:rPr>
            </w:pPr>
            <w:r w:rsidRPr="00047DE6">
              <w:rPr>
                <w:sz w:val="20"/>
                <w:szCs w:val="20"/>
              </w:rPr>
              <w:t>1 454 580,5</w:t>
            </w:r>
          </w:p>
        </w:tc>
        <w:tc>
          <w:tcPr>
            <w:tcW w:w="1259"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sz w:val="20"/>
                <w:szCs w:val="20"/>
              </w:rPr>
            </w:pPr>
            <w:r w:rsidRPr="00047DE6">
              <w:rPr>
                <w:sz w:val="20"/>
                <w:szCs w:val="20"/>
              </w:rPr>
              <w:t>687 453,1</w:t>
            </w:r>
          </w:p>
        </w:tc>
        <w:tc>
          <w:tcPr>
            <w:tcW w:w="1616"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47,3</w:t>
            </w:r>
          </w:p>
        </w:tc>
        <w:tc>
          <w:tcPr>
            <w:tcW w:w="1219"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11,3</w:t>
            </w:r>
          </w:p>
        </w:tc>
      </w:tr>
      <w:tr w:rsidR="00467F9C" w:rsidRPr="00047DE6" w:rsidTr="00047DE6">
        <w:trPr>
          <w:trHeight w:val="619"/>
        </w:trPr>
        <w:tc>
          <w:tcPr>
            <w:tcW w:w="4276"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rPr>
                <w:sz w:val="20"/>
                <w:szCs w:val="20"/>
              </w:rPr>
            </w:pPr>
            <w:r w:rsidRPr="00047DE6">
              <w:rPr>
                <w:sz w:val="20"/>
                <w:szCs w:val="20"/>
              </w:rPr>
              <w:t>107 Налоги, сборы и регулярные платежи за пользование природными ресурсами</w:t>
            </w:r>
          </w:p>
        </w:tc>
        <w:tc>
          <w:tcPr>
            <w:tcW w:w="1264"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047DE6">
            <w:pPr>
              <w:ind w:left="-141"/>
              <w:jc w:val="right"/>
              <w:rPr>
                <w:sz w:val="20"/>
                <w:szCs w:val="20"/>
              </w:rPr>
            </w:pPr>
            <w:r w:rsidRPr="00047DE6">
              <w:rPr>
                <w:sz w:val="20"/>
                <w:szCs w:val="20"/>
              </w:rPr>
              <w:t>2 798 821,2</w:t>
            </w:r>
          </w:p>
        </w:tc>
        <w:tc>
          <w:tcPr>
            <w:tcW w:w="1259"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sz w:val="20"/>
                <w:szCs w:val="20"/>
              </w:rPr>
            </w:pPr>
            <w:r w:rsidRPr="00047DE6">
              <w:rPr>
                <w:sz w:val="20"/>
                <w:szCs w:val="20"/>
              </w:rPr>
              <w:t>673 021,7</w:t>
            </w:r>
          </w:p>
        </w:tc>
        <w:tc>
          <w:tcPr>
            <w:tcW w:w="1616"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24,0</w:t>
            </w:r>
          </w:p>
        </w:tc>
        <w:tc>
          <w:tcPr>
            <w:tcW w:w="1219"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11,0</w:t>
            </w:r>
          </w:p>
        </w:tc>
      </w:tr>
      <w:tr w:rsidR="00467F9C" w:rsidRPr="00047DE6" w:rsidTr="00047DE6">
        <w:trPr>
          <w:trHeight w:val="319"/>
        </w:trPr>
        <w:tc>
          <w:tcPr>
            <w:tcW w:w="4276"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rPr>
                <w:sz w:val="20"/>
                <w:szCs w:val="20"/>
              </w:rPr>
            </w:pPr>
            <w:r w:rsidRPr="00047DE6">
              <w:rPr>
                <w:sz w:val="20"/>
                <w:szCs w:val="20"/>
              </w:rPr>
              <w:t>108 Государственная пошлина</w:t>
            </w:r>
          </w:p>
        </w:tc>
        <w:tc>
          <w:tcPr>
            <w:tcW w:w="1264"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047DE6">
            <w:pPr>
              <w:ind w:left="-141"/>
              <w:jc w:val="right"/>
              <w:rPr>
                <w:sz w:val="20"/>
                <w:szCs w:val="20"/>
              </w:rPr>
            </w:pPr>
            <w:r w:rsidRPr="00047DE6">
              <w:rPr>
                <w:sz w:val="20"/>
                <w:szCs w:val="20"/>
              </w:rPr>
              <w:t>12 304,8</w:t>
            </w:r>
          </w:p>
        </w:tc>
        <w:tc>
          <w:tcPr>
            <w:tcW w:w="1259"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sz w:val="20"/>
                <w:szCs w:val="20"/>
              </w:rPr>
            </w:pPr>
            <w:r w:rsidRPr="00047DE6">
              <w:rPr>
                <w:sz w:val="20"/>
                <w:szCs w:val="20"/>
              </w:rPr>
              <w:t>2 558,1</w:t>
            </w:r>
          </w:p>
        </w:tc>
        <w:tc>
          <w:tcPr>
            <w:tcW w:w="1616"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20,8</w:t>
            </w:r>
          </w:p>
        </w:tc>
        <w:tc>
          <w:tcPr>
            <w:tcW w:w="1219"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менее 0,1</w:t>
            </w:r>
          </w:p>
        </w:tc>
      </w:tr>
      <w:tr w:rsidR="00467F9C" w:rsidRPr="00047DE6" w:rsidTr="00047DE6">
        <w:trPr>
          <w:trHeight w:val="802"/>
        </w:trPr>
        <w:tc>
          <w:tcPr>
            <w:tcW w:w="4276" w:type="dxa"/>
            <w:tcBorders>
              <w:top w:val="nil"/>
              <w:left w:val="single" w:sz="4" w:space="0" w:color="auto"/>
              <w:bottom w:val="single" w:sz="4" w:space="0" w:color="auto"/>
              <w:right w:val="single" w:sz="4" w:space="0" w:color="auto"/>
            </w:tcBorders>
            <w:shd w:val="clear" w:color="auto" w:fill="auto"/>
            <w:vAlign w:val="center"/>
            <w:hideMark/>
          </w:tcPr>
          <w:p w:rsidR="00191861" w:rsidRDefault="00191861" w:rsidP="00191861">
            <w:pPr>
              <w:rPr>
                <w:sz w:val="20"/>
                <w:szCs w:val="20"/>
              </w:rPr>
            </w:pPr>
            <w:r w:rsidRPr="00047DE6">
              <w:rPr>
                <w:sz w:val="20"/>
                <w:szCs w:val="20"/>
              </w:rPr>
              <w:t>109 Задолженность и перерасчеты по отмененным налогам, сборам и иным обязательным платежам</w:t>
            </w:r>
          </w:p>
          <w:p w:rsidR="00047DE6" w:rsidRPr="00047DE6" w:rsidRDefault="00047DE6" w:rsidP="00191861">
            <w:pPr>
              <w:rPr>
                <w:sz w:val="4"/>
                <w:szCs w:val="4"/>
              </w:rPr>
            </w:pPr>
          </w:p>
        </w:tc>
        <w:tc>
          <w:tcPr>
            <w:tcW w:w="1264"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047DE6">
            <w:pPr>
              <w:ind w:left="-141"/>
              <w:jc w:val="right"/>
              <w:rPr>
                <w:sz w:val="20"/>
                <w:szCs w:val="20"/>
              </w:rPr>
            </w:pPr>
            <w:r w:rsidRPr="00047DE6">
              <w:rPr>
                <w:sz w:val="20"/>
                <w:szCs w:val="20"/>
              </w:rPr>
              <w:t>-</w:t>
            </w:r>
          </w:p>
        </w:tc>
        <w:tc>
          <w:tcPr>
            <w:tcW w:w="1259"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sz w:val="20"/>
                <w:szCs w:val="20"/>
              </w:rPr>
            </w:pPr>
            <w:r w:rsidRPr="00047DE6">
              <w:rPr>
                <w:sz w:val="20"/>
                <w:szCs w:val="20"/>
              </w:rPr>
              <w:t>45,2</w:t>
            </w:r>
          </w:p>
        </w:tc>
        <w:tc>
          <w:tcPr>
            <w:tcW w:w="1616"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w:t>
            </w:r>
          </w:p>
        </w:tc>
        <w:tc>
          <w:tcPr>
            <w:tcW w:w="1219"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w:t>
            </w:r>
          </w:p>
        </w:tc>
      </w:tr>
    </w:tbl>
    <w:p w:rsidR="00191861" w:rsidRPr="00467F9C" w:rsidRDefault="00191861" w:rsidP="00191861">
      <w:pPr>
        <w:pStyle w:val="29"/>
        <w:shd w:val="clear" w:color="auto" w:fill="FFFFFF"/>
        <w:spacing w:before="120" w:after="0" w:line="240" w:lineRule="auto"/>
        <w:ind w:firstLine="709"/>
        <w:jc w:val="both"/>
        <w:rPr>
          <w:rFonts w:ascii="Times New Roman" w:hAnsi="Times New Roman" w:cs="Times New Roman"/>
          <w:sz w:val="28"/>
          <w:szCs w:val="28"/>
        </w:rPr>
      </w:pPr>
      <w:r w:rsidRPr="00467F9C">
        <w:rPr>
          <w:rFonts w:ascii="Times New Roman" w:hAnsi="Times New Roman" w:cs="Times New Roman"/>
          <w:sz w:val="28"/>
          <w:szCs w:val="28"/>
        </w:rPr>
        <w:t>Основную долю в структуре налоговых доходов составляют налоги на прибыль, доходы – 75,9%, налоги на имущество – 11,3%, налоги, сборы и регулярные платежи за пользование природными ресурсами – 11%.</w:t>
      </w:r>
    </w:p>
    <w:p w:rsidR="00191861" w:rsidRPr="00467F9C" w:rsidRDefault="00191861" w:rsidP="00191861">
      <w:pPr>
        <w:spacing w:before="240" w:after="120"/>
        <w:jc w:val="center"/>
        <w:rPr>
          <w:b/>
          <w:sz w:val="28"/>
          <w:szCs w:val="28"/>
        </w:rPr>
      </w:pPr>
      <w:r w:rsidRPr="00467F9C">
        <w:rPr>
          <w:b/>
          <w:sz w:val="28"/>
          <w:szCs w:val="28"/>
        </w:rPr>
        <w:t>Неналоговые доходы</w:t>
      </w:r>
    </w:p>
    <w:p w:rsidR="00191861" w:rsidRPr="00467F9C" w:rsidRDefault="00191861" w:rsidP="00191861">
      <w:pPr>
        <w:widowControl w:val="0"/>
        <w:shd w:val="clear" w:color="auto" w:fill="FFFFFF"/>
        <w:suppressAutoHyphens/>
        <w:ind w:firstLine="709"/>
        <w:jc w:val="both"/>
        <w:rPr>
          <w:rFonts w:eastAsia="DejaVu Sans"/>
          <w:kern w:val="1"/>
          <w:sz w:val="28"/>
          <w:szCs w:val="28"/>
          <w:lang w:eastAsia="ar-SA"/>
        </w:rPr>
      </w:pPr>
      <w:r w:rsidRPr="00467F9C">
        <w:rPr>
          <w:rFonts w:eastAsia="DejaVu Sans"/>
          <w:kern w:val="1"/>
          <w:sz w:val="28"/>
          <w:szCs w:val="28"/>
          <w:lang w:eastAsia="ar-SA"/>
        </w:rPr>
        <w:t xml:space="preserve">Неналоговые доходы в отчетном периоде поступили в доход окружного бюджета в сумме 29 159,7 тыс. рублей или 19,5% утвержденных показателей. </w:t>
      </w:r>
      <w:r w:rsidRPr="00467F9C">
        <w:rPr>
          <w:sz w:val="28"/>
          <w:szCs w:val="28"/>
        </w:rPr>
        <w:t>В структуре доходов окружного бюджета доля неналоговых доходов составляет 0,2%</w:t>
      </w:r>
    </w:p>
    <w:p w:rsidR="00191861" w:rsidRPr="00467F9C" w:rsidRDefault="00191861" w:rsidP="00191861">
      <w:pPr>
        <w:widowControl w:val="0"/>
        <w:shd w:val="clear" w:color="auto" w:fill="FFFFFF"/>
        <w:suppressAutoHyphens/>
        <w:ind w:firstLine="709"/>
        <w:jc w:val="both"/>
        <w:rPr>
          <w:rFonts w:eastAsia="DejaVu Sans"/>
          <w:kern w:val="1"/>
          <w:sz w:val="28"/>
          <w:szCs w:val="28"/>
          <w:lang w:eastAsia="ar-SA"/>
        </w:rPr>
      </w:pPr>
      <w:r w:rsidRPr="00467F9C">
        <w:rPr>
          <w:rFonts w:eastAsia="DejaVu Sans"/>
          <w:kern w:val="1"/>
          <w:sz w:val="28"/>
          <w:szCs w:val="28"/>
          <w:lang w:eastAsia="ar-SA"/>
        </w:rPr>
        <w:t>Информация об объемах поступлений неналоговых доходов в отчетном периоде представлена в таблице №6.</w:t>
      </w:r>
    </w:p>
    <w:p w:rsidR="00191861" w:rsidRPr="00467F9C" w:rsidRDefault="00191861" w:rsidP="00191861">
      <w:pPr>
        <w:tabs>
          <w:tab w:val="left" w:pos="426"/>
          <w:tab w:val="left" w:pos="709"/>
        </w:tabs>
        <w:ind w:right="-2"/>
        <w:jc w:val="right"/>
        <w:rPr>
          <w:bCs/>
          <w:iCs/>
          <w:sz w:val="28"/>
          <w:szCs w:val="28"/>
        </w:rPr>
      </w:pPr>
      <w:r w:rsidRPr="00467F9C">
        <w:rPr>
          <w:bCs/>
          <w:iCs/>
          <w:sz w:val="28"/>
          <w:szCs w:val="28"/>
        </w:rPr>
        <w:t>Таблица №6</w:t>
      </w:r>
    </w:p>
    <w:p w:rsidR="00191861" w:rsidRDefault="00191861" w:rsidP="00191861">
      <w:pPr>
        <w:tabs>
          <w:tab w:val="left" w:pos="426"/>
          <w:tab w:val="left" w:pos="709"/>
        </w:tabs>
        <w:jc w:val="right"/>
        <w:rPr>
          <w:bCs/>
          <w:iCs/>
          <w:sz w:val="28"/>
          <w:szCs w:val="28"/>
        </w:rPr>
      </w:pPr>
      <w:r w:rsidRPr="00467F9C">
        <w:rPr>
          <w:bCs/>
          <w:iCs/>
          <w:sz w:val="28"/>
          <w:szCs w:val="28"/>
        </w:rPr>
        <w:t>(тыс. рублей)</w:t>
      </w:r>
    </w:p>
    <w:p w:rsidR="00047DE6" w:rsidRDefault="00047DE6" w:rsidP="00191861">
      <w:pPr>
        <w:tabs>
          <w:tab w:val="left" w:pos="426"/>
          <w:tab w:val="left" w:pos="709"/>
        </w:tabs>
        <w:jc w:val="right"/>
        <w:rPr>
          <w:bCs/>
          <w:iCs/>
          <w:sz w:val="28"/>
          <w:szCs w:val="28"/>
        </w:rPr>
      </w:pPr>
    </w:p>
    <w:p w:rsidR="00047DE6" w:rsidRDefault="00047DE6" w:rsidP="00191861">
      <w:pPr>
        <w:tabs>
          <w:tab w:val="left" w:pos="426"/>
          <w:tab w:val="left" w:pos="709"/>
        </w:tabs>
        <w:jc w:val="right"/>
        <w:rPr>
          <w:bCs/>
          <w:iCs/>
          <w:sz w:val="28"/>
          <w:szCs w:val="28"/>
        </w:rPr>
      </w:pPr>
    </w:p>
    <w:p w:rsidR="00047DE6" w:rsidRPr="00467F9C" w:rsidRDefault="00047DE6" w:rsidP="00191861">
      <w:pPr>
        <w:tabs>
          <w:tab w:val="left" w:pos="426"/>
          <w:tab w:val="left" w:pos="709"/>
        </w:tabs>
        <w:jc w:val="right"/>
        <w:rPr>
          <w:bCs/>
          <w:iCs/>
          <w:sz w:val="28"/>
          <w:szCs w:val="28"/>
        </w:rPr>
      </w:pPr>
    </w:p>
    <w:tbl>
      <w:tblPr>
        <w:tblW w:w="9607" w:type="dxa"/>
        <w:tblLook w:val="04A0" w:firstRow="1" w:lastRow="0" w:firstColumn="1" w:lastColumn="0" w:noHBand="0" w:noVBand="1"/>
      </w:tblPr>
      <w:tblGrid>
        <w:gridCol w:w="4692"/>
        <w:gridCol w:w="1264"/>
        <w:gridCol w:w="985"/>
        <w:gridCol w:w="1602"/>
        <w:gridCol w:w="1064"/>
      </w:tblGrid>
      <w:tr w:rsidR="00467F9C" w:rsidRPr="00047DE6" w:rsidTr="00047DE6">
        <w:trPr>
          <w:trHeight w:val="319"/>
        </w:trPr>
        <w:tc>
          <w:tcPr>
            <w:tcW w:w="4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lastRenderedPageBreak/>
              <w:t>Наименование показателя</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Утверждено на 2022 год</w:t>
            </w:r>
          </w:p>
        </w:tc>
        <w:tc>
          <w:tcPr>
            <w:tcW w:w="3651" w:type="dxa"/>
            <w:gridSpan w:val="3"/>
            <w:tcBorders>
              <w:top w:val="single" w:sz="4" w:space="0" w:color="auto"/>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Исполнено за 1 квартал 2022 года</w:t>
            </w:r>
          </w:p>
        </w:tc>
      </w:tr>
      <w:tr w:rsidR="00467F9C" w:rsidRPr="00047DE6" w:rsidTr="00047DE6">
        <w:trPr>
          <w:trHeight w:val="534"/>
        </w:trPr>
        <w:tc>
          <w:tcPr>
            <w:tcW w:w="4692" w:type="dxa"/>
            <w:vMerge/>
            <w:tcBorders>
              <w:top w:val="single" w:sz="4" w:space="0" w:color="auto"/>
              <w:left w:val="single" w:sz="4" w:space="0" w:color="auto"/>
              <w:bottom w:val="single" w:sz="4" w:space="0" w:color="auto"/>
              <w:right w:val="single" w:sz="4" w:space="0" w:color="auto"/>
            </w:tcBorders>
            <w:vAlign w:val="center"/>
            <w:hideMark/>
          </w:tcPr>
          <w:p w:rsidR="00191861" w:rsidRPr="00047DE6" w:rsidRDefault="00191861" w:rsidP="00191861">
            <w:pPr>
              <w:rPr>
                <w:sz w:val="20"/>
                <w:szCs w:val="20"/>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rsidR="00191861" w:rsidRPr="00047DE6" w:rsidRDefault="00191861" w:rsidP="00191861">
            <w:pPr>
              <w:rPr>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сумма</w:t>
            </w:r>
          </w:p>
        </w:tc>
        <w:tc>
          <w:tcPr>
            <w:tcW w:w="1602"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уровень исполнения, %</w:t>
            </w:r>
          </w:p>
        </w:tc>
        <w:tc>
          <w:tcPr>
            <w:tcW w:w="1064"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удельный вес, %</w:t>
            </w:r>
          </w:p>
        </w:tc>
      </w:tr>
      <w:tr w:rsidR="00467F9C" w:rsidRPr="00047DE6" w:rsidTr="00047DE6">
        <w:trPr>
          <w:trHeight w:val="190"/>
        </w:trPr>
        <w:tc>
          <w:tcPr>
            <w:tcW w:w="4692"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1</w:t>
            </w:r>
          </w:p>
        </w:tc>
        <w:tc>
          <w:tcPr>
            <w:tcW w:w="1264"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2</w:t>
            </w:r>
          </w:p>
        </w:tc>
        <w:tc>
          <w:tcPr>
            <w:tcW w:w="985"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3</w:t>
            </w:r>
          </w:p>
        </w:tc>
        <w:tc>
          <w:tcPr>
            <w:tcW w:w="1602"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4</w:t>
            </w:r>
          </w:p>
        </w:tc>
        <w:tc>
          <w:tcPr>
            <w:tcW w:w="1064"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5</w:t>
            </w:r>
          </w:p>
        </w:tc>
      </w:tr>
      <w:tr w:rsidR="00467F9C" w:rsidRPr="00047DE6" w:rsidTr="00047DE6">
        <w:trPr>
          <w:trHeight w:val="347"/>
        </w:trPr>
        <w:tc>
          <w:tcPr>
            <w:tcW w:w="4692"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rPr>
                <w:b/>
                <w:bCs/>
                <w:sz w:val="20"/>
                <w:szCs w:val="20"/>
              </w:rPr>
            </w:pPr>
            <w:r w:rsidRPr="00047DE6">
              <w:rPr>
                <w:b/>
                <w:bCs/>
                <w:sz w:val="20"/>
                <w:szCs w:val="20"/>
              </w:rPr>
              <w:t>Неналоговые доходы</w:t>
            </w:r>
          </w:p>
        </w:tc>
        <w:tc>
          <w:tcPr>
            <w:tcW w:w="1264"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b/>
                <w:bCs/>
                <w:sz w:val="20"/>
                <w:szCs w:val="20"/>
              </w:rPr>
            </w:pPr>
            <w:r w:rsidRPr="00047DE6">
              <w:rPr>
                <w:b/>
                <w:bCs/>
                <w:sz w:val="20"/>
                <w:szCs w:val="20"/>
              </w:rPr>
              <w:t>149 538,8</w:t>
            </w:r>
          </w:p>
        </w:tc>
        <w:tc>
          <w:tcPr>
            <w:tcW w:w="985"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b/>
                <w:bCs/>
                <w:sz w:val="20"/>
                <w:szCs w:val="20"/>
              </w:rPr>
            </w:pPr>
            <w:r w:rsidRPr="00047DE6">
              <w:rPr>
                <w:b/>
                <w:bCs/>
                <w:sz w:val="20"/>
                <w:szCs w:val="20"/>
              </w:rPr>
              <w:t>29 159,7</w:t>
            </w:r>
          </w:p>
        </w:tc>
        <w:tc>
          <w:tcPr>
            <w:tcW w:w="1602"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b/>
                <w:bCs/>
                <w:sz w:val="20"/>
                <w:szCs w:val="20"/>
              </w:rPr>
            </w:pPr>
            <w:r w:rsidRPr="00047DE6">
              <w:rPr>
                <w:b/>
                <w:bCs/>
                <w:sz w:val="20"/>
                <w:szCs w:val="20"/>
              </w:rPr>
              <w:t>19,5</w:t>
            </w:r>
          </w:p>
        </w:tc>
        <w:tc>
          <w:tcPr>
            <w:tcW w:w="1064"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b/>
                <w:bCs/>
                <w:sz w:val="20"/>
                <w:szCs w:val="20"/>
              </w:rPr>
            </w:pPr>
            <w:r w:rsidRPr="00047DE6">
              <w:rPr>
                <w:b/>
                <w:bCs/>
                <w:sz w:val="20"/>
                <w:szCs w:val="20"/>
              </w:rPr>
              <w:t>100,0</w:t>
            </w:r>
          </w:p>
        </w:tc>
      </w:tr>
      <w:tr w:rsidR="00467F9C" w:rsidRPr="00047DE6" w:rsidTr="00047DE6">
        <w:trPr>
          <w:trHeight w:val="804"/>
        </w:trPr>
        <w:tc>
          <w:tcPr>
            <w:tcW w:w="4692"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rPr>
                <w:sz w:val="20"/>
                <w:szCs w:val="20"/>
              </w:rPr>
            </w:pPr>
            <w:r w:rsidRPr="00047DE6">
              <w:rPr>
                <w:sz w:val="20"/>
                <w:szCs w:val="20"/>
              </w:rPr>
              <w:t>111 Доходы от использования имущества, находящегося в государственной и муниципальной собственности</w:t>
            </w:r>
          </w:p>
        </w:tc>
        <w:tc>
          <w:tcPr>
            <w:tcW w:w="1264"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sz w:val="20"/>
                <w:szCs w:val="20"/>
              </w:rPr>
            </w:pPr>
            <w:r w:rsidRPr="00047DE6">
              <w:rPr>
                <w:sz w:val="20"/>
                <w:szCs w:val="20"/>
              </w:rPr>
              <w:t>86 282,0</w:t>
            </w:r>
          </w:p>
        </w:tc>
        <w:tc>
          <w:tcPr>
            <w:tcW w:w="985"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sz w:val="20"/>
                <w:szCs w:val="20"/>
              </w:rPr>
            </w:pPr>
            <w:r w:rsidRPr="00047DE6">
              <w:rPr>
                <w:sz w:val="20"/>
                <w:szCs w:val="20"/>
              </w:rPr>
              <w:t>7 124,3</w:t>
            </w:r>
          </w:p>
        </w:tc>
        <w:tc>
          <w:tcPr>
            <w:tcW w:w="1602"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8,3</w:t>
            </w:r>
          </w:p>
        </w:tc>
        <w:tc>
          <w:tcPr>
            <w:tcW w:w="1064"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24,4</w:t>
            </w:r>
          </w:p>
        </w:tc>
      </w:tr>
      <w:tr w:rsidR="00467F9C" w:rsidRPr="00047DE6" w:rsidTr="00047DE6">
        <w:trPr>
          <w:trHeight w:val="190"/>
        </w:trPr>
        <w:tc>
          <w:tcPr>
            <w:tcW w:w="4692"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rPr>
                <w:sz w:val="20"/>
                <w:szCs w:val="20"/>
              </w:rPr>
            </w:pPr>
            <w:r w:rsidRPr="00047DE6">
              <w:rPr>
                <w:sz w:val="20"/>
                <w:szCs w:val="20"/>
              </w:rPr>
              <w:t>112 Платежи при пользовании природными ресурсами</w:t>
            </w:r>
          </w:p>
        </w:tc>
        <w:tc>
          <w:tcPr>
            <w:tcW w:w="1264"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sz w:val="20"/>
                <w:szCs w:val="20"/>
              </w:rPr>
            </w:pPr>
            <w:r w:rsidRPr="00047DE6">
              <w:rPr>
                <w:sz w:val="20"/>
                <w:szCs w:val="20"/>
              </w:rPr>
              <w:t>32 965,6</w:t>
            </w:r>
          </w:p>
        </w:tc>
        <w:tc>
          <w:tcPr>
            <w:tcW w:w="985"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sz w:val="20"/>
                <w:szCs w:val="20"/>
              </w:rPr>
            </w:pPr>
            <w:r w:rsidRPr="00047DE6">
              <w:rPr>
                <w:sz w:val="20"/>
                <w:szCs w:val="20"/>
              </w:rPr>
              <w:t>12 102,8</w:t>
            </w:r>
          </w:p>
        </w:tc>
        <w:tc>
          <w:tcPr>
            <w:tcW w:w="1602"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36,7</w:t>
            </w:r>
          </w:p>
        </w:tc>
        <w:tc>
          <w:tcPr>
            <w:tcW w:w="1064"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41,5</w:t>
            </w:r>
          </w:p>
        </w:tc>
      </w:tr>
      <w:tr w:rsidR="00467F9C" w:rsidRPr="00047DE6" w:rsidTr="00047DE6">
        <w:trPr>
          <w:trHeight w:val="190"/>
        </w:trPr>
        <w:tc>
          <w:tcPr>
            <w:tcW w:w="4692"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rPr>
                <w:sz w:val="20"/>
                <w:szCs w:val="20"/>
              </w:rPr>
            </w:pPr>
            <w:r w:rsidRPr="00047DE6">
              <w:rPr>
                <w:sz w:val="20"/>
                <w:szCs w:val="20"/>
              </w:rPr>
              <w:t>113 Доходы от оказания платных услуг и компенсации затрат государства</w:t>
            </w:r>
          </w:p>
        </w:tc>
        <w:tc>
          <w:tcPr>
            <w:tcW w:w="1264"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sz w:val="20"/>
                <w:szCs w:val="20"/>
              </w:rPr>
            </w:pPr>
            <w:r w:rsidRPr="00047DE6">
              <w:rPr>
                <w:sz w:val="20"/>
                <w:szCs w:val="20"/>
              </w:rPr>
              <w:t>5 250,1</w:t>
            </w:r>
          </w:p>
        </w:tc>
        <w:tc>
          <w:tcPr>
            <w:tcW w:w="985"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sz w:val="20"/>
                <w:szCs w:val="20"/>
              </w:rPr>
            </w:pPr>
            <w:r w:rsidRPr="00047DE6">
              <w:rPr>
                <w:sz w:val="20"/>
                <w:szCs w:val="20"/>
              </w:rPr>
              <w:t>6 354,7</w:t>
            </w:r>
          </w:p>
        </w:tc>
        <w:tc>
          <w:tcPr>
            <w:tcW w:w="1602"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121,0</w:t>
            </w:r>
          </w:p>
        </w:tc>
        <w:tc>
          <w:tcPr>
            <w:tcW w:w="1064"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21,9</w:t>
            </w:r>
          </w:p>
        </w:tc>
      </w:tr>
      <w:tr w:rsidR="00467F9C" w:rsidRPr="00047DE6" w:rsidTr="00047DE6">
        <w:trPr>
          <w:trHeight w:val="317"/>
        </w:trPr>
        <w:tc>
          <w:tcPr>
            <w:tcW w:w="4692"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rPr>
                <w:sz w:val="20"/>
                <w:szCs w:val="20"/>
              </w:rPr>
            </w:pPr>
            <w:r w:rsidRPr="00047DE6">
              <w:rPr>
                <w:sz w:val="20"/>
                <w:szCs w:val="20"/>
              </w:rPr>
              <w:t>116 Штрафы, санкции, возмещение ущерба</w:t>
            </w:r>
          </w:p>
        </w:tc>
        <w:tc>
          <w:tcPr>
            <w:tcW w:w="1264"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sz w:val="20"/>
                <w:szCs w:val="20"/>
              </w:rPr>
            </w:pPr>
            <w:r w:rsidRPr="00047DE6">
              <w:rPr>
                <w:sz w:val="20"/>
                <w:szCs w:val="20"/>
              </w:rPr>
              <w:t>25 041,1</w:t>
            </w:r>
          </w:p>
        </w:tc>
        <w:tc>
          <w:tcPr>
            <w:tcW w:w="985"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sz w:val="20"/>
                <w:szCs w:val="20"/>
              </w:rPr>
            </w:pPr>
            <w:r w:rsidRPr="00047DE6">
              <w:rPr>
                <w:sz w:val="20"/>
                <w:szCs w:val="20"/>
              </w:rPr>
              <w:t>3 683,6</w:t>
            </w:r>
          </w:p>
        </w:tc>
        <w:tc>
          <w:tcPr>
            <w:tcW w:w="1602"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14,7</w:t>
            </w:r>
          </w:p>
        </w:tc>
        <w:tc>
          <w:tcPr>
            <w:tcW w:w="1064"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12,6</w:t>
            </w:r>
          </w:p>
        </w:tc>
      </w:tr>
      <w:tr w:rsidR="00467F9C" w:rsidRPr="00047DE6" w:rsidTr="00047DE6">
        <w:trPr>
          <w:trHeight w:val="364"/>
        </w:trPr>
        <w:tc>
          <w:tcPr>
            <w:tcW w:w="4692"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rPr>
                <w:sz w:val="20"/>
                <w:szCs w:val="20"/>
              </w:rPr>
            </w:pPr>
            <w:r w:rsidRPr="00047DE6">
              <w:rPr>
                <w:sz w:val="20"/>
                <w:szCs w:val="20"/>
              </w:rPr>
              <w:t>117 Прочие неналоговые доходы</w:t>
            </w:r>
          </w:p>
        </w:tc>
        <w:tc>
          <w:tcPr>
            <w:tcW w:w="1264"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sz w:val="20"/>
                <w:szCs w:val="20"/>
              </w:rPr>
            </w:pPr>
            <w:r w:rsidRPr="00047DE6">
              <w:rPr>
                <w:sz w:val="20"/>
                <w:szCs w:val="20"/>
              </w:rPr>
              <w:t>-</w:t>
            </w:r>
          </w:p>
        </w:tc>
        <w:tc>
          <w:tcPr>
            <w:tcW w:w="985"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sz w:val="20"/>
                <w:szCs w:val="20"/>
              </w:rPr>
            </w:pPr>
            <w:r w:rsidRPr="00047DE6">
              <w:rPr>
                <w:sz w:val="20"/>
                <w:szCs w:val="20"/>
              </w:rPr>
              <w:t>-105,7</w:t>
            </w:r>
          </w:p>
        </w:tc>
        <w:tc>
          <w:tcPr>
            <w:tcW w:w="1602"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менее 0,1</w:t>
            </w:r>
          </w:p>
        </w:tc>
        <w:tc>
          <w:tcPr>
            <w:tcW w:w="1064"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-0,4</w:t>
            </w:r>
          </w:p>
        </w:tc>
      </w:tr>
    </w:tbl>
    <w:p w:rsidR="00191861" w:rsidRPr="00467F9C" w:rsidRDefault="00191861" w:rsidP="00191861">
      <w:pPr>
        <w:widowControl w:val="0"/>
        <w:shd w:val="clear" w:color="auto" w:fill="FFFFFF"/>
        <w:suppressAutoHyphens/>
        <w:spacing w:before="120"/>
        <w:ind w:firstLine="709"/>
        <w:jc w:val="both"/>
        <w:rPr>
          <w:sz w:val="28"/>
          <w:szCs w:val="28"/>
        </w:rPr>
      </w:pPr>
      <w:r w:rsidRPr="00467F9C">
        <w:rPr>
          <w:rFonts w:eastAsia="DejaVu Sans"/>
          <w:kern w:val="1"/>
          <w:sz w:val="28"/>
          <w:szCs w:val="28"/>
          <w:lang w:eastAsia="ar-SA"/>
        </w:rPr>
        <w:t>В отчетном периоде получены незапланированные доходы в сумме 10 037,2 тыс. рублей, основная доля сложилась от п</w:t>
      </w:r>
      <w:r w:rsidRPr="00467F9C">
        <w:rPr>
          <w:sz w:val="28"/>
          <w:szCs w:val="28"/>
        </w:rPr>
        <w:t xml:space="preserve">рочих доходов от компенсации затрат (4 891,3 тыс. рублей) и разовых платежей за пользование недрами при наступлении определенных событий (4 130,6 тыс. рублей). </w:t>
      </w:r>
    </w:p>
    <w:p w:rsidR="00191861" w:rsidRPr="00467F9C" w:rsidRDefault="00191861" w:rsidP="00191861">
      <w:pPr>
        <w:spacing w:before="240" w:after="120"/>
        <w:jc w:val="center"/>
        <w:rPr>
          <w:b/>
          <w:sz w:val="28"/>
          <w:szCs w:val="28"/>
        </w:rPr>
      </w:pPr>
      <w:r w:rsidRPr="00467F9C">
        <w:rPr>
          <w:b/>
          <w:sz w:val="28"/>
          <w:szCs w:val="28"/>
        </w:rPr>
        <w:t>Безвозмездные поступления</w:t>
      </w:r>
    </w:p>
    <w:p w:rsidR="00191861" w:rsidRPr="00467F9C" w:rsidRDefault="00191861" w:rsidP="00191861">
      <w:pPr>
        <w:tabs>
          <w:tab w:val="left" w:pos="426"/>
          <w:tab w:val="left" w:pos="709"/>
        </w:tabs>
        <w:ind w:firstLine="709"/>
        <w:jc w:val="both"/>
        <w:rPr>
          <w:sz w:val="28"/>
          <w:szCs w:val="28"/>
        </w:rPr>
      </w:pPr>
      <w:r w:rsidRPr="00467F9C">
        <w:rPr>
          <w:sz w:val="28"/>
          <w:szCs w:val="28"/>
        </w:rPr>
        <w:t>Объем безвозмездных поступлений в отчетном периоде составил 5 613 822,3 тыс. рублей или 17,9% годовых бюджетных назначений. В структуре доходов окружного бюджета доля безвозмездных поступлений сложилась на уровне 47,8% (таблица №7).</w:t>
      </w:r>
    </w:p>
    <w:p w:rsidR="00191861" w:rsidRPr="00467F9C" w:rsidRDefault="00191861" w:rsidP="00191861">
      <w:pPr>
        <w:tabs>
          <w:tab w:val="left" w:pos="426"/>
          <w:tab w:val="left" w:pos="709"/>
        </w:tabs>
        <w:ind w:firstLine="709"/>
        <w:jc w:val="right"/>
        <w:rPr>
          <w:sz w:val="28"/>
          <w:szCs w:val="28"/>
        </w:rPr>
      </w:pPr>
      <w:r w:rsidRPr="00467F9C">
        <w:rPr>
          <w:sz w:val="28"/>
          <w:szCs w:val="28"/>
        </w:rPr>
        <w:t>Таблица №7</w:t>
      </w:r>
    </w:p>
    <w:p w:rsidR="00191861" w:rsidRPr="00467F9C" w:rsidRDefault="00191861" w:rsidP="00191861">
      <w:pPr>
        <w:ind w:right="46"/>
        <w:jc w:val="right"/>
        <w:rPr>
          <w:sz w:val="28"/>
          <w:szCs w:val="28"/>
        </w:rPr>
      </w:pPr>
      <w:r w:rsidRPr="00467F9C">
        <w:rPr>
          <w:sz w:val="28"/>
          <w:szCs w:val="28"/>
        </w:rPr>
        <w:t>(тыс. рублей)</w:t>
      </w:r>
    </w:p>
    <w:tbl>
      <w:tblPr>
        <w:tblW w:w="9663" w:type="dxa"/>
        <w:tblInd w:w="-5" w:type="dxa"/>
        <w:tblLook w:val="04A0" w:firstRow="1" w:lastRow="0" w:firstColumn="1" w:lastColumn="0" w:noHBand="0" w:noVBand="1"/>
      </w:tblPr>
      <w:tblGrid>
        <w:gridCol w:w="4678"/>
        <w:gridCol w:w="1296"/>
        <w:gridCol w:w="1134"/>
        <w:gridCol w:w="1509"/>
        <w:gridCol w:w="1046"/>
      </w:tblGrid>
      <w:tr w:rsidR="00467F9C" w:rsidRPr="00047DE6" w:rsidTr="00047DE6">
        <w:trPr>
          <w:trHeight w:val="366"/>
          <w:tblHeader/>
        </w:trPr>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Наименование показателя</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Утверждено на 2022 год</w:t>
            </w:r>
          </w:p>
        </w:tc>
        <w:tc>
          <w:tcPr>
            <w:tcW w:w="3689" w:type="dxa"/>
            <w:gridSpan w:val="3"/>
            <w:tcBorders>
              <w:top w:val="single" w:sz="4" w:space="0" w:color="auto"/>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Исполнено за 1 квартал 2022 года</w:t>
            </w:r>
          </w:p>
        </w:tc>
      </w:tr>
      <w:tr w:rsidR="00467F9C" w:rsidRPr="00047DE6" w:rsidTr="00047DE6">
        <w:trPr>
          <w:trHeight w:val="333"/>
          <w:tblHeader/>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191861" w:rsidRPr="00047DE6" w:rsidRDefault="00191861" w:rsidP="00191861">
            <w:pPr>
              <w:rPr>
                <w:sz w:val="20"/>
                <w:szCs w:val="20"/>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191861" w:rsidRPr="00047DE6" w:rsidRDefault="00191861" w:rsidP="00191861">
            <w:pP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сумма</w:t>
            </w:r>
          </w:p>
        </w:tc>
        <w:tc>
          <w:tcPr>
            <w:tcW w:w="1509" w:type="dxa"/>
            <w:tcBorders>
              <w:top w:val="nil"/>
              <w:left w:val="nil"/>
              <w:bottom w:val="single" w:sz="4" w:space="0" w:color="auto"/>
              <w:right w:val="single" w:sz="4" w:space="0" w:color="auto"/>
            </w:tcBorders>
            <w:shd w:val="clear" w:color="auto" w:fill="auto"/>
            <w:vAlign w:val="center"/>
            <w:hideMark/>
          </w:tcPr>
          <w:p w:rsidR="00191861" w:rsidRDefault="00191861" w:rsidP="00191861">
            <w:pPr>
              <w:jc w:val="center"/>
              <w:rPr>
                <w:sz w:val="20"/>
                <w:szCs w:val="20"/>
              </w:rPr>
            </w:pPr>
            <w:r w:rsidRPr="00047DE6">
              <w:rPr>
                <w:sz w:val="20"/>
                <w:szCs w:val="20"/>
              </w:rPr>
              <w:t>уровень исполнения, %</w:t>
            </w:r>
          </w:p>
          <w:p w:rsidR="00047DE6" w:rsidRPr="00047DE6" w:rsidRDefault="00047DE6" w:rsidP="00191861">
            <w:pPr>
              <w:jc w:val="center"/>
              <w:rPr>
                <w:sz w:val="4"/>
                <w:szCs w:val="4"/>
              </w:rPr>
            </w:pPr>
          </w:p>
        </w:tc>
        <w:tc>
          <w:tcPr>
            <w:tcW w:w="1046"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удельный вес, %</w:t>
            </w:r>
          </w:p>
        </w:tc>
      </w:tr>
      <w:tr w:rsidR="00467F9C" w:rsidRPr="00047DE6" w:rsidTr="00047DE6">
        <w:trPr>
          <w:trHeight w:val="196"/>
          <w:tblHeader/>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3</w:t>
            </w:r>
          </w:p>
        </w:tc>
        <w:tc>
          <w:tcPr>
            <w:tcW w:w="1509"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4</w:t>
            </w:r>
          </w:p>
        </w:tc>
        <w:tc>
          <w:tcPr>
            <w:tcW w:w="1046"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5</w:t>
            </w:r>
          </w:p>
        </w:tc>
      </w:tr>
      <w:tr w:rsidR="00467F9C" w:rsidRPr="00047DE6" w:rsidTr="00047DE6">
        <w:trPr>
          <w:trHeight w:val="352"/>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rPr>
                <w:b/>
                <w:bCs/>
                <w:sz w:val="20"/>
                <w:szCs w:val="20"/>
              </w:rPr>
            </w:pPr>
            <w:r w:rsidRPr="00047DE6">
              <w:rPr>
                <w:b/>
                <w:bCs/>
                <w:sz w:val="20"/>
                <w:szCs w:val="20"/>
              </w:rPr>
              <w:t>Безвозмездные поступления</w:t>
            </w:r>
          </w:p>
        </w:tc>
        <w:tc>
          <w:tcPr>
            <w:tcW w:w="1296"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b/>
                <w:bCs/>
                <w:sz w:val="20"/>
                <w:szCs w:val="20"/>
              </w:rPr>
            </w:pPr>
            <w:r w:rsidRPr="00047DE6">
              <w:rPr>
                <w:b/>
                <w:bCs/>
                <w:sz w:val="20"/>
                <w:szCs w:val="20"/>
              </w:rPr>
              <w:t>31 407 438,6</w:t>
            </w:r>
          </w:p>
        </w:tc>
        <w:tc>
          <w:tcPr>
            <w:tcW w:w="1134"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047DE6">
            <w:pPr>
              <w:ind w:left="-104"/>
              <w:jc w:val="right"/>
              <w:rPr>
                <w:b/>
                <w:bCs/>
                <w:sz w:val="20"/>
                <w:szCs w:val="20"/>
              </w:rPr>
            </w:pPr>
            <w:r w:rsidRPr="00047DE6">
              <w:rPr>
                <w:b/>
                <w:bCs/>
                <w:sz w:val="20"/>
                <w:szCs w:val="20"/>
              </w:rPr>
              <w:t>5 613 822,3</w:t>
            </w:r>
          </w:p>
        </w:tc>
        <w:tc>
          <w:tcPr>
            <w:tcW w:w="1509"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b/>
                <w:bCs/>
                <w:sz w:val="20"/>
                <w:szCs w:val="20"/>
              </w:rPr>
            </w:pPr>
            <w:r w:rsidRPr="00047DE6">
              <w:rPr>
                <w:b/>
                <w:bCs/>
                <w:sz w:val="20"/>
                <w:szCs w:val="20"/>
              </w:rPr>
              <w:t>17,9</w:t>
            </w:r>
          </w:p>
        </w:tc>
        <w:tc>
          <w:tcPr>
            <w:tcW w:w="1046"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b/>
                <w:bCs/>
                <w:sz w:val="20"/>
                <w:szCs w:val="20"/>
              </w:rPr>
            </w:pPr>
            <w:r w:rsidRPr="00047DE6">
              <w:rPr>
                <w:b/>
                <w:bCs/>
                <w:sz w:val="20"/>
                <w:szCs w:val="20"/>
              </w:rPr>
              <w:t>100,0</w:t>
            </w:r>
          </w:p>
        </w:tc>
      </w:tr>
      <w:tr w:rsidR="00467F9C" w:rsidRPr="00047DE6" w:rsidTr="00047DE6">
        <w:trPr>
          <w:trHeight w:val="271"/>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rPr>
                <w:sz w:val="20"/>
                <w:szCs w:val="20"/>
              </w:rPr>
            </w:pPr>
            <w:r w:rsidRPr="00047DE6">
              <w:rPr>
                <w:sz w:val="20"/>
                <w:szCs w:val="20"/>
              </w:rPr>
              <w:t>Дотации</w:t>
            </w:r>
          </w:p>
        </w:tc>
        <w:tc>
          <w:tcPr>
            <w:tcW w:w="1296"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sz w:val="20"/>
                <w:szCs w:val="20"/>
              </w:rPr>
            </w:pPr>
            <w:r w:rsidRPr="00047DE6">
              <w:rPr>
                <w:bCs/>
                <w:sz w:val="20"/>
                <w:szCs w:val="20"/>
              </w:rPr>
              <w:t>13 694 411,6</w:t>
            </w:r>
          </w:p>
        </w:tc>
        <w:tc>
          <w:tcPr>
            <w:tcW w:w="1134"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047DE6">
            <w:pPr>
              <w:ind w:left="-123"/>
              <w:jc w:val="right"/>
              <w:rPr>
                <w:sz w:val="20"/>
                <w:szCs w:val="20"/>
              </w:rPr>
            </w:pPr>
            <w:r w:rsidRPr="00047DE6">
              <w:rPr>
                <w:bCs/>
                <w:sz w:val="20"/>
                <w:szCs w:val="20"/>
              </w:rPr>
              <w:t>3 423 603,0</w:t>
            </w:r>
          </w:p>
        </w:tc>
        <w:tc>
          <w:tcPr>
            <w:tcW w:w="1509"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25,0</w:t>
            </w:r>
          </w:p>
        </w:tc>
        <w:tc>
          <w:tcPr>
            <w:tcW w:w="1046"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61,0</w:t>
            </w:r>
          </w:p>
        </w:tc>
      </w:tr>
      <w:tr w:rsidR="00467F9C" w:rsidRPr="00047DE6" w:rsidTr="00047DE6">
        <w:trPr>
          <w:trHeight w:val="262"/>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rPr>
                <w:sz w:val="20"/>
                <w:szCs w:val="20"/>
              </w:rPr>
            </w:pPr>
            <w:r w:rsidRPr="00047DE6">
              <w:rPr>
                <w:sz w:val="20"/>
                <w:szCs w:val="20"/>
              </w:rPr>
              <w:t xml:space="preserve">Субсидии </w:t>
            </w:r>
          </w:p>
        </w:tc>
        <w:tc>
          <w:tcPr>
            <w:tcW w:w="1296"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sz w:val="20"/>
                <w:szCs w:val="20"/>
              </w:rPr>
            </w:pPr>
            <w:r w:rsidRPr="00047DE6">
              <w:rPr>
                <w:bCs/>
                <w:sz w:val="20"/>
                <w:szCs w:val="20"/>
              </w:rPr>
              <w:t>6 896 185,4</w:t>
            </w:r>
          </w:p>
        </w:tc>
        <w:tc>
          <w:tcPr>
            <w:tcW w:w="1134"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047DE6">
            <w:pPr>
              <w:ind w:left="-123"/>
              <w:jc w:val="right"/>
              <w:rPr>
                <w:sz w:val="20"/>
                <w:szCs w:val="20"/>
              </w:rPr>
            </w:pPr>
            <w:r w:rsidRPr="00047DE6">
              <w:rPr>
                <w:bCs/>
                <w:sz w:val="20"/>
                <w:szCs w:val="20"/>
              </w:rPr>
              <w:t>219 040,0</w:t>
            </w:r>
          </w:p>
        </w:tc>
        <w:tc>
          <w:tcPr>
            <w:tcW w:w="1509"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3,2</w:t>
            </w:r>
          </w:p>
        </w:tc>
        <w:tc>
          <w:tcPr>
            <w:tcW w:w="1046"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3,9</w:t>
            </w:r>
          </w:p>
        </w:tc>
      </w:tr>
      <w:tr w:rsidR="00467F9C" w:rsidRPr="00047DE6" w:rsidTr="00047DE6">
        <w:trPr>
          <w:trHeight w:val="27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rPr>
                <w:sz w:val="20"/>
                <w:szCs w:val="20"/>
              </w:rPr>
            </w:pPr>
            <w:r w:rsidRPr="00047DE6">
              <w:rPr>
                <w:sz w:val="20"/>
                <w:szCs w:val="20"/>
              </w:rPr>
              <w:t xml:space="preserve">Субвенции </w:t>
            </w:r>
          </w:p>
        </w:tc>
        <w:tc>
          <w:tcPr>
            <w:tcW w:w="1296"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sz w:val="20"/>
                <w:szCs w:val="20"/>
              </w:rPr>
            </w:pPr>
            <w:r w:rsidRPr="00047DE6">
              <w:rPr>
                <w:bCs/>
                <w:sz w:val="20"/>
                <w:szCs w:val="20"/>
              </w:rPr>
              <w:t>553 195,5</w:t>
            </w:r>
          </w:p>
        </w:tc>
        <w:tc>
          <w:tcPr>
            <w:tcW w:w="1134"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047DE6">
            <w:pPr>
              <w:ind w:left="-123"/>
              <w:jc w:val="right"/>
              <w:rPr>
                <w:sz w:val="20"/>
                <w:szCs w:val="20"/>
              </w:rPr>
            </w:pPr>
            <w:r w:rsidRPr="00047DE6">
              <w:rPr>
                <w:bCs/>
                <w:sz w:val="20"/>
                <w:szCs w:val="20"/>
              </w:rPr>
              <w:t>90 322,8</w:t>
            </w:r>
          </w:p>
        </w:tc>
        <w:tc>
          <w:tcPr>
            <w:tcW w:w="1509"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16,3</w:t>
            </w:r>
          </w:p>
        </w:tc>
        <w:tc>
          <w:tcPr>
            <w:tcW w:w="1046"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1,6</w:t>
            </w:r>
          </w:p>
        </w:tc>
      </w:tr>
      <w:tr w:rsidR="00467F9C" w:rsidRPr="00047DE6" w:rsidTr="00047DE6">
        <w:trPr>
          <w:trHeight w:val="284"/>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rPr>
                <w:sz w:val="20"/>
                <w:szCs w:val="20"/>
              </w:rPr>
            </w:pPr>
            <w:r w:rsidRPr="00047DE6">
              <w:rPr>
                <w:sz w:val="20"/>
                <w:szCs w:val="20"/>
              </w:rPr>
              <w:t>Иные межбюджетные трансферты</w:t>
            </w:r>
          </w:p>
        </w:tc>
        <w:tc>
          <w:tcPr>
            <w:tcW w:w="1296"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sz w:val="20"/>
                <w:szCs w:val="20"/>
              </w:rPr>
            </w:pPr>
            <w:r w:rsidRPr="00047DE6">
              <w:rPr>
                <w:bCs/>
                <w:sz w:val="20"/>
                <w:szCs w:val="20"/>
              </w:rPr>
              <w:t>1 323 797,2</w:t>
            </w:r>
          </w:p>
        </w:tc>
        <w:tc>
          <w:tcPr>
            <w:tcW w:w="1134"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047DE6">
            <w:pPr>
              <w:ind w:left="-123"/>
              <w:jc w:val="right"/>
              <w:rPr>
                <w:sz w:val="20"/>
                <w:szCs w:val="20"/>
              </w:rPr>
            </w:pPr>
            <w:r w:rsidRPr="00047DE6">
              <w:rPr>
                <w:bCs/>
                <w:sz w:val="20"/>
                <w:szCs w:val="20"/>
              </w:rPr>
              <w:t>162 022,2</w:t>
            </w:r>
          </w:p>
        </w:tc>
        <w:tc>
          <w:tcPr>
            <w:tcW w:w="1509"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12,2</w:t>
            </w:r>
          </w:p>
        </w:tc>
        <w:tc>
          <w:tcPr>
            <w:tcW w:w="1046"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2,9</w:t>
            </w:r>
          </w:p>
        </w:tc>
      </w:tr>
      <w:tr w:rsidR="00467F9C" w:rsidRPr="00047DE6" w:rsidTr="00047DE6">
        <w:trPr>
          <w:trHeight w:val="196"/>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rPr>
                <w:sz w:val="20"/>
                <w:szCs w:val="20"/>
              </w:rPr>
            </w:pPr>
            <w:r w:rsidRPr="00047DE6">
              <w:rPr>
                <w:sz w:val="20"/>
                <w:szCs w:val="20"/>
              </w:rPr>
              <w:t>Безвозмездные поступления от государственных организаций</w:t>
            </w:r>
          </w:p>
        </w:tc>
        <w:tc>
          <w:tcPr>
            <w:tcW w:w="1296"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sz w:val="20"/>
                <w:szCs w:val="20"/>
              </w:rPr>
            </w:pPr>
            <w:r w:rsidRPr="00047DE6">
              <w:rPr>
                <w:bCs/>
                <w:sz w:val="20"/>
                <w:szCs w:val="20"/>
              </w:rPr>
              <w:t>95 063,3</w:t>
            </w:r>
          </w:p>
        </w:tc>
        <w:tc>
          <w:tcPr>
            <w:tcW w:w="1134"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047DE6">
            <w:pPr>
              <w:ind w:left="-123"/>
              <w:jc w:val="right"/>
              <w:rPr>
                <w:sz w:val="20"/>
                <w:szCs w:val="20"/>
              </w:rPr>
            </w:pPr>
            <w:r w:rsidRPr="00047DE6">
              <w:rPr>
                <w:bCs/>
                <w:sz w:val="20"/>
                <w:szCs w:val="20"/>
              </w:rPr>
              <w:t>153 670,2</w:t>
            </w:r>
          </w:p>
        </w:tc>
        <w:tc>
          <w:tcPr>
            <w:tcW w:w="1509"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161,7</w:t>
            </w:r>
          </w:p>
        </w:tc>
        <w:tc>
          <w:tcPr>
            <w:tcW w:w="1046"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2,7</w:t>
            </w:r>
          </w:p>
        </w:tc>
      </w:tr>
      <w:tr w:rsidR="00467F9C" w:rsidRPr="00047DE6" w:rsidTr="00047DE6">
        <w:trPr>
          <w:trHeight w:val="304"/>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rPr>
                <w:sz w:val="20"/>
                <w:szCs w:val="20"/>
              </w:rPr>
            </w:pPr>
            <w:r w:rsidRPr="00047DE6">
              <w:rPr>
                <w:sz w:val="20"/>
                <w:szCs w:val="20"/>
              </w:rPr>
              <w:t>Прочие безвозмездные поступления</w:t>
            </w:r>
          </w:p>
        </w:tc>
        <w:tc>
          <w:tcPr>
            <w:tcW w:w="1296"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sz w:val="20"/>
                <w:szCs w:val="20"/>
              </w:rPr>
            </w:pPr>
            <w:r w:rsidRPr="00047DE6">
              <w:rPr>
                <w:sz w:val="20"/>
                <w:szCs w:val="20"/>
              </w:rPr>
              <w:t>8 811 738,2</w:t>
            </w:r>
          </w:p>
        </w:tc>
        <w:tc>
          <w:tcPr>
            <w:tcW w:w="1134"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047DE6">
            <w:pPr>
              <w:ind w:left="-123"/>
              <w:jc w:val="right"/>
              <w:rPr>
                <w:sz w:val="20"/>
                <w:szCs w:val="20"/>
              </w:rPr>
            </w:pPr>
            <w:r w:rsidRPr="00047DE6">
              <w:rPr>
                <w:sz w:val="20"/>
                <w:szCs w:val="20"/>
              </w:rPr>
              <w:t>1 594 247,0</w:t>
            </w:r>
          </w:p>
        </w:tc>
        <w:tc>
          <w:tcPr>
            <w:tcW w:w="1509"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18,1</w:t>
            </w:r>
          </w:p>
        </w:tc>
        <w:tc>
          <w:tcPr>
            <w:tcW w:w="1046"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28,4</w:t>
            </w:r>
          </w:p>
        </w:tc>
      </w:tr>
      <w:tr w:rsidR="00467F9C" w:rsidRPr="00047DE6" w:rsidTr="00047DE6">
        <w:trPr>
          <w:trHeight w:val="352"/>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Pr="00047DE6" w:rsidRDefault="00191861" w:rsidP="00191861">
            <w:pPr>
              <w:rPr>
                <w:sz w:val="20"/>
                <w:szCs w:val="20"/>
              </w:rPr>
            </w:pPr>
            <w:r w:rsidRPr="00047DE6">
              <w:rPr>
                <w:sz w:val="20"/>
                <w:szCs w:val="20"/>
              </w:rPr>
              <w:t>Доходы от возврата остатков межбюджетных трансфертов, имеющих целевое назначение, прошлых лет</w:t>
            </w:r>
          </w:p>
        </w:tc>
        <w:tc>
          <w:tcPr>
            <w:tcW w:w="1296"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sz w:val="20"/>
                <w:szCs w:val="20"/>
              </w:rPr>
            </w:pPr>
            <w:r w:rsidRPr="00047DE6">
              <w:rPr>
                <w:bCs/>
                <w:sz w:val="20"/>
                <w:szCs w:val="20"/>
              </w:rPr>
              <w:t>33 233,9</w:t>
            </w:r>
          </w:p>
        </w:tc>
        <w:tc>
          <w:tcPr>
            <w:tcW w:w="1134"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047DE6">
            <w:pPr>
              <w:ind w:left="-123"/>
              <w:jc w:val="right"/>
              <w:rPr>
                <w:sz w:val="20"/>
                <w:szCs w:val="20"/>
              </w:rPr>
            </w:pPr>
            <w:r w:rsidRPr="00047DE6">
              <w:rPr>
                <w:bCs/>
                <w:sz w:val="20"/>
                <w:szCs w:val="20"/>
              </w:rPr>
              <w:t>28 121,9</w:t>
            </w:r>
          </w:p>
        </w:tc>
        <w:tc>
          <w:tcPr>
            <w:tcW w:w="1509"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84,6</w:t>
            </w:r>
          </w:p>
        </w:tc>
        <w:tc>
          <w:tcPr>
            <w:tcW w:w="1046"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0,5</w:t>
            </w:r>
          </w:p>
        </w:tc>
      </w:tr>
      <w:tr w:rsidR="00467F9C" w:rsidRPr="00047DE6" w:rsidTr="00047DE6">
        <w:trPr>
          <w:trHeight w:val="333"/>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Default="00191861" w:rsidP="00191861">
            <w:pPr>
              <w:rPr>
                <w:sz w:val="20"/>
                <w:szCs w:val="20"/>
              </w:rPr>
            </w:pPr>
            <w:r w:rsidRPr="00047DE6">
              <w:rPr>
                <w:sz w:val="20"/>
                <w:szCs w:val="20"/>
              </w:rPr>
              <w:t>Возврат остатков межбюджетных трансфертов, имеющих целевое назначение, прошлых лет</w:t>
            </w:r>
          </w:p>
          <w:p w:rsidR="00047DE6" w:rsidRPr="00047DE6" w:rsidRDefault="00047DE6" w:rsidP="00191861">
            <w:pPr>
              <w:rPr>
                <w:sz w:val="4"/>
                <w:szCs w:val="4"/>
              </w:rPr>
            </w:pPr>
          </w:p>
          <w:p w:rsidR="00047DE6" w:rsidRPr="00047DE6" w:rsidRDefault="00047DE6" w:rsidP="00191861">
            <w:pPr>
              <w:rPr>
                <w:sz w:val="4"/>
                <w:szCs w:val="4"/>
              </w:rPr>
            </w:pPr>
          </w:p>
        </w:tc>
        <w:tc>
          <w:tcPr>
            <w:tcW w:w="1296"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191861">
            <w:pPr>
              <w:jc w:val="right"/>
              <w:rPr>
                <w:sz w:val="20"/>
                <w:szCs w:val="20"/>
              </w:rPr>
            </w:pPr>
            <w:r w:rsidRPr="00047DE6">
              <w:rPr>
                <w:bCs/>
                <w:sz w:val="20"/>
                <w:szCs w:val="20"/>
              </w:rPr>
              <w:t>-186,5</w:t>
            </w:r>
          </w:p>
        </w:tc>
        <w:tc>
          <w:tcPr>
            <w:tcW w:w="1134" w:type="dxa"/>
            <w:tcBorders>
              <w:top w:val="nil"/>
              <w:left w:val="nil"/>
              <w:bottom w:val="single" w:sz="4" w:space="0" w:color="auto"/>
              <w:right w:val="single" w:sz="4" w:space="0" w:color="auto"/>
            </w:tcBorders>
            <w:shd w:val="clear" w:color="auto" w:fill="auto"/>
            <w:noWrap/>
            <w:vAlign w:val="center"/>
            <w:hideMark/>
          </w:tcPr>
          <w:p w:rsidR="00191861" w:rsidRPr="00047DE6" w:rsidRDefault="00191861" w:rsidP="00047DE6">
            <w:pPr>
              <w:ind w:left="-123"/>
              <w:jc w:val="right"/>
              <w:rPr>
                <w:sz w:val="20"/>
                <w:szCs w:val="20"/>
              </w:rPr>
            </w:pPr>
            <w:r w:rsidRPr="00047DE6">
              <w:rPr>
                <w:bCs/>
                <w:sz w:val="20"/>
                <w:szCs w:val="20"/>
              </w:rPr>
              <w:t>-57 204,8</w:t>
            </w:r>
          </w:p>
        </w:tc>
        <w:tc>
          <w:tcPr>
            <w:tcW w:w="1509"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более чем в 300 раз</w:t>
            </w:r>
          </w:p>
        </w:tc>
        <w:tc>
          <w:tcPr>
            <w:tcW w:w="1046" w:type="dxa"/>
            <w:tcBorders>
              <w:top w:val="nil"/>
              <w:left w:val="nil"/>
              <w:bottom w:val="single" w:sz="4" w:space="0" w:color="auto"/>
              <w:right w:val="single" w:sz="4" w:space="0" w:color="auto"/>
            </w:tcBorders>
            <w:shd w:val="clear" w:color="auto" w:fill="auto"/>
            <w:vAlign w:val="center"/>
            <w:hideMark/>
          </w:tcPr>
          <w:p w:rsidR="00191861" w:rsidRPr="00047DE6" w:rsidRDefault="00191861" w:rsidP="00191861">
            <w:pPr>
              <w:jc w:val="center"/>
              <w:rPr>
                <w:sz w:val="20"/>
                <w:szCs w:val="20"/>
              </w:rPr>
            </w:pPr>
            <w:r w:rsidRPr="00047DE6">
              <w:rPr>
                <w:sz w:val="20"/>
                <w:szCs w:val="20"/>
              </w:rPr>
              <w:t>-1,0</w:t>
            </w:r>
          </w:p>
        </w:tc>
      </w:tr>
    </w:tbl>
    <w:p w:rsidR="00191861" w:rsidRPr="00467F9C" w:rsidRDefault="00191861" w:rsidP="00191861">
      <w:pPr>
        <w:widowControl w:val="0"/>
        <w:shd w:val="clear" w:color="auto" w:fill="FFFFFF"/>
        <w:suppressAutoHyphens/>
        <w:spacing w:before="120"/>
        <w:ind w:firstLine="709"/>
        <w:jc w:val="both"/>
        <w:rPr>
          <w:rFonts w:eastAsia="DejaVu Sans"/>
          <w:kern w:val="1"/>
          <w:sz w:val="28"/>
          <w:szCs w:val="28"/>
          <w:lang w:eastAsia="ar-SA"/>
        </w:rPr>
      </w:pPr>
      <w:r w:rsidRPr="00467F9C">
        <w:rPr>
          <w:rFonts w:eastAsia="DejaVu Sans"/>
          <w:kern w:val="1"/>
          <w:sz w:val="28"/>
          <w:szCs w:val="28"/>
          <w:lang w:eastAsia="ar-SA"/>
        </w:rPr>
        <w:t>В отчетном периоде из федерального бюджета получены дотации в объеме 3 423 603,0 тыс. рублей, в том числе:</w:t>
      </w:r>
    </w:p>
    <w:p w:rsidR="00191861" w:rsidRPr="00467F9C" w:rsidRDefault="00191861" w:rsidP="00191861">
      <w:pPr>
        <w:widowControl w:val="0"/>
        <w:shd w:val="clear" w:color="auto" w:fill="FFFFFF"/>
        <w:suppressAutoHyphens/>
        <w:ind w:firstLine="709"/>
        <w:jc w:val="both"/>
        <w:rPr>
          <w:rFonts w:eastAsia="DejaVu Sans"/>
          <w:kern w:val="1"/>
          <w:sz w:val="28"/>
          <w:szCs w:val="28"/>
          <w:lang w:eastAsia="ar-SA"/>
        </w:rPr>
      </w:pPr>
      <w:r w:rsidRPr="00467F9C">
        <w:rPr>
          <w:rFonts w:eastAsia="DejaVu Sans"/>
          <w:kern w:val="1"/>
          <w:sz w:val="28"/>
          <w:szCs w:val="28"/>
          <w:lang w:eastAsia="ar-SA"/>
        </w:rPr>
        <w:t xml:space="preserve">- на выравнивание бюджетной обеспеченности – 3 377 055,0 тыс. рублей; </w:t>
      </w:r>
    </w:p>
    <w:p w:rsidR="00191861" w:rsidRPr="00467F9C" w:rsidRDefault="00191861" w:rsidP="00191861">
      <w:pPr>
        <w:widowControl w:val="0"/>
        <w:shd w:val="clear" w:color="auto" w:fill="FFFFFF"/>
        <w:suppressAutoHyphens/>
        <w:ind w:firstLine="709"/>
        <w:jc w:val="both"/>
        <w:rPr>
          <w:rFonts w:eastAsia="DejaVu Sans"/>
          <w:kern w:val="1"/>
          <w:sz w:val="28"/>
          <w:szCs w:val="28"/>
          <w:highlight w:val="yellow"/>
          <w:lang w:eastAsia="ar-SA"/>
        </w:rPr>
      </w:pPr>
      <w:r w:rsidRPr="00467F9C">
        <w:rPr>
          <w:rFonts w:eastAsia="DejaVu Sans"/>
          <w:kern w:val="1"/>
          <w:sz w:val="28"/>
          <w:szCs w:val="28"/>
          <w:lang w:eastAsia="ar-SA"/>
        </w:rPr>
        <w:t>- на частичную компенсацию дополнительных расходов на повышение оплаты труда работников бюджетной сферы и иные цели – 46 548,0 тыс. рублей.</w:t>
      </w:r>
    </w:p>
    <w:p w:rsidR="00191861" w:rsidRPr="00467F9C" w:rsidRDefault="00191861" w:rsidP="00191861">
      <w:pPr>
        <w:widowControl w:val="0"/>
        <w:suppressAutoHyphens/>
        <w:ind w:firstLine="709"/>
        <w:jc w:val="both"/>
        <w:rPr>
          <w:rFonts w:eastAsia="DejaVu Sans"/>
          <w:kern w:val="1"/>
          <w:sz w:val="28"/>
          <w:szCs w:val="28"/>
          <w:lang w:eastAsia="ar-SA"/>
        </w:rPr>
      </w:pPr>
      <w:r w:rsidRPr="00467F9C">
        <w:rPr>
          <w:rFonts w:eastAsia="DejaVu Sans"/>
          <w:kern w:val="1"/>
          <w:sz w:val="28"/>
          <w:szCs w:val="28"/>
          <w:lang w:eastAsia="ar-SA"/>
        </w:rPr>
        <w:lastRenderedPageBreak/>
        <w:t xml:space="preserve">Субсидии поступили </w:t>
      </w:r>
      <w:r w:rsidRPr="00467F9C">
        <w:rPr>
          <w:sz w:val="28"/>
          <w:szCs w:val="28"/>
        </w:rPr>
        <w:t>в объеме</w:t>
      </w:r>
      <w:r w:rsidRPr="00467F9C">
        <w:rPr>
          <w:rFonts w:eastAsia="DejaVu Sans"/>
          <w:kern w:val="1"/>
          <w:sz w:val="28"/>
          <w:szCs w:val="28"/>
          <w:lang w:eastAsia="ar-SA"/>
        </w:rPr>
        <w:t xml:space="preserve"> 219 040,0 тыс. рублей или 3,2% плановых назначений (из 48 плановых поступило 9 видов субсидий), субвенции – 90 322,8 тыс. рублей или 16,3% утвержденных назначений (</w:t>
      </w:r>
      <w:r w:rsidRPr="00467F9C">
        <w:rPr>
          <w:sz w:val="28"/>
          <w:szCs w:val="28"/>
        </w:rPr>
        <w:t>из 13 плановых – 8 видов)</w:t>
      </w:r>
      <w:r w:rsidRPr="00467F9C">
        <w:rPr>
          <w:rFonts w:eastAsia="DejaVu Sans"/>
          <w:kern w:val="1"/>
          <w:sz w:val="28"/>
          <w:szCs w:val="28"/>
          <w:lang w:eastAsia="ar-SA"/>
        </w:rPr>
        <w:t xml:space="preserve"> и иных межбюджетных трансфертов – 162 022,2 тыс. рублей (12,2% плана) – 7 видов из 16 утвержденных, в том числе межбюджетный трансферт передаваемый бюджетам субъектов за счет средств резервного фонда поступил в объеме 7 725,3 тыс. рублей.</w:t>
      </w:r>
    </w:p>
    <w:p w:rsidR="00191861" w:rsidRPr="00467F9C" w:rsidRDefault="00191861" w:rsidP="00191861">
      <w:pPr>
        <w:widowControl w:val="0"/>
        <w:shd w:val="clear" w:color="auto" w:fill="FFFFFF"/>
        <w:suppressAutoHyphens/>
        <w:ind w:firstLine="709"/>
        <w:jc w:val="both"/>
        <w:rPr>
          <w:rFonts w:eastAsia="DejaVu Sans"/>
          <w:kern w:val="1"/>
          <w:sz w:val="28"/>
          <w:szCs w:val="28"/>
          <w:lang w:eastAsia="ar-SA"/>
        </w:rPr>
      </w:pPr>
      <w:r w:rsidRPr="00467F9C">
        <w:rPr>
          <w:rFonts w:eastAsia="DejaVu Sans"/>
          <w:kern w:val="1"/>
          <w:sz w:val="28"/>
          <w:szCs w:val="28"/>
          <w:lang w:eastAsia="ar-SA"/>
        </w:rPr>
        <w:t xml:space="preserve">Прочие безвозмездные поступления составили 1 594 247,0 тыс. рублей –целевые взносы ПАО «Федеральная гидрогенерирующая компания – РусГидро», в соответствии с Распоряжением Правительства Российской Федерации от 29 декабря 2021 года №3965-р, в связи с доведением цен (тарифов) на электрическую энергию (мощность) до базовых уровней. </w:t>
      </w:r>
    </w:p>
    <w:p w:rsidR="00191861" w:rsidRPr="00467F9C" w:rsidRDefault="00191861" w:rsidP="00191861">
      <w:pPr>
        <w:widowControl w:val="0"/>
        <w:shd w:val="clear" w:color="auto" w:fill="FFFFFF"/>
        <w:suppressAutoHyphens/>
        <w:ind w:firstLine="709"/>
        <w:jc w:val="both"/>
        <w:rPr>
          <w:rFonts w:eastAsia="DejaVu Sans"/>
          <w:kern w:val="1"/>
          <w:sz w:val="28"/>
          <w:szCs w:val="28"/>
          <w:lang w:eastAsia="ar-SA"/>
        </w:rPr>
      </w:pPr>
      <w:r w:rsidRPr="00467F9C">
        <w:rPr>
          <w:rFonts w:eastAsia="DejaVu Sans"/>
          <w:kern w:val="1"/>
          <w:sz w:val="28"/>
          <w:szCs w:val="28"/>
          <w:lang w:eastAsia="ar-SA"/>
        </w:rPr>
        <w:t>Доходы окружного бюджета от возврата остатков субсидий, субвенций и иных межбюджетных трансфертов, имеющих целевое назначение, прошлых лет в отчетном периоде составили 28 121,9 тыс. рублей.</w:t>
      </w:r>
    </w:p>
    <w:p w:rsidR="00191861" w:rsidRPr="00467F9C" w:rsidRDefault="00191861" w:rsidP="00191861">
      <w:pPr>
        <w:widowControl w:val="0"/>
        <w:shd w:val="clear" w:color="auto" w:fill="FFFFFF"/>
        <w:suppressAutoHyphens/>
        <w:ind w:firstLine="709"/>
        <w:jc w:val="both"/>
        <w:rPr>
          <w:rFonts w:eastAsia="DejaVu Sans"/>
          <w:kern w:val="1"/>
          <w:sz w:val="28"/>
          <w:szCs w:val="28"/>
          <w:lang w:eastAsia="ar-SA"/>
        </w:rPr>
      </w:pPr>
      <w:r w:rsidRPr="00467F9C">
        <w:rPr>
          <w:rFonts w:eastAsia="DejaVu Sans"/>
          <w:kern w:val="1"/>
          <w:sz w:val="28"/>
          <w:szCs w:val="28"/>
          <w:lang w:eastAsia="ar-SA"/>
        </w:rPr>
        <w:t xml:space="preserve">Возврат в федеральный бюджет остатков субсидий, субвенций и иных межбюджетных трансфертов, имеющих целевое назначение, прошлых лет составил 57 204,8 тыс. рублей, из них 52 350,5 тыс. рублей – возврат Департаментом здравоохранения Чукотского автономного округа трансферта предоставленного территориальному фонду обязательного медицинского страхования на дополнительное финансовое обеспечение оказания медицинской помощи лицам, застрахованным по обязательному медицинскому страхованию, в том числе с заболеванием и (или) подозрением на заболевание новой </w:t>
      </w:r>
      <w:proofErr w:type="spellStart"/>
      <w:r w:rsidRPr="00467F9C">
        <w:rPr>
          <w:rFonts w:eastAsia="DejaVu Sans"/>
          <w:kern w:val="1"/>
          <w:sz w:val="28"/>
          <w:szCs w:val="28"/>
          <w:lang w:eastAsia="ar-SA"/>
        </w:rPr>
        <w:t>коронавирусной</w:t>
      </w:r>
      <w:proofErr w:type="spellEnd"/>
      <w:r w:rsidRPr="00467F9C">
        <w:rPr>
          <w:rFonts w:eastAsia="DejaVu Sans"/>
          <w:kern w:val="1"/>
          <w:sz w:val="28"/>
          <w:szCs w:val="28"/>
          <w:lang w:eastAsia="ar-SA"/>
        </w:rPr>
        <w:t xml:space="preserve">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территориальных фондов обязательного медицинского страхования</w:t>
      </w:r>
    </w:p>
    <w:p w:rsidR="00191861" w:rsidRPr="00467F9C" w:rsidRDefault="00191861" w:rsidP="00191861">
      <w:pPr>
        <w:spacing w:before="240" w:after="120"/>
        <w:jc w:val="center"/>
        <w:rPr>
          <w:b/>
          <w:sz w:val="28"/>
          <w:szCs w:val="28"/>
        </w:rPr>
      </w:pPr>
      <w:r w:rsidRPr="00467F9C">
        <w:rPr>
          <w:b/>
          <w:sz w:val="28"/>
          <w:szCs w:val="28"/>
        </w:rPr>
        <w:t>Расходы окружного бюджета</w:t>
      </w:r>
    </w:p>
    <w:p w:rsidR="00191861" w:rsidRPr="00467F9C" w:rsidRDefault="00191861" w:rsidP="00191861">
      <w:pPr>
        <w:ind w:firstLine="709"/>
        <w:jc w:val="both"/>
        <w:rPr>
          <w:sz w:val="28"/>
          <w:szCs w:val="28"/>
        </w:rPr>
      </w:pPr>
      <w:r w:rsidRPr="00467F9C">
        <w:rPr>
          <w:sz w:val="28"/>
          <w:szCs w:val="28"/>
        </w:rPr>
        <w:t>В отчетном периоде расходы окружного бюджета составили 8 700 921,1 тыс. рублей или 16,3% годовых утвержденных сводной бюджетной росписью ассигнований.</w:t>
      </w:r>
    </w:p>
    <w:p w:rsidR="00191861" w:rsidRPr="00467F9C" w:rsidRDefault="00191861" w:rsidP="00191861">
      <w:pPr>
        <w:ind w:firstLine="709"/>
        <w:jc w:val="both"/>
        <w:rPr>
          <w:sz w:val="28"/>
          <w:szCs w:val="28"/>
        </w:rPr>
      </w:pPr>
      <w:r w:rsidRPr="00467F9C">
        <w:rPr>
          <w:sz w:val="28"/>
          <w:szCs w:val="28"/>
        </w:rPr>
        <w:t>Информация об исполнении окружного бюджета за 1 квартал 2022 года по расходам в разрезе разделов функциональной классификации расходов бюджетов представлена в таблице №8.</w:t>
      </w:r>
    </w:p>
    <w:p w:rsidR="00191861" w:rsidRPr="00467F9C" w:rsidRDefault="00191861" w:rsidP="00191861">
      <w:pPr>
        <w:tabs>
          <w:tab w:val="left" w:pos="709"/>
        </w:tabs>
        <w:jc w:val="right"/>
        <w:rPr>
          <w:sz w:val="28"/>
          <w:szCs w:val="28"/>
        </w:rPr>
      </w:pPr>
      <w:r w:rsidRPr="00467F9C">
        <w:rPr>
          <w:sz w:val="28"/>
          <w:szCs w:val="28"/>
        </w:rPr>
        <w:t>Таблица №8</w:t>
      </w:r>
    </w:p>
    <w:p w:rsidR="00191861" w:rsidRPr="00467F9C" w:rsidRDefault="00191861" w:rsidP="00191861">
      <w:pPr>
        <w:tabs>
          <w:tab w:val="left" w:pos="709"/>
        </w:tabs>
        <w:jc w:val="right"/>
        <w:rPr>
          <w:sz w:val="28"/>
          <w:szCs w:val="28"/>
        </w:rPr>
      </w:pPr>
      <w:r w:rsidRPr="00467F9C">
        <w:rPr>
          <w:sz w:val="28"/>
          <w:szCs w:val="28"/>
        </w:rPr>
        <w:t>(тыс. рублей)</w:t>
      </w:r>
    </w:p>
    <w:tbl>
      <w:tblPr>
        <w:tblW w:w="9646" w:type="dxa"/>
        <w:tblLook w:val="04A0" w:firstRow="1" w:lastRow="0" w:firstColumn="1" w:lastColumn="0" w:noHBand="0" w:noVBand="1"/>
      </w:tblPr>
      <w:tblGrid>
        <w:gridCol w:w="4248"/>
        <w:gridCol w:w="1418"/>
        <w:gridCol w:w="1278"/>
        <w:gridCol w:w="1561"/>
        <w:gridCol w:w="1141"/>
      </w:tblGrid>
      <w:tr w:rsidR="00467F9C" w:rsidRPr="002D6954" w:rsidTr="002D6954">
        <w:trPr>
          <w:trHeight w:val="181"/>
        </w:trPr>
        <w:tc>
          <w:tcPr>
            <w:tcW w:w="42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2D6954" w:rsidRDefault="00191861" w:rsidP="00191861">
            <w:pPr>
              <w:jc w:val="center"/>
              <w:rPr>
                <w:sz w:val="20"/>
                <w:szCs w:val="20"/>
              </w:rPr>
            </w:pPr>
            <w:r w:rsidRPr="002D6954">
              <w:rPr>
                <w:sz w:val="20"/>
                <w:szCs w:val="20"/>
              </w:rPr>
              <w:t>Наименование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1861" w:rsidRPr="002D6954" w:rsidRDefault="00191861" w:rsidP="00191861">
            <w:pPr>
              <w:jc w:val="center"/>
              <w:rPr>
                <w:sz w:val="20"/>
                <w:szCs w:val="20"/>
              </w:rPr>
            </w:pPr>
            <w:r w:rsidRPr="002D6954">
              <w:rPr>
                <w:sz w:val="20"/>
                <w:szCs w:val="20"/>
              </w:rPr>
              <w:t>Утверждено на 2022 год</w:t>
            </w:r>
          </w:p>
        </w:tc>
        <w:tc>
          <w:tcPr>
            <w:tcW w:w="3980" w:type="dxa"/>
            <w:gridSpan w:val="3"/>
            <w:tcBorders>
              <w:top w:val="single" w:sz="4" w:space="0" w:color="auto"/>
              <w:left w:val="nil"/>
              <w:bottom w:val="single" w:sz="4" w:space="0" w:color="auto"/>
              <w:right w:val="single" w:sz="4" w:space="0" w:color="auto"/>
            </w:tcBorders>
            <w:shd w:val="clear" w:color="auto" w:fill="auto"/>
            <w:vAlign w:val="center"/>
            <w:hideMark/>
          </w:tcPr>
          <w:p w:rsidR="00191861" w:rsidRDefault="00191861" w:rsidP="00191861">
            <w:pPr>
              <w:jc w:val="center"/>
              <w:rPr>
                <w:sz w:val="20"/>
                <w:szCs w:val="20"/>
              </w:rPr>
            </w:pPr>
            <w:r w:rsidRPr="002D6954">
              <w:rPr>
                <w:sz w:val="20"/>
                <w:szCs w:val="20"/>
              </w:rPr>
              <w:t>Исполнено за 1 квартал 2022 года</w:t>
            </w:r>
          </w:p>
          <w:p w:rsidR="00874971" w:rsidRPr="00874971" w:rsidRDefault="00874971" w:rsidP="00191861">
            <w:pPr>
              <w:jc w:val="center"/>
              <w:rPr>
                <w:sz w:val="4"/>
                <w:szCs w:val="4"/>
              </w:rPr>
            </w:pPr>
          </w:p>
        </w:tc>
      </w:tr>
      <w:tr w:rsidR="00467F9C" w:rsidRPr="002D6954" w:rsidTr="002D6954">
        <w:trPr>
          <w:trHeight w:val="35"/>
        </w:trPr>
        <w:tc>
          <w:tcPr>
            <w:tcW w:w="4248" w:type="dxa"/>
            <w:vMerge/>
            <w:tcBorders>
              <w:top w:val="single" w:sz="4" w:space="0" w:color="auto"/>
              <w:left w:val="single" w:sz="4" w:space="0" w:color="auto"/>
              <w:bottom w:val="single" w:sz="4" w:space="0" w:color="auto"/>
              <w:right w:val="single" w:sz="4" w:space="0" w:color="auto"/>
            </w:tcBorders>
            <w:vAlign w:val="center"/>
            <w:hideMark/>
          </w:tcPr>
          <w:p w:rsidR="00191861" w:rsidRPr="002D6954" w:rsidRDefault="00191861" w:rsidP="00191861">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91861" w:rsidRPr="002D6954" w:rsidRDefault="00191861" w:rsidP="00191861">
            <w:pPr>
              <w:rPr>
                <w:sz w:val="20"/>
                <w:szCs w:val="20"/>
              </w:rPr>
            </w:pPr>
          </w:p>
        </w:tc>
        <w:tc>
          <w:tcPr>
            <w:tcW w:w="1278" w:type="dxa"/>
            <w:tcBorders>
              <w:top w:val="nil"/>
              <w:left w:val="nil"/>
              <w:bottom w:val="single" w:sz="4" w:space="0" w:color="auto"/>
              <w:right w:val="single" w:sz="4" w:space="0" w:color="auto"/>
            </w:tcBorders>
            <w:shd w:val="clear" w:color="auto" w:fill="auto"/>
            <w:vAlign w:val="center"/>
            <w:hideMark/>
          </w:tcPr>
          <w:p w:rsidR="00191861" w:rsidRPr="002D6954" w:rsidRDefault="00191861" w:rsidP="00191861">
            <w:pPr>
              <w:jc w:val="center"/>
              <w:rPr>
                <w:sz w:val="20"/>
                <w:szCs w:val="20"/>
              </w:rPr>
            </w:pPr>
            <w:r w:rsidRPr="002D6954">
              <w:rPr>
                <w:sz w:val="20"/>
                <w:szCs w:val="20"/>
              </w:rPr>
              <w:t>сумма</w:t>
            </w:r>
          </w:p>
        </w:tc>
        <w:tc>
          <w:tcPr>
            <w:tcW w:w="1561" w:type="dxa"/>
            <w:tcBorders>
              <w:top w:val="nil"/>
              <w:left w:val="nil"/>
              <w:bottom w:val="single" w:sz="4" w:space="0" w:color="auto"/>
              <w:right w:val="single" w:sz="4" w:space="0" w:color="auto"/>
            </w:tcBorders>
            <w:shd w:val="clear" w:color="auto" w:fill="auto"/>
            <w:vAlign w:val="center"/>
            <w:hideMark/>
          </w:tcPr>
          <w:p w:rsidR="00191861" w:rsidRDefault="00191861" w:rsidP="00191861">
            <w:pPr>
              <w:jc w:val="center"/>
              <w:rPr>
                <w:sz w:val="20"/>
                <w:szCs w:val="20"/>
              </w:rPr>
            </w:pPr>
            <w:r w:rsidRPr="002D6954">
              <w:rPr>
                <w:sz w:val="20"/>
                <w:szCs w:val="20"/>
              </w:rPr>
              <w:t>уровень исполнения, %</w:t>
            </w:r>
          </w:p>
          <w:p w:rsidR="00874971" w:rsidRPr="00874971" w:rsidRDefault="00874971" w:rsidP="00191861">
            <w:pPr>
              <w:jc w:val="center"/>
              <w:rPr>
                <w:sz w:val="4"/>
                <w:szCs w:val="4"/>
              </w:rPr>
            </w:pPr>
          </w:p>
        </w:tc>
        <w:tc>
          <w:tcPr>
            <w:tcW w:w="1141" w:type="dxa"/>
            <w:tcBorders>
              <w:top w:val="nil"/>
              <w:left w:val="nil"/>
              <w:bottom w:val="single" w:sz="4" w:space="0" w:color="auto"/>
              <w:right w:val="single" w:sz="4" w:space="0" w:color="auto"/>
            </w:tcBorders>
            <w:shd w:val="clear" w:color="auto" w:fill="auto"/>
            <w:vAlign w:val="center"/>
            <w:hideMark/>
          </w:tcPr>
          <w:p w:rsidR="00191861" w:rsidRPr="002D6954" w:rsidRDefault="00191861" w:rsidP="00191861">
            <w:pPr>
              <w:jc w:val="center"/>
              <w:rPr>
                <w:sz w:val="20"/>
                <w:szCs w:val="20"/>
              </w:rPr>
            </w:pPr>
            <w:r w:rsidRPr="002D6954">
              <w:rPr>
                <w:sz w:val="20"/>
                <w:szCs w:val="20"/>
              </w:rPr>
              <w:t>удельный вес, %</w:t>
            </w:r>
          </w:p>
        </w:tc>
      </w:tr>
      <w:tr w:rsidR="00467F9C" w:rsidRPr="002D6954" w:rsidTr="002D6954">
        <w:trPr>
          <w:trHeight w:val="202"/>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191861" w:rsidRPr="002D6954" w:rsidRDefault="00191861" w:rsidP="00191861">
            <w:pPr>
              <w:jc w:val="center"/>
              <w:rPr>
                <w:sz w:val="20"/>
                <w:szCs w:val="20"/>
              </w:rPr>
            </w:pPr>
            <w:r w:rsidRPr="002D6954">
              <w:rPr>
                <w:sz w:val="20"/>
                <w:szCs w:val="20"/>
              </w:rPr>
              <w:t>1</w:t>
            </w:r>
          </w:p>
        </w:tc>
        <w:tc>
          <w:tcPr>
            <w:tcW w:w="1418" w:type="dxa"/>
            <w:tcBorders>
              <w:top w:val="nil"/>
              <w:left w:val="nil"/>
              <w:bottom w:val="single" w:sz="4" w:space="0" w:color="auto"/>
              <w:right w:val="single" w:sz="4" w:space="0" w:color="auto"/>
            </w:tcBorders>
            <w:shd w:val="clear" w:color="auto" w:fill="auto"/>
            <w:vAlign w:val="center"/>
            <w:hideMark/>
          </w:tcPr>
          <w:p w:rsidR="00191861" w:rsidRPr="002D6954" w:rsidRDefault="00191861" w:rsidP="00191861">
            <w:pPr>
              <w:jc w:val="center"/>
              <w:rPr>
                <w:sz w:val="20"/>
                <w:szCs w:val="20"/>
              </w:rPr>
            </w:pPr>
            <w:r w:rsidRPr="002D6954">
              <w:rPr>
                <w:sz w:val="20"/>
                <w:szCs w:val="20"/>
              </w:rPr>
              <w:t>2</w:t>
            </w:r>
          </w:p>
        </w:tc>
        <w:tc>
          <w:tcPr>
            <w:tcW w:w="1278" w:type="dxa"/>
            <w:tcBorders>
              <w:top w:val="nil"/>
              <w:left w:val="nil"/>
              <w:bottom w:val="single" w:sz="4" w:space="0" w:color="auto"/>
              <w:right w:val="single" w:sz="4" w:space="0" w:color="auto"/>
            </w:tcBorders>
            <w:shd w:val="clear" w:color="auto" w:fill="auto"/>
            <w:vAlign w:val="center"/>
            <w:hideMark/>
          </w:tcPr>
          <w:p w:rsidR="00191861" w:rsidRPr="002D6954" w:rsidRDefault="00191861" w:rsidP="00191861">
            <w:pPr>
              <w:jc w:val="center"/>
              <w:rPr>
                <w:sz w:val="20"/>
                <w:szCs w:val="20"/>
              </w:rPr>
            </w:pPr>
            <w:r w:rsidRPr="002D6954">
              <w:rPr>
                <w:sz w:val="20"/>
                <w:szCs w:val="20"/>
              </w:rPr>
              <w:t>3</w:t>
            </w:r>
          </w:p>
        </w:tc>
        <w:tc>
          <w:tcPr>
            <w:tcW w:w="1561" w:type="dxa"/>
            <w:tcBorders>
              <w:top w:val="nil"/>
              <w:left w:val="nil"/>
              <w:bottom w:val="single" w:sz="4" w:space="0" w:color="auto"/>
              <w:right w:val="single" w:sz="4" w:space="0" w:color="auto"/>
            </w:tcBorders>
            <w:shd w:val="clear" w:color="auto" w:fill="auto"/>
            <w:vAlign w:val="center"/>
            <w:hideMark/>
          </w:tcPr>
          <w:p w:rsidR="00191861" w:rsidRPr="002D6954" w:rsidRDefault="00191861" w:rsidP="00191861">
            <w:pPr>
              <w:jc w:val="center"/>
              <w:rPr>
                <w:sz w:val="20"/>
                <w:szCs w:val="20"/>
              </w:rPr>
            </w:pPr>
            <w:r w:rsidRPr="002D6954">
              <w:rPr>
                <w:sz w:val="20"/>
                <w:szCs w:val="20"/>
              </w:rPr>
              <w:t>4</w:t>
            </w:r>
          </w:p>
        </w:tc>
        <w:tc>
          <w:tcPr>
            <w:tcW w:w="1141" w:type="dxa"/>
            <w:tcBorders>
              <w:top w:val="nil"/>
              <w:left w:val="nil"/>
              <w:bottom w:val="single" w:sz="4" w:space="0" w:color="auto"/>
              <w:right w:val="single" w:sz="4" w:space="0" w:color="auto"/>
            </w:tcBorders>
            <w:shd w:val="clear" w:color="auto" w:fill="auto"/>
            <w:vAlign w:val="center"/>
            <w:hideMark/>
          </w:tcPr>
          <w:p w:rsidR="00191861" w:rsidRPr="002D6954" w:rsidRDefault="00191861" w:rsidP="00191861">
            <w:pPr>
              <w:jc w:val="center"/>
              <w:rPr>
                <w:sz w:val="20"/>
                <w:szCs w:val="20"/>
              </w:rPr>
            </w:pPr>
            <w:r w:rsidRPr="002D6954">
              <w:rPr>
                <w:sz w:val="20"/>
                <w:szCs w:val="20"/>
              </w:rPr>
              <w:t>5</w:t>
            </w:r>
          </w:p>
        </w:tc>
      </w:tr>
      <w:tr w:rsidR="00467F9C" w:rsidRPr="002D6954" w:rsidTr="002D6954">
        <w:trPr>
          <w:trHeight w:val="403"/>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191861" w:rsidRPr="002D6954" w:rsidRDefault="00191861" w:rsidP="00191861">
            <w:pPr>
              <w:rPr>
                <w:b/>
                <w:bCs/>
                <w:sz w:val="20"/>
                <w:szCs w:val="20"/>
              </w:rPr>
            </w:pPr>
            <w:r w:rsidRPr="002D6954">
              <w:rPr>
                <w:b/>
                <w:bCs/>
                <w:sz w:val="20"/>
                <w:szCs w:val="20"/>
              </w:rPr>
              <w:t>Всего расходов</w:t>
            </w:r>
          </w:p>
        </w:tc>
        <w:tc>
          <w:tcPr>
            <w:tcW w:w="1418" w:type="dxa"/>
            <w:tcBorders>
              <w:top w:val="nil"/>
              <w:left w:val="nil"/>
              <w:bottom w:val="single" w:sz="4" w:space="0" w:color="auto"/>
              <w:right w:val="single" w:sz="4" w:space="0" w:color="auto"/>
            </w:tcBorders>
            <w:shd w:val="clear" w:color="auto" w:fill="auto"/>
            <w:noWrap/>
            <w:vAlign w:val="center"/>
            <w:hideMark/>
          </w:tcPr>
          <w:p w:rsidR="00191861" w:rsidRPr="002D6954" w:rsidRDefault="00191861" w:rsidP="00191861">
            <w:pPr>
              <w:jc w:val="right"/>
              <w:rPr>
                <w:b/>
                <w:bCs/>
                <w:sz w:val="20"/>
                <w:szCs w:val="20"/>
              </w:rPr>
            </w:pPr>
            <w:r w:rsidRPr="002D6954">
              <w:rPr>
                <w:b/>
                <w:bCs/>
                <w:sz w:val="20"/>
                <w:szCs w:val="20"/>
              </w:rPr>
              <w:t>53 392 845,2</w:t>
            </w:r>
          </w:p>
        </w:tc>
        <w:tc>
          <w:tcPr>
            <w:tcW w:w="1278" w:type="dxa"/>
            <w:tcBorders>
              <w:top w:val="nil"/>
              <w:left w:val="nil"/>
              <w:bottom w:val="single" w:sz="4" w:space="0" w:color="auto"/>
              <w:right w:val="single" w:sz="4" w:space="0" w:color="auto"/>
            </w:tcBorders>
            <w:shd w:val="clear" w:color="auto" w:fill="auto"/>
            <w:noWrap/>
            <w:vAlign w:val="center"/>
            <w:hideMark/>
          </w:tcPr>
          <w:p w:rsidR="00191861" w:rsidRPr="002D6954" w:rsidRDefault="00191861" w:rsidP="00191861">
            <w:pPr>
              <w:jc w:val="right"/>
              <w:rPr>
                <w:b/>
                <w:bCs/>
                <w:sz w:val="20"/>
                <w:szCs w:val="20"/>
              </w:rPr>
            </w:pPr>
            <w:r w:rsidRPr="002D6954">
              <w:rPr>
                <w:b/>
                <w:bCs/>
                <w:sz w:val="20"/>
                <w:szCs w:val="20"/>
              </w:rPr>
              <w:t>8 700 921,1</w:t>
            </w:r>
          </w:p>
        </w:tc>
        <w:tc>
          <w:tcPr>
            <w:tcW w:w="1561" w:type="dxa"/>
            <w:tcBorders>
              <w:top w:val="nil"/>
              <w:left w:val="nil"/>
              <w:bottom w:val="single" w:sz="4" w:space="0" w:color="auto"/>
              <w:right w:val="single" w:sz="4" w:space="0" w:color="auto"/>
            </w:tcBorders>
            <w:shd w:val="clear" w:color="auto" w:fill="auto"/>
            <w:vAlign w:val="center"/>
            <w:hideMark/>
          </w:tcPr>
          <w:p w:rsidR="00191861" w:rsidRPr="002D6954" w:rsidRDefault="00191861" w:rsidP="00191861">
            <w:pPr>
              <w:jc w:val="center"/>
              <w:rPr>
                <w:b/>
                <w:bCs/>
                <w:sz w:val="20"/>
                <w:szCs w:val="20"/>
              </w:rPr>
            </w:pPr>
            <w:r w:rsidRPr="002D6954">
              <w:rPr>
                <w:b/>
                <w:bCs/>
                <w:sz w:val="20"/>
                <w:szCs w:val="20"/>
              </w:rPr>
              <w:t>16,3</w:t>
            </w:r>
          </w:p>
        </w:tc>
        <w:tc>
          <w:tcPr>
            <w:tcW w:w="1141" w:type="dxa"/>
            <w:tcBorders>
              <w:top w:val="nil"/>
              <w:left w:val="nil"/>
              <w:bottom w:val="single" w:sz="4" w:space="0" w:color="auto"/>
              <w:right w:val="single" w:sz="4" w:space="0" w:color="auto"/>
            </w:tcBorders>
            <w:shd w:val="clear" w:color="auto" w:fill="auto"/>
            <w:vAlign w:val="center"/>
            <w:hideMark/>
          </w:tcPr>
          <w:p w:rsidR="00191861" w:rsidRPr="002D6954" w:rsidRDefault="00191861" w:rsidP="00191861">
            <w:pPr>
              <w:jc w:val="center"/>
              <w:rPr>
                <w:b/>
                <w:bCs/>
                <w:sz w:val="20"/>
                <w:szCs w:val="20"/>
              </w:rPr>
            </w:pPr>
            <w:r w:rsidRPr="002D6954">
              <w:rPr>
                <w:b/>
                <w:bCs/>
                <w:sz w:val="20"/>
                <w:szCs w:val="20"/>
              </w:rPr>
              <w:t>100,0</w:t>
            </w:r>
          </w:p>
        </w:tc>
      </w:tr>
      <w:tr w:rsidR="00467F9C" w:rsidRPr="002D6954" w:rsidTr="002D6954">
        <w:trPr>
          <w:trHeight w:val="282"/>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191861" w:rsidRDefault="00191861" w:rsidP="00191861">
            <w:pPr>
              <w:rPr>
                <w:sz w:val="20"/>
                <w:szCs w:val="20"/>
              </w:rPr>
            </w:pPr>
            <w:r w:rsidRPr="002D6954">
              <w:rPr>
                <w:sz w:val="20"/>
                <w:szCs w:val="20"/>
              </w:rPr>
              <w:t>01 Общегосударственные расходы</w:t>
            </w:r>
          </w:p>
          <w:p w:rsidR="00874971" w:rsidRPr="00874971" w:rsidRDefault="00874971" w:rsidP="00191861">
            <w:pPr>
              <w:rPr>
                <w:sz w:val="16"/>
                <w:szCs w:val="16"/>
              </w:rPr>
            </w:pPr>
          </w:p>
          <w:p w:rsidR="00874971" w:rsidRPr="00874971" w:rsidRDefault="00874971" w:rsidP="00191861">
            <w:pPr>
              <w:rPr>
                <w:sz w:val="4"/>
                <w:szCs w:val="4"/>
              </w:rPr>
            </w:pPr>
          </w:p>
          <w:p w:rsidR="00874971" w:rsidRPr="00874971" w:rsidRDefault="00874971" w:rsidP="00191861">
            <w:pPr>
              <w:rPr>
                <w:sz w:val="4"/>
                <w:szCs w:val="4"/>
              </w:rPr>
            </w:pPr>
          </w:p>
        </w:tc>
        <w:tc>
          <w:tcPr>
            <w:tcW w:w="1418" w:type="dxa"/>
            <w:tcBorders>
              <w:top w:val="nil"/>
              <w:left w:val="nil"/>
              <w:bottom w:val="single" w:sz="4" w:space="0" w:color="auto"/>
              <w:right w:val="single" w:sz="4" w:space="0" w:color="auto"/>
            </w:tcBorders>
            <w:shd w:val="clear" w:color="auto" w:fill="auto"/>
            <w:noWrap/>
            <w:vAlign w:val="center"/>
            <w:hideMark/>
          </w:tcPr>
          <w:p w:rsidR="00191861" w:rsidRPr="002D6954" w:rsidRDefault="00191861" w:rsidP="00191861">
            <w:pPr>
              <w:jc w:val="right"/>
              <w:rPr>
                <w:sz w:val="20"/>
                <w:szCs w:val="20"/>
              </w:rPr>
            </w:pPr>
            <w:r w:rsidRPr="002D6954">
              <w:rPr>
                <w:sz w:val="20"/>
                <w:szCs w:val="20"/>
              </w:rPr>
              <w:t>1 652 017,7</w:t>
            </w:r>
          </w:p>
        </w:tc>
        <w:tc>
          <w:tcPr>
            <w:tcW w:w="1278" w:type="dxa"/>
            <w:tcBorders>
              <w:top w:val="nil"/>
              <w:left w:val="nil"/>
              <w:bottom w:val="single" w:sz="4" w:space="0" w:color="auto"/>
              <w:right w:val="single" w:sz="4" w:space="0" w:color="auto"/>
            </w:tcBorders>
            <w:shd w:val="clear" w:color="auto" w:fill="auto"/>
            <w:noWrap/>
            <w:vAlign w:val="center"/>
            <w:hideMark/>
          </w:tcPr>
          <w:p w:rsidR="00191861" w:rsidRPr="002D6954" w:rsidRDefault="00191861" w:rsidP="00191861">
            <w:pPr>
              <w:jc w:val="right"/>
              <w:rPr>
                <w:sz w:val="20"/>
                <w:szCs w:val="20"/>
              </w:rPr>
            </w:pPr>
            <w:r w:rsidRPr="002D6954">
              <w:rPr>
                <w:sz w:val="20"/>
                <w:szCs w:val="20"/>
              </w:rPr>
              <w:t>274 277,7</w:t>
            </w:r>
          </w:p>
        </w:tc>
        <w:tc>
          <w:tcPr>
            <w:tcW w:w="1561" w:type="dxa"/>
            <w:tcBorders>
              <w:top w:val="nil"/>
              <w:left w:val="nil"/>
              <w:bottom w:val="single" w:sz="4" w:space="0" w:color="auto"/>
              <w:right w:val="single" w:sz="4" w:space="0" w:color="auto"/>
            </w:tcBorders>
            <w:shd w:val="clear" w:color="auto" w:fill="auto"/>
            <w:vAlign w:val="center"/>
            <w:hideMark/>
          </w:tcPr>
          <w:p w:rsidR="00191861" w:rsidRPr="002D6954" w:rsidRDefault="00191861" w:rsidP="00191861">
            <w:pPr>
              <w:jc w:val="center"/>
              <w:rPr>
                <w:sz w:val="20"/>
                <w:szCs w:val="20"/>
              </w:rPr>
            </w:pPr>
            <w:r w:rsidRPr="002D6954">
              <w:rPr>
                <w:sz w:val="20"/>
                <w:szCs w:val="20"/>
              </w:rPr>
              <w:t>16,6</w:t>
            </w:r>
          </w:p>
        </w:tc>
        <w:tc>
          <w:tcPr>
            <w:tcW w:w="1141" w:type="dxa"/>
            <w:tcBorders>
              <w:top w:val="nil"/>
              <w:left w:val="nil"/>
              <w:bottom w:val="single" w:sz="4" w:space="0" w:color="auto"/>
              <w:right w:val="single" w:sz="4" w:space="0" w:color="auto"/>
            </w:tcBorders>
            <w:shd w:val="clear" w:color="auto" w:fill="auto"/>
            <w:vAlign w:val="center"/>
            <w:hideMark/>
          </w:tcPr>
          <w:p w:rsidR="00191861" w:rsidRPr="002D6954" w:rsidRDefault="00191861" w:rsidP="00191861">
            <w:pPr>
              <w:jc w:val="center"/>
              <w:rPr>
                <w:sz w:val="20"/>
                <w:szCs w:val="20"/>
              </w:rPr>
            </w:pPr>
            <w:r w:rsidRPr="002D6954">
              <w:rPr>
                <w:sz w:val="20"/>
                <w:szCs w:val="20"/>
              </w:rPr>
              <w:t>3,2</w:t>
            </w:r>
          </w:p>
        </w:tc>
      </w:tr>
      <w:tr w:rsidR="00467F9C" w:rsidRPr="002D6954" w:rsidTr="002D6954">
        <w:trPr>
          <w:trHeight w:val="413"/>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191861" w:rsidRPr="002D6954" w:rsidRDefault="00191861" w:rsidP="00191861">
            <w:pPr>
              <w:rPr>
                <w:sz w:val="20"/>
                <w:szCs w:val="20"/>
              </w:rPr>
            </w:pPr>
            <w:r w:rsidRPr="002D6954">
              <w:rPr>
                <w:sz w:val="20"/>
                <w:szCs w:val="20"/>
              </w:rPr>
              <w:t>02 Национальная оборона</w:t>
            </w:r>
          </w:p>
        </w:tc>
        <w:tc>
          <w:tcPr>
            <w:tcW w:w="1418" w:type="dxa"/>
            <w:tcBorders>
              <w:top w:val="nil"/>
              <w:left w:val="nil"/>
              <w:bottom w:val="single" w:sz="4" w:space="0" w:color="auto"/>
              <w:right w:val="single" w:sz="4" w:space="0" w:color="auto"/>
            </w:tcBorders>
            <w:shd w:val="clear" w:color="auto" w:fill="auto"/>
            <w:noWrap/>
            <w:vAlign w:val="center"/>
            <w:hideMark/>
          </w:tcPr>
          <w:p w:rsidR="00191861" w:rsidRPr="002D6954" w:rsidRDefault="00191861" w:rsidP="00191861">
            <w:pPr>
              <w:jc w:val="right"/>
              <w:rPr>
                <w:sz w:val="20"/>
                <w:szCs w:val="20"/>
              </w:rPr>
            </w:pPr>
            <w:r w:rsidRPr="002D6954">
              <w:rPr>
                <w:sz w:val="20"/>
                <w:szCs w:val="20"/>
              </w:rPr>
              <w:t>6 223,9</w:t>
            </w:r>
          </w:p>
        </w:tc>
        <w:tc>
          <w:tcPr>
            <w:tcW w:w="1278" w:type="dxa"/>
            <w:tcBorders>
              <w:top w:val="nil"/>
              <w:left w:val="nil"/>
              <w:bottom w:val="single" w:sz="4" w:space="0" w:color="auto"/>
              <w:right w:val="single" w:sz="4" w:space="0" w:color="auto"/>
            </w:tcBorders>
            <w:shd w:val="clear" w:color="auto" w:fill="auto"/>
            <w:noWrap/>
            <w:vAlign w:val="center"/>
            <w:hideMark/>
          </w:tcPr>
          <w:p w:rsidR="00191861" w:rsidRPr="002D6954" w:rsidRDefault="00191861" w:rsidP="00191861">
            <w:pPr>
              <w:jc w:val="right"/>
              <w:rPr>
                <w:sz w:val="20"/>
                <w:szCs w:val="20"/>
              </w:rPr>
            </w:pPr>
            <w:r w:rsidRPr="002D6954">
              <w:rPr>
                <w:sz w:val="20"/>
                <w:szCs w:val="20"/>
              </w:rPr>
              <w:t>1 005,6</w:t>
            </w:r>
          </w:p>
        </w:tc>
        <w:tc>
          <w:tcPr>
            <w:tcW w:w="1561" w:type="dxa"/>
            <w:tcBorders>
              <w:top w:val="nil"/>
              <w:left w:val="nil"/>
              <w:bottom w:val="single" w:sz="4" w:space="0" w:color="auto"/>
              <w:right w:val="single" w:sz="4" w:space="0" w:color="auto"/>
            </w:tcBorders>
            <w:shd w:val="clear" w:color="auto" w:fill="auto"/>
            <w:vAlign w:val="center"/>
            <w:hideMark/>
          </w:tcPr>
          <w:p w:rsidR="00191861" w:rsidRPr="002D6954" w:rsidRDefault="00191861" w:rsidP="00191861">
            <w:pPr>
              <w:jc w:val="center"/>
              <w:rPr>
                <w:sz w:val="20"/>
                <w:szCs w:val="20"/>
              </w:rPr>
            </w:pPr>
            <w:r w:rsidRPr="002D6954">
              <w:rPr>
                <w:sz w:val="20"/>
                <w:szCs w:val="20"/>
              </w:rPr>
              <w:t>16,2</w:t>
            </w:r>
          </w:p>
        </w:tc>
        <w:tc>
          <w:tcPr>
            <w:tcW w:w="1141" w:type="dxa"/>
            <w:tcBorders>
              <w:top w:val="nil"/>
              <w:left w:val="nil"/>
              <w:bottom w:val="single" w:sz="4" w:space="0" w:color="auto"/>
              <w:right w:val="single" w:sz="4" w:space="0" w:color="auto"/>
            </w:tcBorders>
            <w:shd w:val="clear" w:color="auto" w:fill="auto"/>
            <w:vAlign w:val="center"/>
            <w:hideMark/>
          </w:tcPr>
          <w:p w:rsidR="00191861" w:rsidRPr="002D6954" w:rsidRDefault="00191861" w:rsidP="00191861">
            <w:pPr>
              <w:jc w:val="center"/>
              <w:rPr>
                <w:sz w:val="20"/>
                <w:szCs w:val="20"/>
              </w:rPr>
            </w:pPr>
            <w:r w:rsidRPr="002D6954">
              <w:rPr>
                <w:sz w:val="20"/>
                <w:szCs w:val="20"/>
              </w:rPr>
              <w:t>-</w:t>
            </w:r>
          </w:p>
        </w:tc>
      </w:tr>
      <w:tr w:rsidR="00874971" w:rsidRPr="002D6954" w:rsidTr="00597E90">
        <w:trPr>
          <w:trHeight w:val="33"/>
        </w:trPr>
        <w:tc>
          <w:tcPr>
            <w:tcW w:w="4248" w:type="dxa"/>
            <w:vMerge w:val="restart"/>
            <w:tcBorders>
              <w:top w:val="single" w:sz="4" w:space="0" w:color="auto"/>
              <w:left w:val="single" w:sz="4" w:space="0" w:color="auto"/>
              <w:right w:val="single" w:sz="4" w:space="0" w:color="auto"/>
            </w:tcBorders>
            <w:shd w:val="clear" w:color="auto" w:fill="auto"/>
            <w:vAlign w:val="center"/>
          </w:tcPr>
          <w:p w:rsidR="00874971" w:rsidRPr="002D6954" w:rsidRDefault="00874971" w:rsidP="00874971">
            <w:pPr>
              <w:jc w:val="center"/>
              <w:rPr>
                <w:sz w:val="20"/>
                <w:szCs w:val="20"/>
              </w:rPr>
            </w:pPr>
            <w:r w:rsidRPr="002D6954">
              <w:rPr>
                <w:sz w:val="20"/>
                <w:szCs w:val="20"/>
              </w:rPr>
              <w:lastRenderedPageBreak/>
              <w:t>Наименование показателя</w:t>
            </w:r>
          </w:p>
        </w:tc>
        <w:tc>
          <w:tcPr>
            <w:tcW w:w="1418" w:type="dxa"/>
            <w:vMerge w:val="restart"/>
            <w:tcBorders>
              <w:top w:val="single" w:sz="4" w:space="0" w:color="auto"/>
              <w:left w:val="single" w:sz="4" w:space="0" w:color="auto"/>
              <w:right w:val="single" w:sz="4" w:space="0" w:color="auto"/>
            </w:tcBorders>
            <w:shd w:val="clear" w:color="auto" w:fill="auto"/>
            <w:noWrap/>
            <w:vAlign w:val="center"/>
          </w:tcPr>
          <w:p w:rsidR="00874971" w:rsidRPr="002D6954" w:rsidRDefault="00874971" w:rsidP="00874971">
            <w:pPr>
              <w:jc w:val="center"/>
              <w:rPr>
                <w:sz w:val="20"/>
                <w:szCs w:val="20"/>
              </w:rPr>
            </w:pPr>
            <w:r w:rsidRPr="002D6954">
              <w:rPr>
                <w:sz w:val="20"/>
                <w:szCs w:val="20"/>
              </w:rPr>
              <w:t>Утверждено на 2022 год</w:t>
            </w:r>
          </w:p>
        </w:tc>
        <w:tc>
          <w:tcPr>
            <w:tcW w:w="3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74971" w:rsidRPr="002D6954" w:rsidRDefault="00874971" w:rsidP="00874971">
            <w:pPr>
              <w:jc w:val="center"/>
              <w:rPr>
                <w:sz w:val="20"/>
                <w:szCs w:val="20"/>
              </w:rPr>
            </w:pPr>
            <w:r w:rsidRPr="002D6954">
              <w:rPr>
                <w:sz w:val="20"/>
                <w:szCs w:val="20"/>
              </w:rPr>
              <w:t>Исполнено за 1 квартал 2022 года</w:t>
            </w:r>
          </w:p>
        </w:tc>
      </w:tr>
      <w:tr w:rsidR="00874971" w:rsidRPr="002D6954" w:rsidTr="00597E90">
        <w:trPr>
          <w:trHeight w:val="33"/>
        </w:trPr>
        <w:tc>
          <w:tcPr>
            <w:tcW w:w="4248" w:type="dxa"/>
            <w:vMerge/>
            <w:tcBorders>
              <w:left w:val="single" w:sz="4" w:space="0" w:color="auto"/>
              <w:bottom w:val="single" w:sz="4" w:space="0" w:color="auto"/>
              <w:right w:val="single" w:sz="4" w:space="0" w:color="auto"/>
            </w:tcBorders>
            <w:shd w:val="clear" w:color="auto" w:fill="auto"/>
            <w:vAlign w:val="center"/>
          </w:tcPr>
          <w:p w:rsidR="00874971" w:rsidRPr="002D6954" w:rsidRDefault="00874971" w:rsidP="00874971">
            <w:pPr>
              <w:rPr>
                <w:sz w:val="20"/>
                <w:szCs w:val="20"/>
              </w:rPr>
            </w:pPr>
          </w:p>
        </w:tc>
        <w:tc>
          <w:tcPr>
            <w:tcW w:w="1418" w:type="dxa"/>
            <w:vMerge/>
            <w:tcBorders>
              <w:left w:val="single" w:sz="4" w:space="0" w:color="auto"/>
              <w:bottom w:val="single" w:sz="4" w:space="0" w:color="auto"/>
              <w:right w:val="single" w:sz="4" w:space="0" w:color="auto"/>
            </w:tcBorders>
            <w:shd w:val="clear" w:color="auto" w:fill="auto"/>
            <w:noWrap/>
            <w:vAlign w:val="center"/>
          </w:tcPr>
          <w:p w:rsidR="00874971" w:rsidRPr="002D6954" w:rsidRDefault="00874971" w:rsidP="00874971">
            <w:pPr>
              <w:rPr>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4971" w:rsidRPr="002D6954" w:rsidRDefault="00874971" w:rsidP="00874971">
            <w:pPr>
              <w:jc w:val="center"/>
              <w:rPr>
                <w:sz w:val="20"/>
                <w:szCs w:val="20"/>
              </w:rPr>
            </w:pPr>
            <w:r w:rsidRPr="002D6954">
              <w:rPr>
                <w:sz w:val="20"/>
                <w:szCs w:val="20"/>
              </w:rPr>
              <w:t>сумма</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874971" w:rsidRPr="002D6954" w:rsidRDefault="00874971" w:rsidP="00874971">
            <w:pPr>
              <w:jc w:val="center"/>
              <w:rPr>
                <w:sz w:val="20"/>
                <w:szCs w:val="20"/>
              </w:rPr>
            </w:pPr>
            <w:r w:rsidRPr="002D6954">
              <w:rPr>
                <w:sz w:val="20"/>
                <w:szCs w:val="20"/>
              </w:rPr>
              <w:t>уровень исполнения, %</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874971" w:rsidRPr="002D6954" w:rsidRDefault="00874971" w:rsidP="00874971">
            <w:pPr>
              <w:jc w:val="center"/>
              <w:rPr>
                <w:sz w:val="20"/>
                <w:szCs w:val="20"/>
              </w:rPr>
            </w:pPr>
            <w:r w:rsidRPr="002D6954">
              <w:rPr>
                <w:sz w:val="20"/>
                <w:szCs w:val="20"/>
              </w:rPr>
              <w:t>удельный вес, %</w:t>
            </w:r>
          </w:p>
        </w:tc>
      </w:tr>
      <w:tr w:rsidR="00874971" w:rsidRPr="002D6954" w:rsidTr="002D6954">
        <w:trPr>
          <w:trHeight w:val="33"/>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rsidR="00874971" w:rsidRPr="002D6954" w:rsidRDefault="00874971" w:rsidP="00874971">
            <w:pPr>
              <w:jc w:val="center"/>
              <w:rPr>
                <w:sz w:val="20"/>
                <w:szCs w:val="20"/>
              </w:rPr>
            </w:pPr>
            <w:r w:rsidRPr="002D6954">
              <w:rPr>
                <w:sz w:val="20"/>
                <w:szCs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4971" w:rsidRPr="002D6954" w:rsidRDefault="00874971" w:rsidP="00874971">
            <w:pPr>
              <w:jc w:val="center"/>
              <w:rPr>
                <w:sz w:val="20"/>
                <w:szCs w:val="20"/>
              </w:rPr>
            </w:pPr>
            <w:r w:rsidRPr="002D6954">
              <w:rPr>
                <w:sz w:val="20"/>
                <w:szCs w:val="20"/>
              </w:rPr>
              <w:t>2</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4971" w:rsidRPr="002D6954" w:rsidRDefault="00874971" w:rsidP="00874971">
            <w:pPr>
              <w:jc w:val="center"/>
              <w:rPr>
                <w:sz w:val="20"/>
                <w:szCs w:val="20"/>
              </w:rPr>
            </w:pPr>
            <w:r w:rsidRPr="002D6954">
              <w:rPr>
                <w:sz w:val="20"/>
                <w:szCs w:val="20"/>
              </w:rPr>
              <w:t>3</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874971" w:rsidRPr="002D6954" w:rsidRDefault="00874971" w:rsidP="00874971">
            <w:pPr>
              <w:jc w:val="center"/>
              <w:rPr>
                <w:sz w:val="20"/>
                <w:szCs w:val="20"/>
              </w:rPr>
            </w:pPr>
            <w:r w:rsidRPr="002D6954">
              <w:rPr>
                <w:sz w:val="20"/>
                <w:szCs w:val="20"/>
              </w:rPr>
              <w:t>4</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874971" w:rsidRPr="002D6954" w:rsidRDefault="00874971" w:rsidP="00874971">
            <w:pPr>
              <w:jc w:val="center"/>
              <w:rPr>
                <w:sz w:val="20"/>
                <w:szCs w:val="20"/>
              </w:rPr>
            </w:pPr>
            <w:r w:rsidRPr="002D6954">
              <w:rPr>
                <w:sz w:val="20"/>
                <w:szCs w:val="20"/>
              </w:rPr>
              <w:t>5</w:t>
            </w:r>
          </w:p>
        </w:tc>
      </w:tr>
      <w:tr w:rsidR="00874971" w:rsidRPr="002D6954" w:rsidTr="002D6954">
        <w:trPr>
          <w:trHeight w:val="33"/>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4971" w:rsidRDefault="00874971" w:rsidP="00874971">
            <w:pPr>
              <w:rPr>
                <w:sz w:val="20"/>
                <w:szCs w:val="20"/>
              </w:rPr>
            </w:pPr>
            <w:r w:rsidRPr="002D6954">
              <w:rPr>
                <w:sz w:val="20"/>
                <w:szCs w:val="20"/>
              </w:rPr>
              <w:t>03 Национальная безопасность и правоохранительная деятельность</w:t>
            </w:r>
          </w:p>
          <w:p w:rsidR="00874971" w:rsidRPr="00874971" w:rsidRDefault="00874971" w:rsidP="00874971">
            <w:pPr>
              <w:rPr>
                <w:sz w:val="4"/>
                <w:szCs w:val="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971" w:rsidRPr="002D6954" w:rsidRDefault="00874971" w:rsidP="00874971">
            <w:pPr>
              <w:jc w:val="right"/>
              <w:rPr>
                <w:sz w:val="20"/>
                <w:szCs w:val="20"/>
              </w:rPr>
            </w:pPr>
            <w:r w:rsidRPr="002D6954">
              <w:rPr>
                <w:sz w:val="20"/>
                <w:szCs w:val="20"/>
              </w:rPr>
              <w:t>668 609,3</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971" w:rsidRPr="002D6954" w:rsidRDefault="00874971" w:rsidP="00874971">
            <w:pPr>
              <w:jc w:val="right"/>
              <w:rPr>
                <w:sz w:val="20"/>
                <w:szCs w:val="20"/>
              </w:rPr>
            </w:pPr>
            <w:r w:rsidRPr="002D6954">
              <w:rPr>
                <w:sz w:val="20"/>
                <w:szCs w:val="20"/>
              </w:rPr>
              <w:t>121 172,4</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4971" w:rsidRPr="002D6954" w:rsidRDefault="00874971" w:rsidP="00874971">
            <w:pPr>
              <w:jc w:val="center"/>
              <w:rPr>
                <w:sz w:val="20"/>
                <w:szCs w:val="20"/>
              </w:rPr>
            </w:pPr>
            <w:r w:rsidRPr="002D6954">
              <w:rPr>
                <w:sz w:val="20"/>
                <w:szCs w:val="20"/>
              </w:rPr>
              <w:t>18,1</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4971" w:rsidRPr="002D6954" w:rsidRDefault="00874971" w:rsidP="00874971">
            <w:pPr>
              <w:jc w:val="center"/>
              <w:rPr>
                <w:sz w:val="20"/>
                <w:szCs w:val="20"/>
              </w:rPr>
            </w:pPr>
            <w:r w:rsidRPr="002D6954">
              <w:rPr>
                <w:sz w:val="20"/>
                <w:szCs w:val="20"/>
              </w:rPr>
              <w:t>1,4</w:t>
            </w:r>
          </w:p>
        </w:tc>
      </w:tr>
      <w:tr w:rsidR="00874971" w:rsidRPr="002D6954" w:rsidTr="002D6954">
        <w:trPr>
          <w:trHeight w:val="37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4971" w:rsidRPr="002D6954" w:rsidRDefault="00874971" w:rsidP="00874971">
            <w:pPr>
              <w:rPr>
                <w:sz w:val="20"/>
                <w:szCs w:val="20"/>
              </w:rPr>
            </w:pPr>
            <w:r w:rsidRPr="002D6954">
              <w:rPr>
                <w:sz w:val="20"/>
                <w:szCs w:val="20"/>
              </w:rPr>
              <w:t>04 Национальная экономика</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74971" w:rsidRPr="002D6954" w:rsidRDefault="00874971" w:rsidP="00874971">
            <w:pPr>
              <w:jc w:val="right"/>
              <w:rPr>
                <w:sz w:val="20"/>
                <w:szCs w:val="20"/>
              </w:rPr>
            </w:pPr>
            <w:r w:rsidRPr="002D6954">
              <w:rPr>
                <w:sz w:val="20"/>
                <w:szCs w:val="20"/>
              </w:rPr>
              <w:t>12 956 397,2</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rsidR="00874971" w:rsidRPr="002D6954" w:rsidRDefault="00874971" w:rsidP="00874971">
            <w:pPr>
              <w:jc w:val="right"/>
              <w:rPr>
                <w:sz w:val="20"/>
                <w:szCs w:val="20"/>
              </w:rPr>
            </w:pPr>
            <w:r w:rsidRPr="002D6954">
              <w:rPr>
                <w:sz w:val="20"/>
                <w:szCs w:val="20"/>
              </w:rPr>
              <w:t>1 708 887,6</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874971" w:rsidRPr="002D6954" w:rsidRDefault="00874971" w:rsidP="00874971">
            <w:pPr>
              <w:jc w:val="center"/>
              <w:rPr>
                <w:sz w:val="20"/>
                <w:szCs w:val="20"/>
              </w:rPr>
            </w:pPr>
            <w:r w:rsidRPr="002D6954">
              <w:rPr>
                <w:sz w:val="20"/>
                <w:szCs w:val="20"/>
              </w:rPr>
              <w:t>13,2</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rsidR="00874971" w:rsidRPr="002D6954" w:rsidRDefault="00874971" w:rsidP="00874971">
            <w:pPr>
              <w:jc w:val="center"/>
              <w:rPr>
                <w:sz w:val="20"/>
                <w:szCs w:val="20"/>
              </w:rPr>
            </w:pPr>
            <w:r w:rsidRPr="002D6954">
              <w:rPr>
                <w:sz w:val="20"/>
                <w:szCs w:val="20"/>
              </w:rPr>
              <w:t>19,6</w:t>
            </w:r>
          </w:p>
        </w:tc>
      </w:tr>
      <w:tr w:rsidR="00874971" w:rsidRPr="002D6954" w:rsidTr="002D6954">
        <w:trPr>
          <w:trHeight w:val="275"/>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874971" w:rsidRPr="002D6954" w:rsidRDefault="00874971" w:rsidP="00874971">
            <w:pPr>
              <w:rPr>
                <w:sz w:val="20"/>
                <w:szCs w:val="20"/>
              </w:rPr>
            </w:pPr>
            <w:r w:rsidRPr="002D6954">
              <w:rPr>
                <w:sz w:val="20"/>
                <w:szCs w:val="20"/>
              </w:rPr>
              <w:t>05 Жилищно-коммунальное хозяйство</w:t>
            </w:r>
          </w:p>
        </w:tc>
        <w:tc>
          <w:tcPr>
            <w:tcW w:w="1418" w:type="dxa"/>
            <w:tcBorders>
              <w:top w:val="nil"/>
              <w:left w:val="nil"/>
              <w:bottom w:val="single" w:sz="4" w:space="0" w:color="auto"/>
              <w:right w:val="single" w:sz="4" w:space="0" w:color="auto"/>
            </w:tcBorders>
            <w:shd w:val="clear" w:color="auto" w:fill="auto"/>
            <w:noWrap/>
            <w:vAlign w:val="center"/>
            <w:hideMark/>
          </w:tcPr>
          <w:p w:rsidR="00874971" w:rsidRPr="002D6954" w:rsidRDefault="00874971" w:rsidP="00874971">
            <w:pPr>
              <w:jc w:val="right"/>
              <w:rPr>
                <w:sz w:val="20"/>
                <w:szCs w:val="20"/>
              </w:rPr>
            </w:pPr>
            <w:r w:rsidRPr="002D6954">
              <w:rPr>
                <w:sz w:val="20"/>
                <w:szCs w:val="20"/>
              </w:rPr>
              <w:t>17 092 586,6</w:t>
            </w:r>
          </w:p>
        </w:tc>
        <w:tc>
          <w:tcPr>
            <w:tcW w:w="1278" w:type="dxa"/>
            <w:tcBorders>
              <w:top w:val="nil"/>
              <w:left w:val="nil"/>
              <w:bottom w:val="single" w:sz="4" w:space="0" w:color="auto"/>
              <w:right w:val="single" w:sz="4" w:space="0" w:color="auto"/>
            </w:tcBorders>
            <w:shd w:val="clear" w:color="auto" w:fill="auto"/>
            <w:noWrap/>
            <w:vAlign w:val="center"/>
            <w:hideMark/>
          </w:tcPr>
          <w:p w:rsidR="00874971" w:rsidRPr="002D6954" w:rsidRDefault="00874971" w:rsidP="00874971">
            <w:pPr>
              <w:jc w:val="right"/>
              <w:rPr>
                <w:sz w:val="20"/>
                <w:szCs w:val="20"/>
              </w:rPr>
            </w:pPr>
            <w:r w:rsidRPr="002D6954">
              <w:rPr>
                <w:sz w:val="20"/>
                <w:szCs w:val="20"/>
              </w:rPr>
              <w:t>3 096 888,6</w:t>
            </w:r>
          </w:p>
        </w:tc>
        <w:tc>
          <w:tcPr>
            <w:tcW w:w="1561" w:type="dxa"/>
            <w:tcBorders>
              <w:top w:val="nil"/>
              <w:left w:val="nil"/>
              <w:bottom w:val="single" w:sz="4" w:space="0" w:color="auto"/>
              <w:right w:val="single" w:sz="4" w:space="0" w:color="auto"/>
            </w:tcBorders>
            <w:shd w:val="clear" w:color="auto" w:fill="auto"/>
            <w:vAlign w:val="center"/>
            <w:hideMark/>
          </w:tcPr>
          <w:p w:rsidR="00874971" w:rsidRPr="002D6954" w:rsidRDefault="00874971" w:rsidP="00874971">
            <w:pPr>
              <w:jc w:val="center"/>
              <w:rPr>
                <w:sz w:val="20"/>
                <w:szCs w:val="20"/>
              </w:rPr>
            </w:pPr>
            <w:r w:rsidRPr="002D6954">
              <w:rPr>
                <w:sz w:val="20"/>
                <w:szCs w:val="20"/>
              </w:rPr>
              <w:t>18,1</w:t>
            </w:r>
          </w:p>
        </w:tc>
        <w:tc>
          <w:tcPr>
            <w:tcW w:w="1141" w:type="dxa"/>
            <w:tcBorders>
              <w:top w:val="nil"/>
              <w:left w:val="nil"/>
              <w:bottom w:val="single" w:sz="4" w:space="0" w:color="auto"/>
              <w:right w:val="single" w:sz="4" w:space="0" w:color="auto"/>
            </w:tcBorders>
            <w:shd w:val="clear" w:color="auto" w:fill="auto"/>
            <w:vAlign w:val="center"/>
            <w:hideMark/>
          </w:tcPr>
          <w:p w:rsidR="00874971" w:rsidRPr="002D6954" w:rsidRDefault="00874971" w:rsidP="00874971">
            <w:pPr>
              <w:jc w:val="center"/>
              <w:rPr>
                <w:sz w:val="20"/>
                <w:szCs w:val="20"/>
              </w:rPr>
            </w:pPr>
            <w:r w:rsidRPr="002D6954">
              <w:rPr>
                <w:sz w:val="20"/>
                <w:szCs w:val="20"/>
              </w:rPr>
              <w:t>35,6</w:t>
            </w:r>
          </w:p>
        </w:tc>
      </w:tr>
      <w:tr w:rsidR="00874971" w:rsidRPr="002D6954" w:rsidTr="002D6954">
        <w:trPr>
          <w:trHeight w:val="279"/>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874971" w:rsidRPr="002D6954" w:rsidRDefault="00874971" w:rsidP="00874971">
            <w:pPr>
              <w:rPr>
                <w:sz w:val="20"/>
                <w:szCs w:val="20"/>
              </w:rPr>
            </w:pPr>
            <w:r w:rsidRPr="002D6954">
              <w:rPr>
                <w:sz w:val="20"/>
                <w:szCs w:val="20"/>
              </w:rPr>
              <w:t>06 Охрана окружающей среды</w:t>
            </w:r>
          </w:p>
        </w:tc>
        <w:tc>
          <w:tcPr>
            <w:tcW w:w="1418" w:type="dxa"/>
            <w:tcBorders>
              <w:top w:val="nil"/>
              <w:left w:val="nil"/>
              <w:bottom w:val="single" w:sz="4" w:space="0" w:color="auto"/>
              <w:right w:val="single" w:sz="4" w:space="0" w:color="auto"/>
            </w:tcBorders>
            <w:shd w:val="clear" w:color="auto" w:fill="auto"/>
            <w:noWrap/>
            <w:vAlign w:val="center"/>
            <w:hideMark/>
          </w:tcPr>
          <w:p w:rsidR="00874971" w:rsidRPr="002D6954" w:rsidRDefault="00874971" w:rsidP="00874971">
            <w:pPr>
              <w:jc w:val="right"/>
              <w:rPr>
                <w:sz w:val="20"/>
                <w:szCs w:val="20"/>
              </w:rPr>
            </w:pPr>
            <w:r w:rsidRPr="002D6954">
              <w:rPr>
                <w:sz w:val="20"/>
                <w:szCs w:val="20"/>
              </w:rPr>
              <w:t>364 427,1</w:t>
            </w:r>
          </w:p>
        </w:tc>
        <w:tc>
          <w:tcPr>
            <w:tcW w:w="1278" w:type="dxa"/>
            <w:tcBorders>
              <w:top w:val="nil"/>
              <w:left w:val="nil"/>
              <w:bottom w:val="single" w:sz="4" w:space="0" w:color="auto"/>
              <w:right w:val="single" w:sz="4" w:space="0" w:color="auto"/>
            </w:tcBorders>
            <w:shd w:val="clear" w:color="auto" w:fill="auto"/>
            <w:noWrap/>
            <w:vAlign w:val="center"/>
            <w:hideMark/>
          </w:tcPr>
          <w:p w:rsidR="00874971" w:rsidRPr="002D6954" w:rsidRDefault="00874971" w:rsidP="00874971">
            <w:pPr>
              <w:jc w:val="right"/>
              <w:rPr>
                <w:sz w:val="20"/>
                <w:szCs w:val="20"/>
              </w:rPr>
            </w:pPr>
            <w:r w:rsidRPr="002D6954">
              <w:rPr>
                <w:sz w:val="20"/>
                <w:szCs w:val="20"/>
              </w:rPr>
              <w:t>9 570,9</w:t>
            </w:r>
          </w:p>
        </w:tc>
        <w:tc>
          <w:tcPr>
            <w:tcW w:w="1561" w:type="dxa"/>
            <w:tcBorders>
              <w:top w:val="nil"/>
              <w:left w:val="nil"/>
              <w:bottom w:val="single" w:sz="4" w:space="0" w:color="auto"/>
              <w:right w:val="single" w:sz="4" w:space="0" w:color="auto"/>
            </w:tcBorders>
            <w:shd w:val="clear" w:color="auto" w:fill="auto"/>
            <w:vAlign w:val="center"/>
            <w:hideMark/>
          </w:tcPr>
          <w:p w:rsidR="00874971" w:rsidRPr="002D6954" w:rsidRDefault="00874971" w:rsidP="00874971">
            <w:pPr>
              <w:jc w:val="center"/>
              <w:rPr>
                <w:sz w:val="20"/>
                <w:szCs w:val="20"/>
              </w:rPr>
            </w:pPr>
            <w:r w:rsidRPr="002D6954">
              <w:rPr>
                <w:sz w:val="20"/>
                <w:szCs w:val="20"/>
              </w:rPr>
              <w:t>2,6</w:t>
            </w:r>
          </w:p>
        </w:tc>
        <w:tc>
          <w:tcPr>
            <w:tcW w:w="1141" w:type="dxa"/>
            <w:tcBorders>
              <w:top w:val="nil"/>
              <w:left w:val="nil"/>
              <w:bottom w:val="single" w:sz="4" w:space="0" w:color="auto"/>
              <w:right w:val="single" w:sz="4" w:space="0" w:color="auto"/>
            </w:tcBorders>
            <w:shd w:val="clear" w:color="auto" w:fill="auto"/>
            <w:vAlign w:val="center"/>
            <w:hideMark/>
          </w:tcPr>
          <w:p w:rsidR="00874971" w:rsidRPr="002D6954" w:rsidRDefault="00874971" w:rsidP="00874971">
            <w:pPr>
              <w:jc w:val="center"/>
              <w:rPr>
                <w:sz w:val="20"/>
                <w:szCs w:val="20"/>
              </w:rPr>
            </w:pPr>
            <w:r w:rsidRPr="002D6954">
              <w:rPr>
                <w:sz w:val="20"/>
                <w:szCs w:val="20"/>
              </w:rPr>
              <w:t>0,1</w:t>
            </w:r>
          </w:p>
        </w:tc>
      </w:tr>
      <w:tr w:rsidR="00874971" w:rsidRPr="002D6954" w:rsidTr="002D6954">
        <w:trPr>
          <w:trHeight w:val="270"/>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874971" w:rsidRPr="002D6954" w:rsidRDefault="00874971" w:rsidP="00874971">
            <w:pPr>
              <w:rPr>
                <w:sz w:val="20"/>
                <w:szCs w:val="20"/>
              </w:rPr>
            </w:pPr>
            <w:r w:rsidRPr="002D6954">
              <w:rPr>
                <w:sz w:val="20"/>
                <w:szCs w:val="20"/>
              </w:rPr>
              <w:t>07 Образование</w:t>
            </w:r>
          </w:p>
        </w:tc>
        <w:tc>
          <w:tcPr>
            <w:tcW w:w="1418" w:type="dxa"/>
            <w:tcBorders>
              <w:top w:val="nil"/>
              <w:left w:val="nil"/>
              <w:bottom w:val="single" w:sz="4" w:space="0" w:color="auto"/>
              <w:right w:val="single" w:sz="4" w:space="0" w:color="auto"/>
            </w:tcBorders>
            <w:shd w:val="clear" w:color="auto" w:fill="auto"/>
            <w:noWrap/>
            <w:vAlign w:val="center"/>
            <w:hideMark/>
          </w:tcPr>
          <w:p w:rsidR="00874971" w:rsidRPr="002D6954" w:rsidRDefault="00874971" w:rsidP="00874971">
            <w:pPr>
              <w:jc w:val="right"/>
              <w:rPr>
                <w:sz w:val="20"/>
                <w:szCs w:val="20"/>
              </w:rPr>
            </w:pPr>
            <w:r w:rsidRPr="002D6954">
              <w:rPr>
                <w:sz w:val="20"/>
                <w:szCs w:val="20"/>
              </w:rPr>
              <w:t>7 939 853,5</w:t>
            </w:r>
          </w:p>
        </w:tc>
        <w:tc>
          <w:tcPr>
            <w:tcW w:w="1278" w:type="dxa"/>
            <w:tcBorders>
              <w:top w:val="nil"/>
              <w:left w:val="nil"/>
              <w:bottom w:val="single" w:sz="4" w:space="0" w:color="auto"/>
              <w:right w:val="single" w:sz="4" w:space="0" w:color="auto"/>
            </w:tcBorders>
            <w:shd w:val="clear" w:color="auto" w:fill="auto"/>
            <w:noWrap/>
            <w:vAlign w:val="center"/>
            <w:hideMark/>
          </w:tcPr>
          <w:p w:rsidR="00874971" w:rsidRPr="002D6954" w:rsidRDefault="00874971" w:rsidP="00874971">
            <w:pPr>
              <w:jc w:val="right"/>
              <w:rPr>
                <w:sz w:val="20"/>
                <w:szCs w:val="20"/>
              </w:rPr>
            </w:pPr>
            <w:r w:rsidRPr="002D6954">
              <w:rPr>
                <w:sz w:val="20"/>
                <w:szCs w:val="20"/>
              </w:rPr>
              <w:t>1 500 325,0</w:t>
            </w:r>
          </w:p>
        </w:tc>
        <w:tc>
          <w:tcPr>
            <w:tcW w:w="1561" w:type="dxa"/>
            <w:tcBorders>
              <w:top w:val="nil"/>
              <w:left w:val="nil"/>
              <w:bottom w:val="single" w:sz="4" w:space="0" w:color="auto"/>
              <w:right w:val="single" w:sz="4" w:space="0" w:color="auto"/>
            </w:tcBorders>
            <w:shd w:val="clear" w:color="auto" w:fill="auto"/>
            <w:vAlign w:val="center"/>
            <w:hideMark/>
          </w:tcPr>
          <w:p w:rsidR="00874971" w:rsidRPr="002D6954" w:rsidRDefault="00874971" w:rsidP="00874971">
            <w:pPr>
              <w:jc w:val="center"/>
              <w:rPr>
                <w:sz w:val="20"/>
                <w:szCs w:val="20"/>
              </w:rPr>
            </w:pPr>
            <w:r w:rsidRPr="002D6954">
              <w:rPr>
                <w:sz w:val="20"/>
                <w:szCs w:val="20"/>
              </w:rPr>
              <w:t>18,9</w:t>
            </w:r>
          </w:p>
        </w:tc>
        <w:tc>
          <w:tcPr>
            <w:tcW w:w="1141" w:type="dxa"/>
            <w:tcBorders>
              <w:top w:val="nil"/>
              <w:left w:val="nil"/>
              <w:bottom w:val="single" w:sz="4" w:space="0" w:color="auto"/>
              <w:right w:val="single" w:sz="4" w:space="0" w:color="auto"/>
            </w:tcBorders>
            <w:shd w:val="clear" w:color="auto" w:fill="auto"/>
            <w:vAlign w:val="center"/>
            <w:hideMark/>
          </w:tcPr>
          <w:p w:rsidR="00874971" w:rsidRPr="002D6954" w:rsidRDefault="00874971" w:rsidP="00874971">
            <w:pPr>
              <w:jc w:val="center"/>
              <w:rPr>
                <w:sz w:val="20"/>
                <w:szCs w:val="20"/>
              </w:rPr>
            </w:pPr>
            <w:r w:rsidRPr="002D6954">
              <w:rPr>
                <w:sz w:val="20"/>
                <w:szCs w:val="20"/>
              </w:rPr>
              <w:t>17,2</w:t>
            </w:r>
          </w:p>
        </w:tc>
      </w:tr>
      <w:tr w:rsidR="00874971" w:rsidRPr="002D6954" w:rsidTr="002D6954">
        <w:trPr>
          <w:trHeight w:val="287"/>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874971" w:rsidRPr="002D6954" w:rsidRDefault="00874971" w:rsidP="00874971">
            <w:pPr>
              <w:rPr>
                <w:sz w:val="20"/>
                <w:szCs w:val="20"/>
              </w:rPr>
            </w:pPr>
            <w:r w:rsidRPr="002D6954">
              <w:rPr>
                <w:sz w:val="20"/>
                <w:szCs w:val="20"/>
              </w:rPr>
              <w:t>08 Культура, кинематография</w:t>
            </w:r>
          </w:p>
        </w:tc>
        <w:tc>
          <w:tcPr>
            <w:tcW w:w="1418" w:type="dxa"/>
            <w:tcBorders>
              <w:top w:val="nil"/>
              <w:left w:val="nil"/>
              <w:bottom w:val="single" w:sz="4" w:space="0" w:color="auto"/>
              <w:right w:val="single" w:sz="4" w:space="0" w:color="auto"/>
            </w:tcBorders>
            <w:shd w:val="clear" w:color="auto" w:fill="auto"/>
            <w:noWrap/>
            <w:vAlign w:val="center"/>
            <w:hideMark/>
          </w:tcPr>
          <w:p w:rsidR="00874971" w:rsidRPr="002D6954" w:rsidRDefault="00874971" w:rsidP="00874971">
            <w:pPr>
              <w:jc w:val="right"/>
              <w:rPr>
                <w:sz w:val="20"/>
                <w:szCs w:val="20"/>
              </w:rPr>
            </w:pPr>
            <w:r w:rsidRPr="002D6954">
              <w:rPr>
                <w:sz w:val="20"/>
                <w:szCs w:val="20"/>
              </w:rPr>
              <w:t>1 109 924,1</w:t>
            </w:r>
          </w:p>
        </w:tc>
        <w:tc>
          <w:tcPr>
            <w:tcW w:w="1278" w:type="dxa"/>
            <w:tcBorders>
              <w:top w:val="nil"/>
              <w:left w:val="nil"/>
              <w:bottom w:val="single" w:sz="4" w:space="0" w:color="auto"/>
              <w:right w:val="single" w:sz="4" w:space="0" w:color="auto"/>
            </w:tcBorders>
            <w:shd w:val="clear" w:color="auto" w:fill="auto"/>
            <w:noWrap/>
            <w:vAlign w:val="center"/>
            <w:hideMark/>
          </w:tcPr>
          <w:p w:rsidR="00874971" w:rsidRPr="002D6954" w:rsidRDefault="00874971" w:rsidP="00874971">
            <w:pPr>
              <w:jc w:val="right"/>
              <w:rPr>
                <w:sz w:val="20"/>
                <w:szCs w:val="20"/>
              </w:rPr>
            </w:pPr>
            <w:r w:rsidRPr="002D6954">
              <w:rPr>
                <w:sz w:val="20"/>
                <w:szCs w:val="20"/>
              </w:rPr>
              <w:t>94 153,2</w:t>
            </w:r>
          </w:p>
        </w:tc>
        <w:tc>
          <w:tcPr>
            <w:tcW w:w="1561" w:type="dxa"/>
            <w:tcBorders>
              <w:top w:val="nil"/>
              <w:left w:val="nil"/>
              <w:bottom w:val="single" w:sz="4" w:space="0" w:color="auto"/>
              <w:right w:val="single" w:sz="4" w:space="0" w:color="auto"/>
            </w:tcBorders>
            <w:shd w:val="clear" w:color="auto" w:fill="auto"/>
            <w:vAlign w:val="center"/>
            <w:hideMark/>
          </w:tcPr>
          <w:p w:rsidR="00874971" w:rsidRPr="002D6954" w:rsidRDefault="00874971" w:rsidP="00874971">
            <w:pPr>
              <w:jc w:val="center"/>
              <w:rPr>
                <w:sz w:val="20"/>
                <w:szCs w:val="20"/>
              </w:rPr>
            </w:pPr>
            <w:r w:rsidRPr="002D6954">
              <w:rPr>
                <w:sz w:val="20"/>
                <w:szCs w:val="20"/>
              </w:rPr>
              <w:t>8,5</w:t>
            </w:r>
          </w:p>
        </w:tc>
        <w:tc>
          <w:tcPr>
            <w:tcW w:w="1141" w:type="dxa"/>
            <w:tcBorders>
              <w:top w:val="nil"/>
              <w:left w:val="nil"/>
              <w:bottom w:val="single" w:sz="4" w:space="0" w:color="auto"/>
              <w:right w:val="single" w:sz="4" w:space="0" w:color="auto"/>
            </w:tcBorders>
            <w:shd w:val="clear" w:color="auto" w:fill="auto"/>
            <w:vAlign w:val="center"/>
            <w:hideMark/>
          </w:tcPr>
          <w:p w:rsidR="00874971" w:rsidRPr="002D6954" w:rsidRDefault="00874971" w:rsidP="00874971">
            <w:pPr>
              <w:jc w:val="center"/>
              <w:rPr>
                <w:sz w:val="20"/>
                <w:szCs w:val="20"/>
              </w:rPr>
            </w:pPr>
            <w:r w:rsidRPr="002D6954">
              <w:rPr>
                <w:sz w:val="20"/>
                <w:szCs w:val="20"/>
              </w:rPr>
              <w:t>1,1</w:t>
            </w:r>
          </w:p>
        </w:tc>
      </w:tr>
      <w:tr w:rsidR="00874971" w:rsidRPr="002D6954" w:rsidTr="00874971">
        <w:trPr>
          <w:trHeight w:val="245"/>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874971" w:rsidRPr="002D6954" w:rsidRDefault="00874971" w:rsidP="00874971">
            <w:pPr>
              <w:rPr>
                <w:sz w:val="20"/>
                <w:szCs w:val="20"/>
              </w:rPr>
            </w:pPr>
            <w:r w:rsidRPr="002D6954">
              <w:rPr>
                <w:sz w:val="20"/>
                <w:szCs w:val="20"/>
              </w:rPr>
              <w:t>09 Здравоохранение</w:t>
            </w:r>
          </w:p>
        </w:tc>
        <w:tc>
          <w:tcPr>
            <w:tcW w:w="1418" w:type="dxa"/>
            <w:tcBorders>
              <w:top w:val="nil"/>
              <w:left w:val="nil"/>
              <w:bottom w:val="single" w:sz="4" w:space="0" w:color="auto"/>
              <w:right w:val="single" w:sz="4" w:space="0" w:color="auto"/>
            </w:tcBorders>
            <w:shd w:val="clear" w:color="auto" w:fill="auto"/>
            <w:noWrap/>
            <w:vAlign w:val="center"/>
            <w:hideMark/>
          </w:tcPr>
          <w:p w:rsidR="00874971" w:rsidRPr="002D6954" w:rsidRDefault="00874971" w:rsidP="00874971">
            <w:pPr>
              <w:jc w:val="right"/>
              <w:rPr>
                <w:sz w:val="20"/>
                <w:szCs w:val="20"/>
              </w:rPr>
            </w:pPr>
            <w:r w:rsidRPr="002D6954">
              <w:rPr>
                <w:sz w:val="20"/>
                <w:szCs w:val="20"/>
              </w:rPr>
              <w:t>3 398 304,5</w:t>
            </w:r>
          </w:p>
        </w:tc>
        <w:tc>
          <w:tcPr>
            <w:tcW w:w="1278" w:type="dxa"/>
            <w:tcBorders>
              <w:top w:val="nil"/>
              <w:left w:val="nil"/>
              <w:bottom w:val="single" w:sz="4" w:space="0" w:color="auto"/>
              <w:right w:val="single" w:sz="4" w:space="0" w:color="auto"/>
            </w:tcBorders>
            <w:shd w:val="clear" w:color="auto" w:fill="auto"/>
            <w:noWrap/>
            <w:vAlign w:val="center"/>
            <w:hideMark/>
          </w:tcPr>
          <w:p w:rsidR="00874971" w:rsidRPr="002D6954" w:rsidRDefault="00874971" w:rsidP="00874971">
            <w:pPr>
              <w:jc w:val="right"/>
              <w:rPr>
                <w:sz w:val="20"/>
                <w:szCs w:val="20"/>
              </w:rPr>
            </w:pPr>
            <w:r w:rsidRPr="002D6954">
              <w:rPr>
                <w:sz w:val="20"/>
                <w:szCs w:val="20"/>
              </w:rPr>
              <w:t>688 606,8</w:t>
            </w:r>
          </w:p>
        </w:tc>
        <w:tc>
          <w:tcPr>
            <w:tcW w:w="1561" w:type="dxa"/>
            <w:tcBorders>
              <w:top w:val="nil"/>
              <w:left w:val="nil"/>
              <w:bottom w:val="single" w:sz="4" w:space="0" w:color="auto"/>
              <w:right w:val="single" w:sz="4" w:space="0" w:color="auto"/>
            </w:tcBorders>
            <w:shd w:val="clear" w:color="auto" w:fill="auto"/>
            <w:vAlign w:val="center"/>
            <w:hideMark/>
          </w:tcPr>
          <w:p w:rsidR="00874971" w:rsidRPr="002D6954" w:rsidRDefault="00874971" w:rsidP="00874971">
            <w:pPr>
              <w:jc w:val="center"/>
              <w:rPr>
                <w:sz w:val="20"/>
                <w:szCs w:val="20"/>
              </w:rPr>
            </w:pPr>
            <w:r w:rsidRPr="002D6954">
              <w:rPr>
                <w:sz w:val="20"/>
                <w:szCs w:val="20"/>
              </w:rPr>
              <w:t>20,3</w:t>
            </w:r>
          </w:p>
        </w:tc>
        <w:tc>
          <w:tcPr>
            <w:tcW w:w="1141" w:type="dxa"/>
            <w:tcBorders>
              <w:top w:val="nil"/>
              <w:left w:val="nil"/>
              <w:bottom w:val="single" w:sz="4" w:space="0" w:color="auto"/>
              <w:right w:val="single" w:sz="4" w:space="0" w:color="auto"/>
            </w:tcBorders>
            <w:shd w:val="clear" w:color="auto" w:fill="auto"/>
            <w:vAlign w:val="center"/>
            <w:hideMark/>
          </w:tcPr>
          <w:p w:rsidR="00874971" w:rsidRPr="002D6954" w:rsidRDefault="00874971" w:rsidP="00874971">
            <w:pPr>
              <w:jc w:val="center"/>
              <w:rPr>
                <w:sz w:val="20"/>
                <w:szCs w:val="20"/>
              </w:rPr>
            </w:pPr>
            <w:r w:rsidRPr="002D6954">
              <w:rPr>
                <w:sz w:val="20"/>
                <w:szCs w:val="20"/>
              </w:rPr>
              <w:t>7,9</w:t>
            </w:r>
          </w:p>
        </w:tc>
      </w:tr>
      <w:tr w:rsidR="00874971" w:rsidRPr="002D6954" w:rsidTr="002D6954">
        <w:trPr>
          <w:trHeight w:val="269"/>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874971" w:rsidRPr="002D6954" w:rsidRDefault="00874971" w:rsidP="00874971">
            <w:pPr>
              <w:rPr>
                <w:sz w:val="20"/>
                <w:szCs w:val="20"/>
              </w:rPr>
            </w:pPr>
            <w:r w:rsidRPr="002D6954">
              <w:rPr>
                <w:sz w:val="20"/>
                <w:szCs w:val="20"/>
              </w:rPr>
              <w:t>10 Социальная политика</w:t>
            </w:r>
          </w:p>
        </w:tc>
        <w:tc>
          <w:tcPr>
            <w:tcW w:w="1418" w:type="dxa"/>
            <w:tcBorders>
              <w:top w:val="nil"/>
              <w:left w:val="nil"/>
              <w:bottom w:val="single" w:sz="4" w:space="0" w:color="auto"/>
              <w:right w:val="single" w:sz="4" w:space="0" w:color="auto"/>
            </w:tcBorders>
            <w:shd w:val="clear" w:color="auto" w:fill="auto"/>
            <w:noWrap/>
            <w:vAlign w:val="center"/>
            <w:hideMark/>
          </w:tcPr>
          <w:p w:rsidR="00874971" w:rsidRPr="002D6954" w:rsidRDefault="00874971" w:rsidP="00874971">
            <w:pPr>
              <w:jc w:val="right"/>
              <w:rPr>
                <w:sz w:val="20"/>
                <w:szCs w:val="20"/>
              </w:rPr>
            </w:pPr>
            <w:r w:rsidRPr="002D6954">
              <w:rPr>
                <w:sz w:val="20"/>
                <w:szCs w:val="20"/>
              </w:rPr>
              <w:t>3 373 055,8</w:t>
            </w:r>
          </w:p>
        </w:tc>
        <w:tc>
          <w:tcPr>
            <w:tcW w:w="1278" w:type="dxa"/>
            <w:tcBorders>
              <w:top w:val="nil"/>
              <w:left w:val="nil"/>
              <w:bottom w:val="single" w:sz="4" w:space="0" w:color="auto"/>
              <w:right w:val="single" w:sz="4" w:space="0" w:color="auto"/>
            </w:tcBorders>
            <w:shd w:val="clear" w:color="auto" w:fill="auto"/>
            <w:noWrap/>
            <w:vAlign w:val="center"/>
            <w:hideMark/>
          </w:tcPr>
          <w:p w:rsidR="00874971" w:rsidRPr="002D6954" w:rsidRDefault="00874971" w:rsidP="00874971">
            <w:pPr>
              <w:jc w:val="right"/>
              <w:rPr>
                <w:sz w:val="20"/>
                <w:szCs w:val="20"/>
              </w:rPr>
            </w:pPr>
            <w:r w:rsidRPr="002D6954">
              <w:rPr>
                <w:sz w:val="20"/>
                <w:szCs w:val="20"/>
              </w:rPr>
              <w:t>718 765,5</w:t>
            </w:r>
          </w:p>
        </w:tc>
        <w:tc>
          <w:tcPr>
            <w:tcW w:w="1561" w:type="dxa"/>
            <w:tcBorders>
              <w:top w:val="nil"/>
              <w:left w:val="nil"/>
              <w:bottom w:val="single" w:sz="4" w:space="0" w:color="auto"/>
              <w:right w:val="single" w:sz="4" w:space="0" w:color="auto"/>
            </w:tcBorders>
            <w:shd w:val="clear" w:color="auto" w:fill="auto"/>
            <w:vAlign w:val="center"/>
            <w:hideMark/>
          </w:tcPr>
          <w:p w:rsidR="00874971" w:rsidRPr="002D6954" w:rsidRDefault="00874971" w:rsidP="00874971">
            <w:pPr>
              <w:jc w:val="center"/>
              <w:rPr>
                <w:sz w:val="20"/>
                <w:szCs w:val="20"/>
              </w:rPr>
            </w:pPr>
            <w:r w:rsidRPr="002D6954">
              <w:rPr>
                <w:sz w:val="20"/>
                <w:szCs w:val="20"/>
              </w:rPr>
              <w:t>21,3</w:t>
            </w:r>
          </w:p>
        </w:tc>
        <w:tc>
          <w:tcPr>
            <w:tcW w:w="1141" w:type="dxa"/>
            <w:tcBorders>
              <w:top w:val="nil"/>
              <w:left w:val="nil"/>
              <w:bottom w:val="single" w:sz="4" w:space="0" w:color="auto"/>
              <w:right w:val="single" w:sz="4" w:space="0" w:color="auto"/>
            </w:tcBorders>
            <w:shd w:val="clear" w:color="auto" w:fill="auto"/>
            <w:vAlign w:val="center"/>
            <w:hideMark/>
          </w:tcPr>
          <w:p w:rsidR="00874971" w:rsidRPr="002D6954" w:rsidRDefault="00874971" w:rsidP="00874971">
            <w:pPr>
              <w:jc w:val="center"/>
              <w:rPr>
                <w:sz w:val="20"/>
                <w:szCs w:val="20"/>
              </w:rPr>
            </w:pPr>
            <w:r w:rsidRPr="002D6954">
              <w:rPr>
                <w:sz w:val="20"/>
                <w:szCs w:val="20"/>
              </w:rPr>
              <w:t>8,3</w:t>
            </w:r>
          </w:p>
        </w:tc>
      </w:tr>
      <w:tr w:rsidR="00874971" w:rsidRPr="002D6954" w:rsidTr="00874971">
        <w:trPr>
          <w:trHeight w:val="297"/>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874971" w:rsidRPr="002D6954" w:rsidRDefault="00874971" w:rsidP="00874971">
            <w:pPr>
              <w:rPr>
                <w:sz w:val="20"/>
                <w:szCs w:val="20"/>
              </w:rPr>
            </w:pPr>
            <w:r w:rsidRPr="002D6954">
              <w:rPr>
                <w:sz w:val="20"/>
                <w:szCs w:val="20"/>
              </w:rPr>
              <w:t>11 Физическая культура и спорт</w:t>
            </w:r>
          </w:p>
        </w:tc>
        <w:tc>
          <w:tcPr>
            <w:tcW w:w="1418" w:type="dxa"/>
            <w:tcBorders>
              <w:top w:val="nil"/>
              <w:left w:val="nil"/>
              <w:bottom w:val="single" w:sz="4" w:space="0" w:color="auto"/>
              <w:right w:val="single" w:sz="4" w:space="0" w:color="auto"/>
            </w:tcBorders>
            <w:shd w:val="clear" w:color="auto" w:fill="auto"/>
            <w:noWrap/>
            <w:vAlign w:val="center"/>
            <w:hideMark/>
          </w:tcPr>
          <w:p w:rsidR="00874971" w:rsidRPr="002D6954" w:rsidRDefault="00874971" w:rsidP="00874971">
            <w:pPr>
              <w:jc w:val="right"/>
              <w:rPr>
                <w:sz w:val="20"/>
                <w:szCs w:val="20"/>
              </w:rPr>
            </w:pPr>
            <w:r w:rsidRPr="002D6954">
              <w:rPr>
                <w:sz w:val="20"/>
                <w:szCs w:val="20"/>
              </w:rPr>
              <w:t>274 796,0</w:t>
            </w:r>
          </w:p>
        </w:tc>
        <w:tc>
          <w:tcPr>
            <w:tcW w:w="1278" w:type="dxa"/>
            <w:tcBorders>
              <w:top w:val="nil"/>
              <w:left w:val="nil"/>
              <w:bottom w:val="single" w:sz="4" w:space="0" w:color="auto"/>
              <w:right w:val="single" w:sz="4" w:space="0" w:color="auto"/>
            </w:tcBorders>
            <w:shd w:val="clear" w:color="auto" w:fill="auto"/>
            <w:noWrap/>
            <w:vAlign w:val="center"/>
            <w:hideMark/>
          </w:tcPr>
          <w:p w:rsidR="00874971" w:rsidRPr="002D6954" w:rsidRDefault="00874971" w:rsidP="00874971">
            <w:pPr>
              <w:jc w:val="right"/>
              <w:rPr>
                <w:sz w:val="20"/>
                <w:szCs w:val="20"/>
              </w:rPr>
            </w:pPr>
            <w:r w:rsidRPr="002D6954">
              <w:rPr>
                <w:sz w:val="20"/>
                <w:szCs w:val="20"/>
              </w:rPr>
              <w:t>53 127,2</w:t>
            </w:r>
          </w:p>
        </w:tc>
        <w:tc>
          <w:tcPr>
            <w:tcW w:w="1561" w:type="dxa"/>
            <w:tcBorders>
              <w:top w:val="nil"/>
              <w:left w:val="nil"/>
              <w:bottom w:val="single" w:sz="4" w:space="0" w:color="auto"/>
              <w:right w:val="single" w:sz="4" w:space="0" w:color="auto"/>
            </w:tcBorders>
            <w:shd w:val="clear" w:color="auto" w:fill="auto"/>
            <w:vAlign w:val="center"/>
            <w:hideMark/>
          </w:tcPr>
          <w:p w:rsidR="00874971" w:rsidRPr="002D6954" w:rsidRDefault="00874971" w:rsidP="00874971">
            <w:pPr>
              <w:jc w:val="center"/>
              <w:rPr>
                <w:sz w:val="20"/>
                <w:szCs w:val="20"/>
              </w:rPr>
            </w:pPr>
            <w:r w:rsidRPr="002D6954">
              <w:rPr>
                <w:sz w:val="20"/>
                <w:szCs w:val="20"/>
              </w:rPr>
              <w:t>19,3</w:t>
            </w:r>
          </w:p>
        </w:tc>
        <w:tc>
          <w:tcPr>
            <w:tcW w:w="1141" w:type="dxa"/>
            <w:tcBorders>
              <w:top w:val="nil"/>
              <w:left w:val="nil"/>
              <w:bottom w:val="single" w:sz="4" w:space="0" w:color="auto"/>
              <w:right w:val="single" w:sz="4" w:space="0" w:color="auto"/>
            </w:tcBorders>
            <w:shd w:val="clear" w:color="auto" w:fill="auto"/>
            <w:vAlign w:val="center"/>
            <w:hideMark/>
          </w:tcPr>
          <w:p w:rsidR="00874971" w:rsidRPr="002D6954" w:rsidRDefault="00874971" w:rsidP="00874971">
            <w:pPr>
              <w:jc w:val="center"/>
              <w:rPr>
                <w:sz w:val="20"/>
                <w:szCs w:val="20"/>
              </w:rPr>
            </w:pPr>
            <w:r w:rsidRPr="002D6954">
              <w:rPr>
                <w:sz w:val="20"/>
                <w:szCs w:val="20"/>
              </w:rPr>
              <w:t>0,6</w:t>
            </w:r>
          </w:p>
        </w:tc>
      </w:tr>
      <w:tr w:rsidR="00874971" w:rsidRPr="002D6954" w:rsidTr="00874971">
        <w:trPr>
          <w:trHeight w:val="259"/>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874971" w:rsidRPr="002D6954" w:rsidRDefault="00874971" w:rsidP="00874971">
            <w:pPr>
              <w:rPr>
                <w:sz w:val="20"/>
                <w:szCs w:val="20"/>
              </w:rPr>
            </w:pPr>
            <w:r w:rsidRPr="002D6954">
              <w:rPr>
                <w:sz w:val="20"/>
                <w:szCs w:val="20"/>
              </w:rPr>
              <w:t>12 Средства массовой информации</w:t>
            </w:r>
          </w:p>
        </w:tc>
        <w:tc>
          <w:tcPr>
            <w:tcW w:w="1418" w:type="dxa"/>
            <w:tcBorders>
              <w:top w:val="nil"/>
              <w:left w:val="nil"/>
              <w:bottom w:val="single" w:sz="4" w:space="0" w:color="auto"/>
              <w:right w:val="single" w:sz="4" w:space="0" w:color="auto"/>
            </w:tcBorders>
            <w:shd w:val="clear" w:color="auto" w:fill="auto"/>
            <w:noWrap/>
            <w:vAlign w:val="center"/>
            <w:hideMark/>
          </w:tcPr>
          <w:p w:rsidR="00874971" w:rsidRPr="002D6954" w:rsidRDefault="00874971" w:rsidP="00874971">
            <w:pPr>
              <w:jc w:val="right"/>
              <w:rPr>
                <w:sz w:val="20"/>
                <w:szCs w:val="20"/>
              </w:rPr>
            </w:pPr>
            <w:r w:rsidRPr="002D6954">
              <w:rPr>
                <w:sz w:val="20"/>
                <w:szCs w:val="20"/>
              </w:rPr>
              <w:t>179 836,0</w:t>
            </w:r>
          </w:p>
        </w:tc>
        <w:tc>
          <w:tcPr>
            <w:tcW w:w="1278" w:type="dxa"/>
            <w:tcBorders>
              <w:top w:val="nil"/>
              <w:left w:val="nil"/>
              <w:bottom w:val="single" w:sz="4" w:space="0" w:color="auto"/>
              <w:right w:val="single" w:sz="4" w:space="0" w:color="auto"/>
            </w:tcBorders>
            <w:shd w:val="clear" w:color="auto" w:fill="auto"/>
            <w:noWrap/>
            <w:vAlign w:val="center"/>
            <w:hideMark/>
          </w:tcPr>
          <w:p w:rsidR="00874971" w:rsidRPr="002D6954" w:rsidRDefault="00874971" w:rsidP="00874971">
            <w:pPr>
              <w:jc w:val="right"/>
              <w:rPr>
                <w:sz w:val="20"/>
                <w:szCs w:val="20"/>
              </w:rPr>
            </w:pPr>
            <w:r w:rsidRPr="002D6954">
              <w:rPr>
                <w:sz w:val="20"/>
                <w:szCs w:val="20"/>
              </w:rPr>
              <w:t>31 789,6</w:t>
            </w:r>
          </w:p>
        </w:tc>
        <w:tc>
          <w:tcPr>
            <w:tcW w:w="1561" w:type="dxa"/>
            <w:tcBorders>
              <w:top w:val="nil"/>
              <w:left w:val="nil"/>
              <w:bottom w:val="single" w:sz="4" w:space="0" w:color="auto"/>
              <w:right w:val="single" w:sz="4" w:space="0" w:color="auto"/>
            </w:tcBorders>
            <w:shd w:val="clear" w:color="auto" w:fill="auto"/>
            <w:vAlign w:val="center"/>
            <w:hideMark/>
          </w:tcPr>
          <w:p w:rsidR="00874971" w:rsidRPr="002D6954" w:rsidRDefault="00874971" w:rsidP="00874971">
            <w:pPr>
              <w:jc w:val="center"/>
              <w:rPr>
                <w:sz w:val="20"/>
                <w:szCs w:val="20"/>
              </w:rPr>
            </w:pPr>
            <w:r w:rsidRPr="002D6954">
              <w:rPr>
                <w:sz w:val="20"/>
                <w:szCs w:val="20"/>
              </w:rPr>
              <w:t>17,7</w:t>
            </w:r>
          </w:p>
        </w:tc>
        <w:tc>
          <w:tcPr>
            <w:tcW w:w="1141" w:type="dxa"/>
            <w:tcBorders>
              <w:top w:val="nil"/>
              <w:left w:val="nil"/>
              <w:bottom w:val="single" w:sz="4" w:space="0" w:color="auto"/>
              <w:right w:val="single" w:sz="4" w:space="0" w:color="auto"/>
            </w:tcBorders>
            <w:shd w:val="clear" w:color="auto" w:fill="auto"/>
            <w:vAlign w:val="center"/>
            <w:hideMark/>
          </w:tcPr>
          <w:p w:rsidR="00874971" w:rsidRPr="002D6954" w:rsidRDefault="00874971" w:rsidP="00874971">
            <w:pPr>
              <w:jc w:val="center"/>
              <w:rPr>
                <w:sz w:val="20"/>
                <w:szCs w:val="20"/>
              </w:rPr>
            </w:pPr>
            <w:r w:rsidRPr="002D6954">
              <w:rPr>
                <w:sz w:val="20"/>
                <w:szCs w:val="20"/>
              </w:rPr>
              <w:t>0,4</w:t>
            </w:r>
          </w:p>
        </w:tc>
      </w:tr>
      <w:tr w:rsidR="00874971" w:rsidRPr="002D6954" w:rsidTr="00874971">
        <w:trPr>
          <w:trHeight w:val="277"/>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874971" w:rsidRPr="002D6954" w:rsidRDefault="00874971" w:rsidP="00874971">
            <w:pPr>
              <w:rPr>
                <w:sz w:val="20"/>
                <w:szCs w:val="20"/>
              </w:rPr>
            </w:pPr>
            <w:r w:rsidRPr="002D6954">
              <w:rPr>
                <w:sz w:val="20"/>
                <w:szCs w:val="20"/>
              </w:rPr>
              <w:t>13 Обслуживание государственного долга</w:t>
            </w:r>
          </w:p>
        </w:tc>
        <w:tc>
          <w:tcPr>
            <w:tcW w:w="1418" w:type="dxa"/>
            <w:tcBorders>
              <w:top w:val="nil"/>
              <w:left w:val="nil"/>
              <w:bottom w:val="single" w:sz="4" w:space="0" w:color="auto"/>
              <w:right w:val="single" w:sz="4" w:space="0" w:color="auto"/>
            </w:tcBorders>
            <w:shd w:val="clear" w:color="auto" w:fill="auto"/>
            <w:noWrap/>
            <w:vAlign w:val="center"/>
            <w:hideMark/>
          </w:tcPr>
          <w:p w:rsidR="00874971" w:rsidRPr="002D6954" w:rsidRDefault="00874971" w:rsidP="00874971">
            <w:pPr>
              <w:jc w:val="right"/>
              <w:rPr>
                <w:sz w:val="20"/>
                <w:szCs w:val="20"/>
              </w:rPr>
            </w:pPr>
            <w:r w:rsidRPr="002D6954">
              <w:rPr>
                <w:sz w:val="20"/>
                <w:szCs w:val="20"/>
              </w:rPr>
              <w:t>15 903,6</w:t>
            </w:r>
          </w:p>
        </w:tc>
        <w:tc>
          <w:tcPr>
            <w:tcW w:w="1278" w:type="dxa"/>
            <w:tcBorders>
              <w:top w:val="nil"/>
              <w:left w:val="nil"/>
              <w:bottom w:val="single" w:sz="4" w:space="0" w:color="auto"/>
              <w:right w:val="single" w:sz="4" w:space="0" w:color="auto"/>
            </w:tcBorders>
            <w:shd w:val="clear" w:color="auto" w:fill="auto"/>
            <w:noWrap/>
            <w:vAlign w:val="center"/>
            <w:hideMark/>
          </w:tcPr>
          <w:p w:rsidR="00874971" w:rsidRPr="002D6954" w:rsidRDefault="00874971" w:rsidP="00874971">
            <w:pPr>
              <w:jc w:val="right"/>
              <w:rPr>
                <w:sz w:val="20"/>
                <w:szCs w:val="20"/>
              </w:rPr>
            </w:pPr>
            <w:r w:rsidRPr="002D6954">
              <w:rPr>
                <w:sz w:val="20"/>
                <w:szCs w:val="20"/>
              </w:rPr>
              <w:t>-</w:t>
            </w:r>
          </w:p>
        </w:tc>
        <w:tc>
          <w:tcPr>
            <w:tcW w:w="1561" w:type="dxa"/>
            <w:tcBorders>
              <w:top w:val="nil"/>
              <w:left w:val="nil"/>
              <w:bottom w:val="single" w:sz="4" w:space="0" w:color="auto"/>
              <w:right w:val="single" w:sz="4" w:space="0" w:color="auto"/>
            </w:tcBorders>
            <w:shd w:val="clear" w:color="auto" w:fill="auto"/>
            <w:vAlign w:val="center"/>
            <w:hideMark/>
          </w:tcPr>
          <w:p w:rsidR="00874971" w:rsidRPr="002D6954" w:rsidRDefault="00874971" w:rsidP="00874971">
            <w:pPr>
              <w:jc w:val="center"/>
              <w:rPr>
                <w:sz w:val="20"/>
                <w:szCs w:val="20"/>
              </w:rPr>
            </w:pPr>
            <w:r w:rsidRPr="002D6954">
              <w:rPr>
                <w:sz w:val="20"/>
                <w:szCs w:val="20"/>
              </w:rPr>
              <w:t>-</w:t>
            </w:r>
          </w:p>
        </w:tc>
        <w:tc>
          <w:tcPr>
            <w:tcW w:w="1141" w:type="dxa"/>
            <w:tcBorders>
              <w:top w:val="nil"/>
              <w:left w:val="nil"/>
              <w:bottom w:val="single" w:sz="4" w:space="0" w:color="auto"/>
              <w:right w:val="single" w:sz="4" w:space="0" w:color="auto"/>
            </w:tcBorders>
            <w:shd w:val="clear" w:color="auto" w:fill="auto"/>
            <w:vAlign w:val="center"/>
            <w:hideMark/>
          </w:tcPr>
          <w:p w:rsidR="00874971" w:rsidRPr="002D6954" w:rsidRDefault="00874971" w:rsidP="00874971">
            <w:pPr>
              <w:jc w:val="center"/>
              <w:rPr>
                <w:sz w:val="20"/>
                <w:szCs w:val="20"/>
              </w:rPr>
            </w:pPr>
            <w:r w:rsidRPr="002D6954">
              <w:rPr>
                <w:sz w:val="20"/>
                <w:szCs w:val="20"/>
              </w:rPr>
              <w:t>-</w:t>
            </w:r>
          </w:p>
        </w:tc>
      </w:tr>
      <w:tr w:rsidR="00874971" w:rsidRPr="002D6954" w:rsidTr="002D6954">
        <w:trPr>
          <w:trHeight w:val="219"/>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874971" w:rsidRDefault="00874971" w:rsidP="00874971">
            <w:pPr>
              <w:rPr>
                <w:sz w:val="20"/>
                <w:szCs w:val="20"/>
              </w:rPr>
            </w:pPr>
            <w:r w:rsidRPr="002D6954">
              <w:rPr>
                <w:sz w:val="20"/>
                <w:szCs w:val="20"/>
              </w:rPr>
              <w:t xml:space="preserve">14 Межбюджетные трансферты общего характера муниципальным бюджетам </w:t>
            </w:r>
          </w:p>
          <w:p w:rsidR="00874971" w:rsidRPr="00874971" w:rsidRDefault="00874971" w:rsidP="00874971">
            <w:pPr>
              <w:rPr>
                <w:sz w:val="4"/>
                <w:szCs w:val="4"/>
              </w:rPr>
            </w:pPr>
          </w:p>
        </w:tc>
        <w:tc>
          <w:tcPr>
            <w:tcW w:w="1418" w:type="dxa"/>
            <w:tcBorders>
              <w:top w:val="nil"/>
              <w:left w:val="nil"/>
              <w:bottom w:val="single" w:sz="4" w:space="0" w:color="auto"/>
              <w:right w:val="single" w:sz="4" w:space="0" w:color="auto"/>
            </w:tcBorders>
            <w:shd w:val="clear" w:color="auto" w:fill="auto"/>
            <w:noWrap/>
            <w:vAlign w:val="center"/>
            <w:hideMark/>
          </w:tcPr>
          <w:p w:rsidR="00874971" w:rsidRPr="002D6954" w:rsidRDefault="00874971" w:rsidP="00874971">
            <w:pPr>
              <w:jc w:val="right"/>
              <w:rPr>
                <w:sz w:val="20"/>
                <w:szCs w:val="20"/>
              </w:rPr>
            </w:pPr>
            <w:r w:rsidRPr="002D6954">
              <w:rPr>
                <w:sz w:val="20"/>
                <w:szCs w:val="20"/>
              </w:rPr>
              <w:t>4 360 909,9</w:t>
            </w:r>
          </w:p>
        </w:tc>
        <w:tc>
          <w:tcPr>
            <w:tcW w:w="1278" w:type="dxa"/>
            <w:tcBorders>
              <w:top w:val="nil"/>
              <w:left w:val="nil"/>
              <w:bottom w:val="single" w:sz="4" w:space="0" w:color="auto"/>
              <w:right w:val="single" w:sz="4" w:space="0" w:color="auto"/>
            </w:tcBorders>
            <w:shd w:val="clear" w:color="auto" w:fill="auto"/>
            <w:noWrap/>
            <w:vAlign w:val="center"/>
            <w:hideMark/>
          </w:tcPr>
          <w:p w:rsidR="00874971" w:rsidRPr="002D6954" w:rsidRDefault="00874971" w:rsidP="00874971">
            <w:pPr>
              <w:jc w:val="right"/>
              <w:rPr>
                <w:sz w:val="20"/>
                <w:szCs w:val="20"/>
              </w:rPr>
            </w:pPr>
            <w:r w:rsidRPr="002D6954">
              <w:rPr>
                <w:sz w:val="20"/>
                <w:szCs w:val="20"/>
              </w:rPr>
              <w:t>402 351,0</w:t>
            </w:r>
          </w:p>
        </w:tc>
        <w:tc>
          <w:tcPr>
            <w:tcW w:w="1561" w:type="dxa"/>
            <w:tcBorders>
              <w:top w:val="nil"/>
              <w:left w:val="nil"/>
              <w:bottom w:val="single" w:sz="4" w:space="0" w:color="auto"/>
              <w:right w:val="single" w:sz="4" w:space="0" w:color="auto"/>
            </w:tcBorders>
            <w:shd w:val="clear" w:color="auto" w:fill="auto"/>
            <w:vAlign w:val="center"/>
            <w:hideMark/>
          </w:tcPr>
          <w:p w:rsidR="00874971" w:rsidRPr="002D6954" w:rsidRDefault="00874971" w:rsidP="00874971">
            <w:pPr>
              <w:jc w:val="center"/>
              <w:rPr>
                <w:sz w:val="20"/>
                <w:szCs w:val="20"/>
              </w:rPr>
            </w:pPr>
            <w:r w:rsidRPr="002D6954">
              <w:rPr>
                <w:sz w:val="20"/>
                <w:szCs w:val="20"/>
              </w:rPr>
              <w:t>9,2</w:t>
            </w:r>
          </w:p>
        </w:tc>
        <w:tc>
          <w:tcPr>
            <w:tcW w:w="1141" w:type="dxa"/>
            <w:tcBorders>
              <w:top w:val="nil"/>
              <w:left w:val="nil"/>
              <w:bottom w:val="single" w:sz="4" w:space="0" w:color="auto"/>
              <w:right w:val="single" w:sz="4" w:space="0" w:color="auto"/>
            </w:tcBorders>
            <w:shd w:val="clear" w:color="auto" w:fill="auto"/>
            <w:vAlign w:val="center"/>
            <w:hideMark/>
          </w:tcPr>
          <w:p w:rsidR="00874971" w:rsidRPr="002D6954" w:rsidRDefault="00874971" w:rsidP="00874971">
            <w:pPr>
              <w:jc w:val="center"/>
              <w:rPr>
                <w:sz w:val="20"/>
                <w:szCs w:val="20"/>
              </w:rPr>
            </w:pPr>
            <w:r w:rsidRPr="002D6954">
              <w:rPr>
                <w:sz w:val="20"/>
                <w:szCs w:val="20"/>
              </w:rPr>
              <w:t>4,6</w:t>
            </w:r>
          </w:p>
        </w:tc>
      </w:tr>
    </w:tbl>
    <w:p w:rsidR="00191861" w:rsidRPr="00467F9C" w:rsidRDefault="00191861" w:rsidP="00191861">
      <w:pPr>
        <w:spacing w:before="120"/>
        <w:ind w:firstLine="709"/>
        <w:jc w:val="both"/>
        <w:rPr>
          <w:sz w:val="28"/>
          <w:szCs w:val="28"/>
        </w:rPr>
      </w:pPr>
      <w:r w:rsidRPr="00467F9C">
        <w:rPr>
          <w:sz w:val="28"/>
          <w:szCs w:val="28"/>
        </w:rPr>
        <w:t>В структуре расходов окружного бюджета наибольший объем занимают расходы на жилищно-коммунальное хозяйство – 35,6%, национальную экономику – 19,6%, межбюджетные трансферты общего характера – 4,6%. Расходы на социальную сферу составили 33,4% (образование – 17,2%; здравоохранение – 7,9%; социальная политика – 8,3%). Удельный вес расходов по остальным разделам в общем объеме расходов окружного бюджета менее 5%.</w:t>
      </w:r>
    </w:p>
    <w:p w:rsidR="00191861" w:rsidRPr="00467F9C" w:rsidRDefault="00191861" w:rsidP="00191861">
      <w:pPr>
        <w:ind w:firstLine="709"/>
        <w:jc w:val="both"/>
        <w:rPr>
          <w:sz w:val="28"/>
          <w:szCs w:val="28"/>
        </w:rPr>
      </w:pPr>
      <w:r w:rsidRPr="00467F9C">
        <w:rPr>
          <w:sz w:val="28"/>
          <w:szCs w:val="28"/>
        </w:rPr>
        <w:t>Уровень исполнения мероприятий по отдельным разделам бюджетной классификации составил менее 15% (Национальная экономика – 13,2%,</w:t>
      </w:r>
      <w:r w:rsidRPr="00467F9C">
        <w:rPr>
          <w:rFonts w:eastAsia="Calibri"/>
          <w:sz w:val="22"/>
          <w:szCs w:val="22"/>
          <w:lang w:eastAsia="en-US"/>
        </w:rPr>
        <w:t xml:space="preserve"> </w:t>
      </w:r>
      <w:r w:rsidRPr="00467F9C">
        <w:rPr>
          <w:sz w:val="28"/>
          <w:szCs w:val="28"/>
        </w:rPr>
        <w:t xml:space="preserve">Культура, кинематография – 8,5%, Охрана окружающей среды – 2,6%, Межбюджетные трансферты общего характера муниципальным бюджетам – 9,2%). </w:t>
      </w:r>
    </w:p>
    <w:p w:rsidR="00191861" w:rsidRPr="00467F9C" w:rsidRDefault="00191861" w:rsidP="00191861">
      <w:pPr>
        <w:ind w:firstLine="709"/>
        <w:jc w:val="both"/>
        <w:rPr>
          <w:sz w:val="28"/>
          <w:szCs w:val="28"/>
        </w:rPr>
      </w:pPr>
      <w:r w:rsidRPr="00467F9C">
        <w:rPr>
          <w:sz w:val="28"/>
          <w:szCs w:val="28"/>
        </w:rPr>
        <w:t>По разделу «Обслуживание государственного долга» расходы не осуществлялись.</w:t>
      </w:r>
    </w:p>
    <w:p w:rsidR="00191861" w:rsidRPr="00874971" w:rsidRDefault="00191861" w:rsidP="00191861">
      <w:pPr>
        <w:pStyle w:val="6"/>
        <w:keepNext w:val="0"/>
        <w:widowControl w:val="0"/>
        <w:spacing w:before="240" w:after="120"/>
        <w:ind w:firstLine="0"/>
        <w:jc w:val="center"/>
        <w:rPr>
          <w:rFonts w:ascii="Times New Roman" w:hAnsi="Times New Roman"/>
          <w:b w:val="0"/>
          <w:sz w:val="28"/>
          <w:szCs w:val="28"/>
        </w:rPr>
      </w:pPr>
      <w:r w:rsidRPr="00874971">
        <w:rPr>
          <w:rFonts w:ascii="Times New Roman" w:hAnsi="Times New Roman"/>
          <w:sz w:val="28"/>
          <w:szCs w:val="28"/>
        </w:rPr>
        <w:t>Реализация государственных программ и непрограммных направлений деятельности Чукотского автономного округа</w:t>
      </w:r>
    </w:p>
    <w:p w:rsidR="00191861" w:rsidRPr="00467F9C" w:rsidRDefault="00191861" w:rsidP="00191861">
      <w:pPr>
        <w:widowControl w:val="0"/>
        <w:tabs>
          <w:tab w:val="left" w:pos="567"/>
        </w:tabs>
        <w:suppressAutoHyphens/>
        <w:ind w:firstLine="709"/>
        <w:jc w:val="both"/>
        <w:rPr>
          <w:bCs/>
          <w:sz w:val="28"/>
          <w:szCs w:val="28"/>
          <w:lang w:eastAsia="ar-SA"/>
        </w:rPr>
      </w:pPr>
      <w:r w:rsidRPr="00467F9C">
        <w:rPr>
          <w:bCs/>
          <w:sz w:val="28"/>
          <w:szCs w:val="28"/>
          <w:lang w:eastAsia="ar-SA"/>
        </w:rPr>
        <w:t xml:space="preserve">Объемы бюджетных ассигнований на программные и непрограммные расходы окружного бюджета </w:t>
      </w:r>
      <w:r w:rsidRPr="00467F9C">
        <w:rPr>
          <w:sz w:val="28"/>
          <w:szCs w:val="28"/>
        </w:rPr>
        <w:t>приведены в таблице №9.</w:t>
      </w:r>
    </w:p>
    <w:p w:rsidR="00191861" w:rsidRPr="00467F9C" w:rsidRDefault="00191861" w:rsidP="00191861">
      <w:pPr>
        <w:jc w:val="right"/>
        <w:rPr>
          <w:bCs/>
          <w:iCs/>
          <w:sz w:val="28"/>
          <w:szCs w:val="28"/>
        </w:rPr>
      </w:pPr>
      <w:r w:rsidRPr="00467F9C">
        <w:rPr>
          <w:bCs/>
          <w:iCs/>
          <w:sz w:val="28"/>
          <w:szCs w:val="28"/>
        </w:rPr>
        <w:t>Таблица №9</w:t>
      </w:r>
    </w:p>
    <w:p w:rsidR="00191861" w:rsidRPr="00467F9C" w:rsidRDefault="00191861" w:rsidP="00191861">
      <w:pPr>
        <w:jc w:val="right"/>
        <w:rPr>
          <w:bCs/>
          <w:iCs/>
          <w:sz w:val="28"/>
          <w:szCs w:val="28"/>
        </w:rPr>
      </w:pPr>
      <w:r w:rsidRPr="00467F9C">
        <w:rPr>
          <w:bCs/>
          <w:iCs/>
          <w:sz w:val="28"/>
          <w:szCs w:val="2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3"/>
        <w:gridCol w:w="1694"/>
        <w:gridCol w:w="1365"/>
        <w:gridCol w:w="1694"/>
        <w:gridCol w:w="1161"/>
      </w:tblGrid>
      <w:tr w:rsidR="00467F9C" w:rsidRPr="003D6C93" w:rsidTr="00410767">
        <w:trPr>
          <w:trHeight w:val="403"/>
        </w:trPr>
        <w:tc>
          <w:tcPr>
            <w:tcW w:w="1928" w:type="pct"/>
            <w:shd w:val="clear" w:color="auto" w:fill="auto"/>
            <w:vAlign w:val="center"/>
            <w:hideMark/>
          </w:tcPr>
          <w:p w:rsidR="00191861" w:rsidRPr="003D6C93" w:rsidRDefault="00191861" w:rsidP="00191861">
            <w:pPr>
              <w:jc w:val="center"/>
              <w:rPr>
                <w:sz w:val="20"/>
                <w:szCs w:val="20"/>
              </w:rPr>
            </w:pPr>
            <w:r w:rsidRPr="003D6C93">
              <w:rPr>
                <w:sz w:val="20"/>
                <w:szCs w:val="20"/>
              </w:rPr>
              <w:t>Наименование показателя</w:t>
            </w:r>
          </w:p>
        </w:tc>
        <w:tc>
          <w:tcPr>
            <w:tcW w:w="880" w:type="pct"/>
            <w:shd w:val="clear" w:color="auto" w:fill="auto"/>
            <w:vAlign w:val="center"/>
            <w:hideMark/>
          </w:tcPr>
          <w:p w:rsidR="00191861" w:rsidRPr="003D6C93" w:rsidRDefault="00191861" w:rsidP="00191861">
            <w:pPr>
              <w:jc w:val="center"/>
              <w:rPr>
                <w:sz w:val="20"/>
                <w:szCs w:val="20"/>
              </w:rPr>
            </w:pPr>
            <w:r w:rsidRPr="003D6C93">
              <w:rPr>
                <w:sz w:val="20"/>
                <w:szCs w:val="20"/>
              </w:rPr>
              <w:t xml:space="preserve">Утверждено на 2022 год </w:t>
            </w:r>
          </w:p>
        </w:tc>
        <w:tc>
          <w:tcPr>
            <w:tcW w:w="709" w:type="pct"/>
            <w:shd w:val="clear" w:color="auto" w:fill="auto"/>
            <w:vAlign w:val="center"/>
            <w:hideMark/>
          </w:tcPr>
          <w:p w:rsidR="00191861" w:rsidRPr="003D6C93" w:rsidRDefault="00191861" w:rsidP="00191861">
            <w:pPr>
              <w:jc w:val="center"/>
              <w:rPr>
                <w:sz w:val="20"/>
                <w:szCs w:val="20"/>
              </w:rPr>
            </w:pPr>
            <w:r w:rsidRPr="003D6C93">
              <w:rPr>
                <w:sz w:val="20"/>
                <w:szCs w:val="20"/>
              </w:rPr>
              <w:t>Исполнено</w:t>
            </w:r>
          </w:p>
        </w:tc>
        <w:tc>
          <w:tcPr>
            <w:tcW w:w="880" w:type="pct"/>
            <w:shd w:val="clear" w:color="auto" w:fill="auto"/>
            <w:vAlign w:val="center"/>
            <w:hideMark/>
          </w:tcPr>
          <w:p w:rsidR="00191861" w:rsidRPr="003D6C93" w:rsidRDefault="00191861" w:rsidP="00191861">
            <w:pPr>
              <w:jc w:val="center"/>
              <w:rPr>
                <w:sz w:val="20"/>
                <w:szCs w:val="20"/>
              </w:rPr>
            </w:pPr>
            <w:r w:rsidRPr="003D6C93">
              <w:rPr>
                <w:sz w:val="20"/>
                <w:szCs w:val="20"/>
              </w:rPr>
              <w:t xml:space="preserve">Уровень исполнения, % </w:t>
            </w:r>
          </w:p>
        </w:tc>
        <w:tc>
          <w:tcPr>
            <w:tcW w:w="604" w:type="pct"/>
            <w:shd w:val="clear" w:color="auto" w:fill="auto"/>
            <w:vAlign w:val="center"/>
            <w:hideMark/>
          </w:tcPr>
          <w:p w:rsidR="00191861" w:rsidRPr="003D6C93" w:rsidRDefault="00191861" w:rsidP="00191861">
            <w:pPr>
              <w:jc w:val="center"/>
              <w:rPr>
                <w:sz w:val="20"/>
                <w:szCs w:val="20"/>
              </w:rPr>
            </w:pPr>
            <w:r w:rsidRPr="003D6C93">
              <w:rPr>
                <w:sz w:val="20"/>
                <w:szCs w:val="20"/>
              </w:rPr>
              <w:t>Удельный вес, %</w:t>
            </w:r>
          </w:p>
        </w:tc>
      </w:tr>
      <w:tr w:rsidR="00467F9C" w:rsidRPr="003D6C93" w:rsidTr="00410767">
        <w:trPr>
          <w:trHeight w:val="61"/>
        </w:trPr>
        <w:tc>
          <w:tcPr>
            <w:tcW w:w="1928" w:type="pct"/>
            <w:shd w:val="clear" w:color="auto" w:fill="auto"/>
            <w:vAlign w:val="center"/>
            <w:hideMark/>
          </w:tcPr>
          <w:p w:rsidR="00191861" w:rsidRPr="003D6C93" w:rsidRDefault="00191861" w:rsidP="00191861">
            <w:pPr>
              <w:jc w:val="center"/>
              <w:rPr>
                <w:sz w:val="20"/>
                <w:szCs w:val="20"/>
              </w:rPr>
            </w:pPr>
            <w:r w:rsidRPr="003D6C93">
              <w:rPr>
                <w:sz w:val="20"/>
                <w:szCs w:val="20"/>
              </w:rPr>
              <w:t>1</w:t>
            </w:r>
          </w:p>
        </w:tc>
        <w:tc>
          <w:tcPr>
            <w:tcW w:w="880" w:type="pct"/>
            <w:shd w:val="clear" w:color="auto" w:fill="auto"/>
            <w:vAlign w:val="center"/>
            <w:hideMark/>
          </w:tcPr>
          <w:p w:rsidR="00191861" w:rsidRPr="003D6C93" w:rsidRDefault="00191861" w:rsidP="00191861">
            <w:pPr>
              <w:jc w:val="center"/>
              <w:rPr>
                <w:sz w:val="20"/>
                <w:szCs w:val="20"/>
              </w:rPr>
            </w:pPr>
            <w:r w:rsidRPr="003D6C93">
              <w:rPr>
                <w:sz w:val="20"/>
                <w:szCs w:val="20"/>
              </w:rPr>
              <w:t>2</w:t>
            </w:r>
          </w:p>
        </w:tc>
        <w:tc>
          <w:tcPr>
            <w:tcW w:w="709" w:type="pct"/>
            <w:shd w:val="clear" w:color="auto" w:fill="auto"/>
            <w:vAlign w:val="center"/>
            <w:hideMark/>
          </w:tcPr>
          <w:p w:rsidR="00191861" w:rsidRPr="003D6C93" w:rsidRDefault="00191861" w:rsidP="00191861">
            <w:pPr>
              <w:jc w:val="center"/>
              <w:rPr>
                <w:sz w:val="20"/>
                <w:szCs w:val="20"/>
              </w:rPr>
            </w:pPr>
            <w:r w:rsidRPr="003D6C93">
              <w:rPr>
                <w:sz w:val="20"/>
                <w:szCs w:val="20"/>
              </w:rPr>
              <w:t>3</w:t>
            </w:r>
          </w:p>
        </w:tc>
        <w:tc>
          <w:tcPr>
            <w:tcW w:w="880" w:type="pct"/>
            <w:shd w:val="clear" w:color="auto" w:fill="auto"/>
            <w:vAlign w:val="center"/>
            <w:hideMark/>
          </w:tcPr>
          <w:p w:rsidR="00191861" w:rsidRPr="003D6C93" w:rsidRDefault="00191861" w:rsidP="00191861">
            <w:pPr>
              <w:jc w:val="center"/>
              <w:rPr>
                <w:sz w:val="20"/>
                <w:szCs w:val="20"/>
              </w:rPr>
            </w:pPr>
            <w:r w:rsidRPr="003D6C93">
              <w:rPr>
                <w:sz w:val="20"/>
                <w:szCs w:val="20"/>
              </w:rPr>
              <w:t>4</w:t>
            </w:r>
          </w:p>
        </w:tc>
        <w:tc>
          <w:tcPr>
            <w:tcW w:w="604" w:type="pct"/>
            <w:shd w:val="clear" w:color="auto" w:fill="auto"/>
            <w:noWrap/>
            <w:vAlign w:val="center"/>
            <w:hideMark/>
          </w:tcPr>
          <w:p w:rsidR="00191861" w:rsidRPr="003D6C93" w:rsidRDefault="00191861" w:rsidP="00191861">
            <w:pPr>
              <w:jc w:val="center"/>
              <w:rPr>
                <w:sz w:val="20"/>
                <w:szCs w:val="20"/>
              </w:rPr>
            </w:pPr>
            <w:r w:rsidRPr="003D6C93">
              <w:rPr>
                <w:sz w:val="20"/>
                <w:szCs w:val="20"/>
              </w:rPr>
              <w:t>5</w:t>
            </w:r>
          </w:p>
        </w:tc>
      </w:tr>
      <w:tr w:rsidR="00467F9C" w:rsidRPr="003D6C93" w:rsidTr="00410767">
        <w:trPr>
          <w:trHeight w:val="440"/>
        </w:trPr>
        <w:tc>
          <w:tcPr>
            <w:tcW w:w="1928" w:type="pct"/>
            <w:shd w:val="clear" w:color="auto" w:fill="auto"/>
            <w:vAlign w:val="center"/>
            <w:hideMark/>
          </w:tcPr>
          <w:p w:rsidR="00191861" w:rsidRPr="003D6C93" w:rsidRDefault="00191861" w:rsidP="00191861">
            <w:pPr>
              <w:rPr>
                <w:b/>
                <w:bCs/>
                <w:sz w:val="20"/>
                <w:szCs w:val="20"/>
              </w:rPr>
            </w:pPr>
            <w:r w:rsidRPr="003D6C93">
              <w:rPr>
                <w:b/>
                <w:bCs/>
                <w:sz w:val="20"/>
                <w:szCs w:val="20"/>
              </w:rPr>
              <w:t>Всего расходов</w:t>
            </w:r>
          </w:p>
        </w:tc>
        <w:tc>
          <w:tcPr>
            <w:tcW w:w="880" w:type="pct"/>
            <w:shd w:val="clear" w:color="auto" w:fill="auto"/>
            <w:vAlign w:val="bottom"/>
            <w:hideMark/>
          </w:tcPr>
          <w:p w:rsidR="00191861" w:rsidRDefault="00191861" w:rsidP="00191861">
            <w:pPr>
              <w:jc w:val="right"/>
              <w:rPr>
                <w:b/>
                <w:bCs/>
                <w:sz w:val="20"/>
                <w:szCs w:val="20"/>
              </w:rPr>
            </w:pPr>
            <w:r w:rsidRPr="003D6C93">
              <w:rPr>
                <w:b/>
                <w:bCs/>
                <w:sz w:val="20"/>
                <w:szCs w:val="20"/>
              </w:rPr>
              <w:t>53 392 845,2</w:t>
            </w:r>
          </w:p>
          <w:p w:rsidR="00E82165" w:rsidRPr="00E82165" w:rsidRDefault="00E82165" w:rsidP="00191861">
            <w:pPr>
              <w:jc w:val="right"/>
              <w:rPr>
                <w:b/>
                <w:bCs/>
                <w:sz w:val="10"/>
                <w:szCs w:val="10"/>
              </w:rPr>
            </w:pPr>
          </w:p>
          <w:p w:rsidR="003D6C93" w:rsidRPr="003D6C93" w:rsidRDefault="003D6C93" w:rsidP="00191861">
            <w:pPr>
              <w:jc w:val="right"/>
              <w:rPr>
                <w:b/>
                <w:bCs/>
                <w:sz w:val="20"/>
                <w:szCs w:val="20"/>
              </w:rPr>
            </w:pPr>
          </w:p>
        </w:tc>
        <w:tc>
          <w:tcPr>
            <w:tcW w:w="709" w:type="pct"/>
            <w:shd w:val="clear" w:color="auto" w:fill="auto"/>
            <w:vAlign w:val="bottom"/>
            <w:hideMark/>
          </w:tcPr>
          <w:p w:rsidR="00191861" w:rsidRDefault="00191861" w:rsidP="00191861">
            <w:pPr>
              <w:jc w:val="right"/>
              <w:rPr>
                <w:b/>
                <w:bCs/>
                <w:sz w:val="20"/>
                <w:szCs w:val="20"/>
              </w:rPr>
            </w:pPr>
            <w:r w:rsidRPr="003D6C93">
              <w:rPr>
                <w:b/>
                <w:bCs/>
                <w:sz w:val="20"/>
                <w:szCs w:val="20"/>
              </w:rPr>
              <w:t>8 700 921,1</w:t>
            </w:r>
          </w:p>
          <w:p w:rsidR="005D7A3E" w:rsidRPr="005D7A3E" w:rsidRDefault="005D7A3E" w:rsidP="00191861">
            <w:pPr>
              <w:jc w:val="right"/>
              <w:rPr>
                <w:b/>
                <w:bCs/>
                <w:sz w:val="6"/>
                <w:szCs w:val="6"/>
              </w:rPr>
            </w:pPr>
          </w:p>
          <w:p w:rsidR="006F69E6" w:rsidRPr="005D7A3E" w:rsidRDefault="006F69E6" w:rsidP="00191861">
            <w:pPr>
              <w:jc w:val="right"/>
              <w:rPr>
                <w:b/>
                <w:bCs/>
                <w:sz w:val="4"/>
                <w:szCs w:val="4"/>
              </w:rPr>
            </w:pPr>
          </w:p>
          <w:p w:rsidR="00E82165" w:rsidRPr="00E82165" w:rsidRDefault="00E82165" w:rsidP="00191861">
            <w:pPr>
              <w:jc w:val="right"/>
              <w:rPr>
                <w:b/>
                <w:bCs/>
                <w:sz w:val="10"/>
                <w:szCs w:val="10"/>
              </w:rPr>
            </w:pPr>
          </w:p>
        </w:tc>
        <w:tc>
          <w:tcPr>
            <w:tcW w:w="880" w:type="pct"/>
            <w:shd w:val="clear" w:color="auto" w:fill="auto"/>
            <w:noWrap/>
            <w:vAlign w:val="center"/>
            <w:hideMark/>
          </w:tcPr>
          <w:p w:rsidR="00191861" w:rsidRPr="003D6C93" w:rsidRDefault="00191861" w:rsidP="00191861">
            <w:pPr>
              <w:jc w:val="center"/>
              <w:rPr>
                <w:b/>
                <w:bCs/>
                <w:sz w:val="20"/>
                <w:szCs w:val="20"/>
              </w:rPr>
            </w:pPr>
            <w:r w:rsidRPr="003D6C93">
              <w:rPr>
                <w:b/>
                <w:bCs/>
                <w:sz w:val="20"/>
                <w:szCs w:val="20"/>
              </w:rPr>
              <w:t>16,3</w:t>
            </w:r>
          </w:p>
        </w:tc>
        <w:tc>
          <w:tcPr>
            <w:tcW w:w="604" w:type="pct"/>
            <w:shd w:val="clear" w:color="auto" w:fill="auto"/>
            <w:noWrap/>
            <w:vAlign w:val="center"/>
            <w:hideMark/>
          </w:tcPr>
          <w:p w:rsidR="00191861" w:rsidRPr="003D6C93" w:rsidRDefault="00191861" w:rsidP="00191861">
            <w:pPr>
              <w:jc w:val="center"/>
              <w:rPr>
                <w:b/>
                <w:bCs/>
                <w:sz w:val="20"/>
                <w:szCs w:val="20"/>
              </w:rPr>
            </w:pPr>
            <w:r w:rsidRPr="003D6C93">
              <w:rPr>
                <w:b/>
                <w:bCs/>
                <w:sz w:val="20"/>
                <w:szCs w:val="20"/>
              </w:rPr>
              <w:t>100,0</w:t>
            </w:r>
          </w:p>
        </w:tc>
      </w:tr>
      <w:tr w:rsidR="00467F9C" w:rsidRPr="003D6C93" w:rsidTr="00410767">
        <w:trPr>
          <w:trHeight w:val="418"/>
        </w:trPr>
        <w:tc>
          <w:tcPr>
            <w:tcW w:w="1928" w:type="pct"/>
            <w:shd w:val="clear" w:color="auto" w:fill="auto"/>
            <w:vAlign w:val="center"/>
            <w:hideMark/>
          </w:tcPr>
          <w:p w:rsidR="00191861" w:rsidRPr="003D6C93" w:rsidRDefault="00191861" w:rsidP="00191861">
            <w:pPr>
              <w:rPr>
                <w:bCs/>
                <w:sz w:val="20"/>
                <w:szCs w:val="20"/>
              </w:rPr>
            </w:pPr>
            <w:r w:rsidRPr="003D6C93">
              <w:rPr>
                <w:bCs/>
                <w:sz w:val="20"/>
                <w:szCs w:val="20"/>
              </w:rPr>
              <w:t>Программные мероприятия</w:t>
            </w:r>
          </w:p>
        </w:tc>
        <w:tc>
          <w:tcPr>
            <w:tcW w:w="880" w:type="pct"/>
            <w:shd w:val="clear" w:color="auto" w:fill="auto"/>
            <w:noWrap/>
            <w:vAlign w:val="center"/>
            <w:hideMark/>
          </w:tcPr>
          <w:p w:rsidR="00191861" w:rsidRPr="003D6C93" w:rsidRDefault="00191861" w:rsidP="00191861">
            <w:pPr>
              <w:jc w:val="right"/>
              <w:rPr>
                <w:bCs/>
                <w:sz w:val="20"/>
                <w:szCs w:val="20"/>
              </w:rPr>
            </w:pPr>
            <w:r w:rsidRPr="003D6C93">
              <w:rPr>
                <w:bCs/>
                <w:sz w:val="20"/>
                <w:szCs w:val="20"/>
              </w:rPr>
              <w:t>51 137 588,1</w:t>
            </w:r>
          </w:p>
        </w:tc>
        <w:tc>
          <w:tcPr>
            <w:tcW w:w="709" w:type="pct"/>
            <w:shd w:val="clear" w:color="auto" w:fill="auto"/>
            <w:noWrap/>
            <w:vAlign w:val="center"/>
            <w:hideMark/>
          </w:tcPr>
          <w:p w:rsidR="00191861" w:rsidRPr="003D6C93" w:rsidRDefault="00191861" w:rsidP="00191861">
            <w:pPr>
              <w:jc w:val="right"/>
              <w:rPr>
                <w:bCs/>
                <w:sz w:val="20"/>
                <w:szCs w:val="20"/>
              </w:rPr>
            </w:pPr>
            <w:r w:rsidRPr="003D6C93">
              <w:rPr>
                <w:bCs/>
                <w:sz w:val="20"/>
                <w:szCs w:val="20"/>
              </w:rPr>
              <w:t>8 272 615,6</w:t>
            </w:r>
          </w:p>
        </w:tc>
        <w:tc>
          <w:tcPr>
            <w:tcW w:w="880" w:type="pct"/>
            <w:shd w:val="clear" w:color="auto" w:fill="auto"/>
            <w:noWrap/>
            <w:vAlign w:val="center"/>
            <w:hideMark/>
          </w:tcPr>
          <w:p w:rsidR="00191861" w:rsidRPr="003D6C93" w:rsidRDefault="00191861" w:rsidP="00191861">
            <w:pPr>
              <w:jc w:val="center"/>
              <w:rPr>
                <w:bCs/>
                <w:sz w:val="20"/>
                <w:szCs w:val="20"/>
              </w:rPr>
            </w:pPr>
            <w:r w:rsidRPr="003D6C93">
              <w:rPr>
                <w:bCs/>
                <w:sz w:val="20"/>
                <w:szCs w:val="20"/>
              </w:rPr>
              <w:t>16,2</w:t>
            </w:r>
          </w:p>
        </w:tc>
        <w:tc>
          <w:tcPr>
            <w:tcW w:w="604" w:type="pct"/>
            <w:shd w:val="clear" w:color="auto" w:fill="auto"/>
            <w:noWrap/>
            <w:vAlign w:val="center"/>
            <w:hideMark/>
          </w:tcPr>
          <w:p w:rsidR="00191861" w:rsidRPr="003D6C93" w:rsidRDefault="00191861" w:rsidP="00191861">
            <w:pPr>
              <w:jc w:val="center"/>
              <w:rPr>
                <w:bCs/>
                <w:sz w:val="20"/>
                <w:szCs w:val="20"/>
              </w:rPr>
            </w:pPr>
            <w:r w:rsidRPr="003D6C93">
              <w:rPr>
                <w:bCs/>
                <w:sz w:val="20"/>
                <w:szCs w:val="20"/>
              </w:rPr>
              <w:t>95,1</w:t>
            </w:r>
          </w:p>
        </w:tc>
      </w:tr>
      <w:tr w:rsidR="00467F9C" w:rsidRPr="003D6C93" w:rsidTr="00410767">
        <w:trPr>
          <w:trHeight w:val="409"/>
        </w:trPr>
        <w:tc>
          <w:tcPr>
            <w:tcW w:w="1928" w:type="pct"/>
            <w:shd w:val="clear" w:color="auto" w:fill="auto"/>
            <w:vAlign w:val="center"/>
            <w:hideMark/>
          </w:tcPr>
          <w:p w:rsidR="00191861" w:rsidRPr="003D6C93" w:rsidRDefault="00191861" w:rsidP="00191861">
            <w:pPr>
              <w:rPr>
                <w:bCs/>
                <w:sz w:val="20"/>
                <w:szCs w:val="20"/>
              </w:rPr>
            </w:pPr>
            <w:r w:rsidRPr="003D6C93">
              <w:rPr>
                <w:bCs/>
                <w:sz w:val="20"/>
                <w:szCs w:val="20"/>
              </w:rPr>
              <w:t>Непрограммные мероприятия</w:t>
            </w:r>
          </w:p>
        </w:tc>
        <w:tc>
          <w:tcPr>
            <w:tcW w:w="880" w:type="pct"/>
            <w:shd w:val="clear" w:color="auto" w:fill="auto"/>
            <w:noWrap/>
            <w:vAlign w:val="center"/>
            <w:hideMark/>
          </w:tcPr>
          <w:p w:rsidR="00191861" w:rsidRPr="003D6C93" w:rsidRDefault="00191861" w:rsidP="00191861">
            <w:pPr>
              <w:jc w:val="right"/>
              <w:rPr>
                <w:bCs/>
                <w:sz w:val="20"/>
                <w:szCs w:val="20"/>
              </w:rPr>
            </w:pPr>
            <w:r w:rsidRPr="003D6C93">
              <w:rPr>
                <w:bCs/>
                <w:sz w:val="20"/>
                <w:szCs w:val="20"/>
              </w:rPr>
              <w:t>2 255 257,1</w:t>
            </w:r>
          </w:p>
        </w:tc>
        <w:tc>
          <w:tcPr>
            <w:tcW w:w="709" w:type="pct"/>
            <w:shd w:val="clear" w:color="auto" w:fill="auto"/>
            <w:noWrap/>
            <w:vAlign w:val="center"/>
            <w:hideMark/>
          </w:tcPr>
          <w:p w:rsidR="00191861" w:rsidRPr="003D6C93" w:rsidRDefault="00191861" w:rsidP="00191861">
            <w:pPr>
              <w:jc w:val="right"/>
              <w:rPr>
                <w:bCs/>
                <w:sz w:val="20"/>
                <w:szCs w:val="20"/>
              </w:rPr>
            </w:pPr>
            <w:r w:rsidRPr="003D6C93">
              <w:rPr>
                <w:bCs/>
                <w:sz w:val="20"/>
                <w:szCs w:val="20"/>
              </w:rPr>
              <w:t>428 305,5</w:t>
            </w:r>
          </w:p>
        </w:tc>
        <w:tc>
          <w:tcPr>
            <w:tcW w:w="880" w:type="pct"/>
            <w:shd w:val="clear" w:color="auto" w:fill="auto"/>
            <w:noWrap/>
            <w:vAlign w:val="center"/>
            <w:hideMark/>
          </w:tcPr>
          <w:p w:rsidR="00191861" w:rsidRPr="003D6C93" w:rsidRDefault="00191861" w:rsidP="00191861">
            <w:pPr>
              <w:jc w:val="center"/>
              <w:rPr>
                <w:bCs/>
                <w:sz w:val="20"/>
                <w:szCs w:val="20"/>
              </w:rPr>
            </w:pPr>
            <w:r w:rsidRPr="003D6C93">
              <w:rPr>
                <w:bCs/>
                <w:sz w:val="20"/>
                <w:szCs w:val="20"/>
              </w:rPr>
              <w:t>19,0</w:t>
            </w:r>
          </w:p>
        </w:tc>
        <w:tc>
          <w:tcPr>
            <w:tcW w:w="604" w:type="pct"/>
            <w:shd w:val="clear" w:color="auto" w:fill="auto"/>
            <w:noWrap/>
            <w:vAlign w:val="center"/>
            <w:hideMark/>
          </w:tcPr>
          <w:p w:rsidR="00191861" w:rsidRPr="003D6C93" w:rsidRDefault="00191861" w:rsidP="00191861">
            <w:pPr>
              <w:jc w:val="center"/>
              <w:rPr>
                <w:bCs/>
                <w:sz w:val="20"/>
                <w:szCs w:val="20"/>
              </w:rPr>
            </w:pPr>
            <w:r w:rsidRPr="003D6C93">
              <w:rPr>
                <w:bCs/>
                <w:sz w:val="20"/>
                <w:szCs w:val="20"/>
              </w:rPr>
              <w:t>4,9</w:t>
            </w:r>
          </w:p>
        </w:tc>
      </w:tr>
    </w:tbl>
    <w:p w:rsidR="00191861" w:rsidRPr="00467F9C" w:rsidRDefault="00191861" w:rsidP="00191861">
      <w:pPr>
        <w:spacing w:before="120"/>
        <w:ind w:firstLine="709"/>
        <w:jc w:val="both"/>
        <w:rPr>
          <w:rFonts w:eastAsia="Calibri"/>
          <w:sz w:val="28"/>
          <w:szCs w:val="28"/>
          <w:lang w:eastAsia="en-US"/>
        </w:rPr>
      </w:pPr>
      <w:r w:rsidRPr="00467F9C">
        <w:rPr>
          <w:rFonts w:eastAsia="Calibri"/>
          <w:sz w:val="28"/>
          <w:szCs w:val="28"/>
          <w:lang w:eastAsia="en-US"/>
        </w:rPr>
        <w:t xml:space="preserve">Законом об окружном бюджете предусмотрено финансирование восемнадцати Государственных программ Чукотского автономного округа </w:t>
      </w:r>
      <w:r w:rsidRPr="00467F9C">
        <w:rPr>
          <w:rFonts w:eastAsia="Calibri"/>
          <w:sz w:val="28"/>
          <w:szCs w:val="28"/>
          <w:lang w:eastAsia="en-US"/>
        </w:rPr>
        <w:lastRenderedPageBreak/>
        <w:t>(далее – Государственные программы). Сводной бюджетной росписью утверждены бюджетные ассигнования на реализацию программных мероприятий в сумме 51 137 588,1 тыс. рублей или 95,8% плановых показателей.</w:t>
      </w:r>
    </w:p>
    <w:p w:rsidR="00191861" w:rsidRPr="00467F9C" w:rsidRDefault="00191861" w:rsidP="00191861">
      <w:pPr>
        <w:autoSpaceDE w:val="0"/>
        <w:autoSpaceDN w:val="0"/>
        <w:adjustRightInd w:val="0"/>
        <w:ind w:firstLine="709"/>
        <w:jc w:val="both"/>
        <w:rPr>
          <w:rFonts w:eastAsia="Calibri"/>
          <w:sz w:val="28"/>
          <w:szCs w:val="28"/>
          <w:lang w:eastAsia="en-US"/>
        </w:rPr>
      </w:pPr>
      <w:r w:rsidRPr="00467F9C">
        <w:rPr>
          <w:rFonts w:eastAsia="Calibri"/>
          <w:sz w:val="28"/>
          <w:szCs w:val="28"/>
          <w:lang w:eastAsia="en-US"/>
        </w:rPr>
        <w:t xml:space="preserve">Финансирование мероприятий Государственных программ за отчетный период составило 8 272 615,6 тыс. рублей (16,2% уточненных бюджетных назначений). </w:t>
      </w:r>
    </w:p>
    <w:p w:rsidR="00191861" w:rsidRPr="00467F9C" w:rsidRDefault="00191861" w:rsidP="00191861">
      <w:pPr>
        <w:ind w:firstLine="709"/>
        <w:jc w:val="both"/>
        <w:rPr>
          <w:sz w:val="28"/>
          <w:szCs w:val="28"/>
        </w:rPr>
      </w:pPr>
      <w:r w:rsidRPr="00467F9C">
        <w:rPr>
          <w:sz w:val="28"/>
          <w:szCs w:val="28"/>
        </w:rPr>
        <w:t>Информация о результатах реализации Государственных программ за 1 квартал 2022 года приведена в таблице №10.</w:t>
      </w:r>
    </w:p>
    <w:p w:rsidR="00191861" w:rsidRPr="00467F9C" w:rsidRDefault="00191861" w:rsidP="00191861">
      <w:pPr>
        <w:ind w:firstLine="709"/>
        <w:jc w:val="right"/>
        <w:rPr>
          <w:rFonts w:eastAsia="Calibri"/>
          <w:sz w:val="28"/>
          <w:szCs w:val="28"/>
          <w:lang w:eastAsia="en-US"/>
        </w:rPr>
      </w:pPr>
      <w:r w:rsidRPr="00467F9C">
        <w:rPr>
          <w:rFonts w:eastAsia="Calibri"/>
          <w:sz w:val="28"/>
          <w:szCs w:val="28"/>
          <w:lang w:eastAsia="en-US"/>
        </w:rPr>
        <w:t>Таблица №10</w:t>
      </w:r>
    </w:p>
    <w:p w:rsidR="00191861" w:rsidRPr="00467F9C" w:rsidRDefault="00191861" w:rsidP="00191861">
      <w:pPr>
        <w:jc w:val="right"/>
        <w:rPr>
          <w:sz w:val="28"/>
          <w:szCs w:val="28"/>
        </w:rPr>
      </w:pPr>
      <w:r w:rsidRPr="00467F9C">
        <w:rPr>
          <w:sz w:val="28"/>
          <w:szCs w:val="28"/>
        </w:rPr>
        <w:t>(тыс. рублей)</w:t>
      </w:r>
    </w:p>
    <w:tbl>
      <w:tblPr>
        <w:tblW w:w="9780" w:type="dxa"/>
        <w:tblInd w:w="-147" w:type="dxa"/>
        <w:tblLook w:val="04A0" w:firstRow="1" w:lastRow="0" w:firstColumn="1" w:lastColumn="0" w:noHBand="0" w:noVBand="1"/>
      </w:tblPr>
      <w:tblGrid>
        <w:gridCol w:w="4678"/>
        <w:gridCol w:w="1276"/>
        <w:gridCol w:w="1559"/>
        <w:gridCol w:w="1275"/>
        <w:gridCol w:w="992"/>
      </w:tblGrid>
      <w:tr w:rsidR="00467F9C" w:rsidRPr="00EC0141" w:rsidTr="00DE768B">
        <w:trPr>
          <w:trHeight w:val="406"/>
          <w:tblHeader/>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EC0141" w:rsidRDefault="00191861" w:rsidP="00E22CA8">
            <w:pPr>
              <w:ind w:right="-113"/>
              <w:jc w:val="center"/>
              <w:rPr>
                <w:sz w:val="20"/>
                <w:szCs w:val="20"/>
              </w:rPr>
            </w:pPr>
            <w:r w:rsidRPr="00EC0141">
              <w:rPr>
                <w:sz w:val="20"/>
                <w:szCs w:val="20"/>
              </w:rPr>
              <w:t xml:space="preserve">Наименование </w:t>
            </w:r>
            <w:r w:rsidRPr="00EC0141">
              <w:rPr>
                <w:sz w:val="20"/>
                <w:szCs w:val="20"/>
              </w:rPr>
              <w:br/>
              <w:t xml:space="preserve">Государственной программы </w:t>
            </w:r>
            <w:r w:rsidRPr="00EC0141">
              <w:rPr>
                <w:sz w:val="20"/>
                <w:szCs w:val="20"/>
              </w:rPr>
              <w:br/>
              <w:t>Чукотского автономного округа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91861" w:rsidRPr="00EC0141" w:rsidRDefault="00191861" w:rsidP="00EC0141">
            <w:pPr>
              <w:ind w:left="-115"/>
              <w:jc w:val="center"/>
              <w:rPr>
                <w:sz w:val="20"/>
                <w:szCs w:val="20"/>
              </w:rPr>
            </w:pPr>
            <w:r w:rsidRPr="00EC0141">
              <w:rPr>
                <w:sz w:val="20"/>
                <w:szCs w:val="20"/>
              </w:rPr>
              <w:t>Утверждено на 2022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91861" w:rsidRPr="00EC0141" w:rsidRDefault="00191861" w:rsidP="00DE768B">
            <w:pPr>
              <w:ind w:left="-110" w:right="-105"/>
              <w:jc w:val="center"/>
              <w:rPr>
                <w:sz w:val="20"/>
                <w:szCs w:val="20"/>
              </w:rPr>
            </w:pPr>
            <w:r w:rsidRPr="00EC0141">
              <w:rPr>
                <w:sz w:val="20"/>
                <w:szCs w:val="20"/>
              </w:rPr>
              <w:t>Финансирование мероприятий</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91861" w:rsidRPr="00EC0141" w:rsidRDefault="00191861" w:rsidP="00DE768B">
            <w:pPr>
              <w:ind w:left="-103" w:right="-101"/>
              <w:jc w:val="center"/>
              <w:rPr>
                <w:sz w:val="20"/>
                <w:szCs w:val="20"/>
              </w:rPr>
            </w:pPr>
            <w:r w:rsidRPr="00EC0141">
              <w:rPr>
                <w:sz w:val="20"/>
                <w:szCs w:val="20"/>
              </w:rPr>
              <w:t>Уровень исполнения,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91861" w:rsidRPr="00EC0141" w:rsidRDefault="00191861" w:rsidP="007F63AE">
            <w:pPr>
              <w:ind w:left="-107"/>
              <w:jc w:val="center"/>
              <w:rPr>
                <w:sz w:val="20"/>
                <w:szCs w:val="20"/>
              </w:rPr>
            </w:pPr>
            <w:r w:rsidRPr="00EC0141">
              <w:rPr>
                <w:sz w:val="20"/>
                <w:szCs w:val="20"/>
              </w:rPr>
              <w:t>Удельный вес, %</w:t>
            </w:r>
          </w:p>
        </w:tc>
      </w:tr>
      <w:tr w:rsidR="00467F9C" w:rsidRPr="00EC0141" w:rsidTr="00DE768B">
        <w:trPr>
          <w:trHeight w:val="59"/>
          <w:tblHeader/>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Pr="00EC0141" w:rsidRDefault="00191861" w:rsidP="00E22CA8">
            <w:pPr>
              <w:ind w:right="-113"/>
              <w:jc w:val="center"/>
              <w:rPr>
                <w:sz w:val="20"/>
                <w:szCs w:val="20"/>
              </w:rPr>
            </w:pPr>
            <w:r w:rsidRPr="00EC0141">
              <w:rPr>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5"/>
              <w:jc w:val="center"/>
              <w:rPr>
                <w:sz w:val="20"/>
                <w:szCs w:val="20"/>
              </w:rPr>
            </w:pPr>
            <w:r w:rsidRPr="00EC0141">
              <w:rPr>
                <w:sz w:val="20"/>
                <w:szCs w:val="20"/>
              </w:rPr>
              <w:t>2</w:t>
            </w:r>
          </w:p>
        </w:tc>
        <w:tc>
          <w:tcPr>
            <w:tcW w:w="1559"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0"/>
              <w:jc w:val="center"/>
              <w:rPr>
                <w:sz w:val="20"/>
                <w:szCs w:val="20"/>
              </w:rPr>
            </w:pPr>
            <w:r w:rsidRPr="00EC0141">
              <w:rPr>
                <w:sz w:val="20"/>
                <w:szCs w:val="20"/>
              </w:rPr>
              <w:t>3</w:t>
            </w:r>
          </w:p>
        </w:tc>
        <w:tc>
          <w:tcPr>
            <w:tcW w:w="1275"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DE768B">
            <w:pPr>
              <w:ind w:left="-103" w:right="-101"/>
              <w:jc w:val="center"/>
              <w:rPr>
                <w:sz w:val="20"/>
                <w:szCs w:val="20"/>
              </w:rPr>
            </w:pPr>
            <w:r w:rsidRPr="00EC0141">
              <w:rPr>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7F63AE">
            <w:pPr>
              <w:ind w:left="-107"/>
              <w:jc w:val="center"/>
              <w:rPr>
                <w:sz w:val="20"/>
                <w:szCs w:val="20"/>
              </w:rPr>
            </w:pPr>
            <w:r w:rsidRPr="00EC0141">
              <w:rPr>
                <w:sz w:val="20"/>
                <w:szCs w:val="20"/>
              </w:rPr>
              <w:t>5</w:t>
            </w:r>
          </w:p>
        </w:tc>
      </w:tr>
      <w:tr w:rsidR="00467F9C" w:rsidRPr="00EC0141" w:rsidTr="00DE768B">
        <w:trPr>
          <w:trHeight w:val="331"/>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Pr="00EC0141" w:rsidRDefault="00191861" w:rsidP="00E22CA8">
            <w:pPr>
              <w:ind w:right="-113"/>
              <w:rPr>
                <w:b/>
                <w:bCs/>
                <w:sz w:val="20"/>
                <w:szCs w:val="20"/>
              </w:rPr>
            </w:pPr>
            <w:r w:rsidRPr="00EC0141">
              <w:rPr>
                <w:b/>
                <w:bCs/>
                <w:sz w:val="20"/>
                <w:szCs w:val="20"/>
              </w:rPr>
              <w:t xml:space="preserve">Всего </w:t>
            </w:r>
          </w:p>
        </w:tc>
        <w:tc>
          <w:tcPr>
            <w:tcW w:w="1276" w:type="dxa"/>
            <w:tcBorders>
              <w:top w:val="nil"/>
              <w:left w:val="nil"/>
              <w:bottom w:val="single" w:sz="4" w:space="0" w:color="auto"/>
              <w:right w:val="single" w:sz="4" w:space="0" w:color="auto"/>
            </w:tcBorders>
            <w:shd w:val="clear" w:color="auto" w:fill="auto"/>
            <w:noWrap/>
            <w:vAlign w:val="center"/>
            <w:hideMark/>
          </w:tcPr>
          <w:p w:rsidR="00191861" w:rsidRPr="00EC0141" w:rsidRDefault="00191861" w:rsidP="00EC0141">
            <w:pPr>
              <w:ind w:left="-115"/>
              <w:jc w:val="right"/>
              <w:rPr>
                <w:b/>
                <w:bCs/>
                <w:sz w:val="20"/>
                <w:szCs w:val="20"/>
              </w:rPr>
            </w:pPr>
            <w:r w:rsidRPr="00EC0141">
              <w:rPr>
                <w:b/>
                <w:bCs/>
                <w:sz w:val="20"/>
                <w:szCs w:val="20"/>
              </w:rPr>
              <w:t>51 137 588,1</w:t>
            </w:r>
          </w:p>
        </w:tc>
        <w:tc>
          <w:tcPr>
            <w:tcW w:w="1559" w:type="dxa"/>
            <w:tcBorders>
              <w:top w:val="nil"/>
              <w:left w:val="nil"/>
              <w:bottom w:val="single" w:sz="4" w:space="0" w:color="auto"/>
              <w:right w:val="single" w:sz="4" w:space="0" w:color="auto"/>
            </w:tcBorders>
            <w:shd w:val="clear" w:color="auto" w:fill="auto"/>
            <w:noWrap/>
            <w:vAlign w:val="center"/>
            <w:hideMark/>
          </w:tcPr>
          <w:p w:rsidR="00191861" w:rsidRPr="00EC0141" w:rsidRDefault="00191861" w:rsidP="00EC0141">
            <w:pPr>
              <w:ind w:left="-110"/>
              <w:jc w:val="right"/>
              <w:rPr>
                <w:b/>
                <w:bCs/>
                <w:sz w:val="20"/>
                <w:szCs w:val="20"/>
              </w:rPr>
            </w:pPr>
            <w:r w:rsidRPr="00EC0141">
              <w:rPr>
                <w:b/>
                <w:bCs/>
                <w:sz w:val="20"/>
                <w:szCs w:val="20"/>
              </w:rPr>
              <w:t>8 272 615,6</w:t>
            </w:r>
          </w:p>
        </w:tc>
        <w:tc>
          <w:tcPr>
            <w:tcW w:w="1275"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DE768B">
            <w:pPr>
              <w:ind w:left="-103" w:right="-101"/>
              <w:jc w:val="center"/>
              <w:rPr>
                <w:b/>
                <w:bCs/>
                <w:sz w:val="20"/>
                <w:szCs w:val="20"/>
              </w:rPr>
            </w:pPr>
            <w:r w:rsidRPr="00EC0141">
              <w:rPr>
                <w:b/>
                <w:bCs/>
                <w:sz w:val="20"/>
                <w:szCs w:val="20"/>
              </w:rPr>
              <w:t>16,2</w:t>
            </w:r>
          </w:p>
        </w:tc>
        <w:tc>
          <w:tcPr>
            <w:tcW w:w="992"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7F63AE">
            <w:pPr>
              <w:ind w:left="-107"/>
              <w:jc w:val="center"/>
              <w:rPr>
                <w:b/>
                <w:sz w:val="20"/>
                <w:szCs w:val="20"/>
                <w:highlight w:val="yellow"/>
              </w:rPr>
            </w:pPr>
            <w:r w:rsidRPr="00EC0141">
              <w:rPr>
                <w:b/>
                <w:sz w:val="20"/>
                <w:szCs w:val="20"/>
              </w:rPr>
              <w:t>100,0</w:t>
            </w:r>
          </w:p>
        </w:tc>
      </w:tr>
      <w:tr w:rsidR="00467F9C" w:rsidRPr="00EC0141" w:rsidTr="00DE768B">
        <w:trPr>
          <w:trHeight w:val="207"/>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Pr="00EC0141" w:rsidRDefault="00191861" w:rsidP="00E22CA8">
            <w:pPr>
              <w:ind w:right="-113"/>
              <w:rPr>
                <w:sz w:val="20"/>
                <w:szCs w:val="20"/>
              </w:rPr>
            </w:pPr>
            <w:r w:rsidRPr="00EC0141">
              <w:rPr>
                <w:sz w:val="20"/>
                <w:szCs w:val="20"/>
              </w:rPr>
              <w:t>Развитие здравоохранения (01)</w:t>
            </w:r>
          </w:p>
        </w:tc>
        <w:tc>
          <w:tcPr>
            <w:tcW w:w="1276"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5"/>
              <w:jc w:val="right"/>
              <w:rPr>
                <w:sz w:val="20"/>
                <w:szCs w:val="20"/>
              </w:rPr>
            </w:pPr>
            <w:r w:rsidRPr="00EC0141">
              <w:rPr>
                <w:sz w:val="20"/>
                <w:szCs w:val="20"/>
              </w:rPr>
              <w:t>3 844 981,9</w:t>
            </w:r>
          </w:p>
        </w:tc>
        <w:tc>
          <w:tcPr>
            <w:tcW w:w="1559"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0"/>
              <w:jc w:val="right"/>
              <w:rPr>
                <w:sz w:val="20"/>
                <w:szCs w:val="20"/>
              </w:rPr>
            </w:pPr>
            <w:r w:rsidRPr="00EC0141">
              <w:rPr>
                <w:sz w:val="20"/>
                <w:szCs w:val="20"/>
              </w:rPr>
              <w:t>781 377,0</w:t>
            </w:r>
          </w:p>
        </w:tc>
        <w:tc>
          <w:tcPr>
            <w:tcW w:w="1275"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DE768B">
            <w:pPr>
              <w:ind w:left="-103" w:right="-101"/>
              <w:jc w:val="center"/>
              <w:rPr>
                <w:sz w:val="20"/>
                <w:szCs w:val="20"/>
              </w:rPr>
            </w:pPr>
            <w:r w:rsidRPr="00EC0141">
              <w:rPr>
                <w:sz w:val="20"/>
                <w:szCs w:val="20"/>
              </w:rPr>
              <w:t>20,3</w:t>
            </w:r>
          </w:p>
        </w:tc>
        <w:tc>
          <w:tcPr>
            <w:tcW w:w="992"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7F63AE">
            <w:pPr>
              <w:ind w:left="-107"/>
              <w:jc w:val="center"/>
              <w:rPr>
                <w:sz w:val="20"/>
                <w:szCs w:val="20"/>
              </w:rPr>
            </w:pPr>
            <w:r w:rsidRPr="00EC0141">
              <w:rPr>
                <w:sz w:val="20"/>
                <w:szCs w:val="20"/>
              </w:rPr>
              <w:t>9,4</w:t>
            </w:r>
          </w:p>
        </w:tc>
      </w:tr>
      <w:tr w:rsidR="00467F9C" w:rsidRPr="00EC0141" w:rsidTr="00DE768B">
        <w:trPr>
          <w:trHeight w:val="20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Pr="00EC0141" w:rsidRDefault="00191861" w:rsidP="00E22CA8">
            <w:pPr>
              <w:ind w:right="-113"/>
              <w:rPr>
                <w:sz w:val="20"/>
                <w:szCs w:val="20"/>
              </w:rPr>
            </w:pPr>
            <w:r w:rsidRPr="00EC0141">
              <w:rPr>
                <w:sz w:val="20"/>
                <w:szCs w:val="20"/>
              </w:rPr>
              <w:t>Национальная оборона (02)</w:t>
            </w:r>
          </w:p>
        </w:tc>
        <w:tc>
          <w:tcPr>
            <w:tcW w:w="1276"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5"/>
              <w:jc w:val="right"/>
              <w:rPr>
                <w:sz w:val="20"/>
                <w:szCs w:val="20"/>
              </w:rPr>
            </w:pPr>
            <w:r w:rsidRPr="00EC0141">
              <w:rPr>
                <w:sz w:val="20"/>
                <w:szCs w:val="20"/>
              </w:rPr>
              <w:t>199 791,3</w:t>
            </w:r>
          </w:p>
        </w:tc>
        <w:tc>
          <w:tcPr>
            <w:tcW w:w="1559"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0"/>
              <w:jc w:val="right"/>
              <w:rPr>
                <w:sz w:val="20"/>
                <w:szCs w:val="20"/>
              </w:rPr>
            </w:pPr>
            <w:r w:rsidRPr="00EC0141">
              <w:rPr>
                <w:sz w:val="20"/>
                <w:szCs w:val="20"/>
              </w:rPr>
              <w:t>24 222,6</w:t>
            </w:r>
          </w:p>
        </w:tc>
        <w:tc>
          <w:tcPr>
            <w:tcW w:w="1275"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DE768B">
            <w:pPr>
              <w:ind w:left="-103" w:right="-101"/>
              <w:jc w:val="center"/>
              <w:rPr>
                <w:sz w:val="20"/>
                <w:szCs w:val="20"/>
              </w:rPr>
            </w:pPr>
            <w:r w:rsidRPr="00EC0141">
              <w:rPr>
                <w:sz w:val="20"/>
                <w:szCs w:val="20"/>
              </w:rPr>
              <w:t>12,1</w:t>
            </w:r>
          </w:p>
        </w:tc>
        <w:tc>
          <w:tcPr>
            <w:tcW w:w="992"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7F63AE">
            <w:pPr>
              <w:ind w:left="-107"/>
              <w:jc w:val="center"/>
              <w:rPr>
                <w:sz w:val="20"/>
                <w:szCs w:val="20"/>
              </w:rPr>
            </w:pPr>
            <w:r w:rsidRPr="00EC0141">
              <w:rPr>
                <w:sz w:val="20"/>
                <w:szCs w:val="20"/>
              </w:rPr>
              <w:t>0,3</w:t>
            </w:r>
          </w:p>
        </w:tc>
      </w:tr>
      <w:tr w:rsidR="00467F9C" w:rsidRPr="00EC0141" w:rsidTr="00DE768B">
        <w:trPr>
          <w:trHeight w:val="19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Pr="00EC0141" w:rsidRDefault="00191861" w:rsidP="00E22CA8">
            <w:pPr>
              <w:ind w:right="-113"/>
              <w:rPr>
                <w:sz w:val="20"/>
                <w:szCs w:val="20"/>
              </w:rPr>
            </w:pPr>
            <w:r w:rsidRPr="00EC0141">
              <w:rPr>
                <w:sz w:val="20"/>
                <w:szCs w:val="20"/>
              </w:rPr>
              <w:t>Социальная поддержка населения (03)</w:t>
            </w:r>
          </w:p>
        </w:tc>
        <w:tc>
          <w:tcPr>
            <w:tcW w:w="1276"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5"/>
              <w:jc w:val="right"/>
              <w:rPr>
                <w:sz w:val="20"/>
                <w:szCs w:val="20"/>
              </w:rPr>
            </w:pPr>
            <w:r w:rsidRPr="00EC0141">
              <w:rPr>
                <w:sz w:val="20"/>
                <w:szCs w:val="20"/>
              </w:rPr>
              <w:t>2 631 696,7</w:t>
            </w:r>
          </w:p>
        </w:tc>
        <w:tc>
          <w:tcPr>
            <w:tcW w:w="1559"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0"/>
              <w:jc w:val="right"/>
              <w:rPr>
                <w:sz w:val="20"/>
                <w:szCs w:val="20"/>
              </w:rPr>
            </w:pPr>
            <w:r w:rsidRPr="00EC0141">
              <w:rPr>
                <w:sz w:val="20"/>
                <w:szCs w:val="20"/>
              </w:rPr>
              <w:t>546 813,1</w:t>
            </w:r>
          </w:p>
        </w:tc>
        <w:tc>
          <w:tcPr>
            <w:tcW w:w="1275"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DE768B">
            <w:pPr>
              <w:ind w:left="-103" w:right="-101"/>
              <w:jc w:val="center"/>
              <w:rPr>
                <w:sz w:val="20"/>
                <w:szCs w:val="20"/>
              </w:rPr>
            </w:pPr>
            <w:r w:rsidRPr="00EC0141">
              <w:rPr>
                <w:sz w:val="20"/>
                <w:szCs w:val="20"/>
              </w:rPr>
              <w:t>20,8</w:t>
            </w:r>
          </w:p>
        </w:tc>
        <w:tc>
          <w:tcPr>
            <w:tcW w:w="992"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7F63AE">
            <w:pPr>
              <w:ind w:left="-107"/>
              <w:jc w:val="center"/>
              <w:rPr>
                <w:sz w:val="20"/>
                <w:szCs w:val="20"/>
              </w:rPr>
            </w:pPr>
            <w:r w:rsidRPr="00EC0141">
              <w:rPr>
                <w:sz w:val="20"/>
                <w:szCs w:val="20"/>
              </w:rPr>
              <w:t>6,6</w:t>
            </w:r>
          </w:p>
        </w:tc>
      </w:tr>
      <w:tr w:rsidR="00467F9C" w:rsidRPr="00EC0141" w:rsidTr="00DE768B">
        <w:trPr>
          <w:trHeight w:val="44"/>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Pr="00EC0141" w:rsidRDefault="00191861" w:rsidP="00E22CA8">
            <w:pPr>
              <w:ind w:right="-113"/>
              <w:rPr>
                <w:sz w:val="20"/>
                <w:szCs w:val="20"/>
              </w:rPr>
            </w:pPr>
            <w:r w:rsidRPr="00EC0141">
              <w:rPr>
                <w:sz w:val="20"/>
                <w:szCs w:val="20"/>
              </w:rPr>
              <w:t>Стимулирование экономической активности населения 04)</w:t>
            </w:r>
          </w:p>
        </w:tc>
        <w:tc>
          <w:tcPr>
            <w:tcW w:w="1276"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5"/>
              <w:jc w:val="right"/>
              <w:rPr>
                <w:sz w:val="20"/>
                <w:szCs w:val="20"/>
              </w:rPr>
            </w:pPr>
            <w:r w:rsidRPr="00EC0141">
              <w:rPr>
                <w:sz w:val="20"/>
                <w:szCs w:val="20"/>
              </w:rPr>
              <w:t>355 489,8</w:t>
            </w:r>
          </w:p>
        </w:tc>
        <w:tc>
          <w:tcPr>
            <w:tcW w:w="1559"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0"/>
              <w:jc w:val="right"/>
              <w:rPr>
                <w:sz w:val="20"/>
                <w:szCs w:val="20"/>
              </w:rPr>
            </w:pPr>
            <w:r w:rsidRPr="00EC0141">
              <w:rPr>
                <w:sz w:val="20"/>
                <w:szCs w:val="20"/>
              </w:rPr>
              <w:t>175 730,7</w:t>
            </w:r>
          </w:p>
        </w:tc>
        <w:tc>
          <w:tcPr>
            <w:tcW w:w="1275"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DE768B">
            <w:pPr>
              <w:ind w:left="-103" w:right="-101"/>
              <w:jc w:val="center"/>
              <w:rPr>
                <w:sz w:val="20"/>
                <w:szCs w:val="20"/>
              </w:rPr>
            </w:pPr>
            <w:r w:rsidRPr="00EC0141">
              <w:rPr>
                <w:sz w:val="20"/>
                <w:szCs w:val="20"/>
              </w:rPr>
              <w:t>49,4</w:t>
            </w:r>
          </w:p>
        </w:tc>
        <w:tc>
          <w:tcPr>
            <w:tcW w:w="992"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7F63AE">
            <w:pPr>
              <w:ind w:left="-107"/>
              <w:jc w:val="center"/>
              <w:rPr>
                <w:sz w:val="20"/>
                <w:szCs w:val="20"/>
              </w:rPr>
            </w:pPr>
            <w:r w:rsidRPr="00EC0141">
              <w:rPr>
                <w:sz w:val="20"/>
                <w:szCs w:val="20"/>
              </w:rPr>
              <w:t>2,1</w:t>
            </w:r>
          </w:p>
        </w:tc>
      </w:tr>
      <w:tr w:rsidR="00467F9C" w:rsidRPr="00EC0141" w:rsidTr="00DE768B">
        <w:trPr>
          <w:trHeight w:val="94"/>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Pr="00EC0141" w:rsidRDefault="00191861" w:rsidP="00E22CA8">
            <w:pPr>
              <w:ind w:right="-113"/>
              <w:rPr>
                <w:sz w:val="20"/>
                <w:szCs w:val="20"/>
              </w:rPr>
            </w:pPr>
            <w:r w:rsidRPr="00EC0141">
              <w:rPr>
                <w:sz w:val="20"/>
                <w:szCs w:val="20"/>
              </w:rPr>
              <w:t>Развитие культуры, спорта и туризма (05)</w:t>
            </w:r>
          </w:p>
        </w:tc>
        <w:tc>
          <w:tcPr>
            <w:tcW w:w="1276"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5"/>
              <w:jc w:val="right"/>
              <w:rPr>
                <w:sz w:val="20"/>
                <w:szCs w:val="20"/>
              </w:rPr>
            </w:pPr>
            <w:r w:rsidRPr="00EC0141">
              <w:rPr>
                <w:sz w:val="20"/>
                <w:szCs w:val="20"/>
              </w:rPr>
              <w:t>1 627 748,8</w:t>
            </w:r>
          </w:p>
        </w:tc>
        <w:tc>
          <w:tcPr>
            <w:tcW w:w="1559"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0"/>
              <w:jc w:val="right"/>
              <w:rPr>
                <w:sz w:val="20"/>
                <w:szCs w:val="20"/>
              </w:rPr>
            </w:pPr>
            <w:r w:rsidRPr="00EC0141">
              <w:rPr>
                <w:sz w:val="20"/>
                <w:szCs w:val="20"/>
              </w:rPr>
              <w:t>174 916,2</w:t>
            </w:r>
          </w:p>
        </w:tc>
        <w:tc>
          <w:tcPr>
            <w:tcW w:w="1275"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DE768B">
            <w:pPr>
              <w:ind w:left="-103" w:right="-101"/>
              <w:jc w:val="center"/>
              <w:rPr>
                <w:sz w:val="20"/>
                <w:szCs w:val="20"/>
              </w:rPr>
            </w:pPr>
            <w:r w:rsidRPr="00EC0141">
              <w:rPr>
                <w:sz w:val="20"/>
                <w:szCs w:val="20"/>
              </w:rPr>
              <w:t>10,7</w:t>
            </w:r>
          </w:p>
        </w:tc>
        <w:tc>
          <w:tcPr>
            <w:tcW w:w="992"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7F63AE">
            <w:pPr>
              <w:ind w:left="-107"/>
              <w:jc w:val="center"/>
              <w:rPr>
                <w:sz w:val="20"/>
                <w:szCs w:val="20"/>
              </w:rPr>
            </w:pPr>
            <w:r w:rsidRPr="00EC0141">
              <w:rPr>
                <w:sz w:val="20"/>
                <w:szCs w:val="20"/>
              </w:rPr>
              <w:t>2,1</w:t>
            </w:r>
          </w:p>
        </w:tc>
      </w:tr>
      <w:tr w:rsidR="00467F9C" w:rsidRPr="00EC0141" w:rsidTr="00DE768B">
        <w:trPr>
          <w:trHeight w:val="44"/>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Pr="00EC0141" w:rsidRDefault="00191861" w:rsidP="00E22CA8">
            <w:pPr>
              <w:ind w:right="-113"/>
              <w:rPr>
                <w:sz w:val="20"/>
                <w:szCs w:val="20"/>
              </w:rPr>
            </w:pPr>
            <w:r w:rsidRPr="00EC0141">
              <w:rPr>
                <w:sz w:val="20"/>
                <w:szCs w:val="20"/>
              </w:rPr>
              <w:t>Развитие агропромышленного комплекса (06)</w:t>
            </w:r>
          </w:p>
        </w:tc>
        <w:tc>
          <w:tcPr>
            <w:tcW w:w="1276"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5"/>
              <w:jc w:val="right"/>
              <w:rPr>
                <w:sz w:val="20"/>
                <w:szCs w:val="20"/>
              </w:rPr>
            </w:pPr>
            <w:r w:rsidRPr="00EC0141">
              <w:rPr>
                <w:sz w:val="20"/>
                <w:szCs w:val="20"/>
              </w:rPr>
              <w:t>3 164 292,5</w:t>
            </w:r>
          </w:p>
        </w:tc>
        <w:tc>
          <w:tcPr>
            <w:tcW w:w="1559"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0"/>
              <w:jc w:val="right"/>
              <w:rPr>
                <w:sz w:val="20"/>
                <w:szCs w:val="20"/>
              </w:rPr>
            </w:pPr>
            <w:r w:rsidRPr="00EC0141">
              <w:rPr>
                <w:sz w:val="20"/>
                <w:szCs w:val="20"/>
              </w:rPr>
              <w:t>749 106,0</w:t>
            </w:r>
          </w:p>
        </w:tc>
        <w:tc>
          <w:tcPr>
            <w:tcW w:w="1275"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DE768B">
            <w:pPr>
              <w:ind w:left="-103" w:right="-101"/>
              <w:jc w:val="center"/>
              <w:rPr>
                <w:sz w:val="20"/>
                <w:szCs w:val="20"/>
              </w:rPr>
            </w:pPr>
            <w:r w:rsidRPr="00EC0141">
              <w:rPr>
                <w:sz w:val="20"/>
                <w:szCs w:val="20"/>
              </w:rPr>
              <w:t>23,7</w:t>
            </w:r>
          </w:p>
        </w:tc>
        <w:tc>
          <w:tcPr>
            <w:tcW w:w="992"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7F63AE">
            <w:pPr>
              <w:ind w:left="-107"/>
              <w:jc w:val="center"/>
              <w:rPr>
                <w:sz w:val="20"/>
                <w:szCs w:val="20"/>
              </w:rPr>
            </w:pPr>
            <w:r w:rsidRPr="00EC0141">
              <w:rPr>
                <w:sz w:val="20"/>
                <w:szCs w:val="20"/>
              </w:rPr>
              <w:t>9,1</w:t>
            </w:r>
          </w:p>
        </w:tc>
      </w:tr>
      <w:tr w:rsidR="00467F9C" w:rsidRPr="00EC0141" w:rsidTr="00DE768B">
        <w:trPr>
          <w:trHeight w:val="13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Pr="00EC0141" w:rsidRDefault="00191861" w:rsidP="00E22CA8">
            <w:pPr>
              <w:ind w:right="-113"/>
              <w:rPr>
                <w:sz w:val="20"/>
                <w:szCs w:val="20"/>
              </w:rPr>
            </w:pPr>
            <w:r w:rsidRPr="00EC0141">
              <w:rPr>
                <w:sz w:val="20"/>
                <w:szCs w:val="20"/>
              </w:rPr>
              <w:t>Информационное общество (07)</w:t>
            </w:r>
          </w:p>
        </w:tc>
        <w:tc>
          <w:tcPr>
            <w:tcW w:w="1276"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5"/>
              <w:jc w:val="right"/>
              <w:rPr>
                <w:sz w:val="20"/>
                <w:szCs w:val="20"/>
              </w:rPr>
            </w:pPr>
            <w:r w:rsidRPr="00EC0141">
              <w:rPr>
                <w:sz w:val="20"/>
                <w:szCs w:val="20"/>
              </w:rPr>
              <w:t>687 400,9</w:t>
            </w:r>
          </w:p>
        </w:tc>
        <w:tc>
          <w:tcPr>
            <w:tcW w:w="1559"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0"/>
              <w:jc w:val="right"/>
              <w:rPr>
                <w:sz w:val="20"/>
                <w:szCs w:val="20"/>
              </w:rPr>
            </w:pPr>
            <w:r w:rsidRPr="00EC0141">
              <w:rPr>
                <w:sz w:val="20"/>
                <w:szCs w:val="20"/>
              </w:rPr>
              <w:t>85 260,3</w:t>
            </w:r>
          </w:p>
        </w:tc>
        <w:tc>
          <w:tcPr>
            <w:tcW w:w="1275"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DE768B">
            <w:pPr>
              <w:ind w:left="-103" w:right="-101"/>
              <w:jc w:val="center"/>
              <w:rPr>
                <w:sz w:val="20"/>
                <w:szCs w:val="20"/>
              </w:rPr>
            </w:pPr>
            <w:r w:rsidRPr="00EC0141">
              <w:rPr>
                <w:sz w:val="20"/>
                <w:szCs w:val="20"/>
              </w:rPr>
              <w:t>12,4</w:t>
            </w:r>
          </w:p>
        </w:tc>
        <w:tc>
          <w:tcPr>
            <w:tcW w:w="992"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7F63AE">
            <w:pPr>
              <w:ind w:left="-107"/>
              <w:jc w:val="center"/>
              <w:rPr>
                <w:sz w:val="20"/>
                <w:szCs w:val="20"/>
              </w:rPr>
            </w:pPr>
            <w:r w:rsidRPr="00EC0141">
              <w:rPr>
                <w:sz w:val="20"/>
                <w:szCs w:val="20"/>
              </w:rPr>
              <w:t>1,0</w:t>
            </w:r>
          </w:p>
        </w:tc>
      </w:tr>
      <w:tr w:rsidR="00467F9C" w:rsidRPr="00EC0141" w:rsidTr="00DE768B">
        <w:trPr>
          <w:trHeight w:val="203"/>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Pr="00EC0141" w:rsidRDefault="00191861" w:rsidP="00E22CA8">
            <w:pPr>
              <w:ind w:right="-113"/>
              <w:rPr>
                <w:sz w:val="20"/>
                <w:szCs w:val="20"/>
              </w:rPr>
            </w:pPr>
            <w:r w:rsidRPr="00EC0141">
              <w:rPr>
                <w:sz w:val="20"/>
                <w:szCs w:val="20"/>
              </w:rPr>
              <w:t>Развитие жилищно-коммунального хозяйства и водохозяйственного комплекса (08)</w:t>
            </w:r>
          </w:p>
        </w:tc>
        <w:tc>
          <w:tcPr>
            <w:tcW w:w="1276"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5"/>
              <w:jc w:val="right"/>
              <w:rPr>
                <w:sz w:val="20"/>
                <w:szCs w:val="20"/>
              </w:rPr>
            </w:pPr>
            <w:r w:rsidRPr="00EC0141">
              <w:rPr>
                <w:sz w:val="20"/>
                <w:szCs w:val="20"/>
              </w:rPr>
              <w:t>6 660 989,8</w:t>
            </w:r>
          </w:p>
        </w:tc>
        <w:tc>
          <w:tcPr>
            <w:tcW w:w="1559"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0"/>
              <w:jc w:val="right"/>
              <w:rPr>
                <w:sz w:val="20"/>
                <w:szCs w:val="20"/>
              </w:rPr>
            </w:pPr>
            <w:r w:rsidRPr="00EC0141">
              <w:rPr>
                <w:sz w:val="20"/>
                <w:szCs w:val="20"/>
              </w:rPr>
              <w:t>1 476 324,5</w:t>
            </w:r>
          </w:p>
        </w:tc>
        <w:tc>
          <w:tcPr>
            <w:tcW w:w="1275"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DE768B">
            <w:pPr>
              <w:ind w:left="-103" w:right="-101"/>
              <w:jc w:val="center"/>
              <w:rPr>
                <w:sz w:val="20"/>
                <w:szCs w:val="20"/>
              </w:rPr>
            </w:pPr>
            <w:r w:rsidRPr="00EC0141">
              <w:rPr>
                <w:sz w:val="20"/>
                <w:szCs w:val="20"/>
              </w:rPr>
              <w:t>22,2</w:t>
            </w:r>
          </w:p>
        </w:tc>
        <w:tc>
          <w:tcPr>
            <w:tcW w:w="992"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7F63AE">
            <w:pPr>
              <w:ind w:left="-107"/>
              <w:jc w:val="center"/>
              <w:rPr>
                <w:sz w:val="20"/>
                <w:szCs w:val="20"/>
              </w:rPr>
            </w:pPr>
            <w:r w:rsidRPr="00EC0141">
              <w:rPr>
                <w:sz w:val="20"/>
                <w:szCs w:val="20"/>
              </w:rPr>
              <w:t>17,8</w:t>
            </w:r>
          </w:p>
        </w:tc>
      </w:tr>
      <w:tr w:rsidR="00467F9C" w:rsidRPr="00EC0141" w:rsidTr="00DE768B">
        <w:trPr>
          <w:trHeight w:val="221"/>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Pr="00EC0141" w:rsidRDefault="00191861" w:rsidP="00E22CA8">
            <w:pPr>
              <w:ind w:right="-113"/>
              <w:rPr>
                <w:sz w:val="20"/>
                <w:szCs w:val="20"/>
              </w:rPr>
            </w:pPr>
            <w:r w:rsidRPr="00EC0141">
              <w:rPr>
                <w:sz w:val="20"/>
                <w:szCs w:val="20"/>
              </w:rPr>
              <w:t>Развитие образования и науки (09)</w:t>
            </w:r>
          </w:p>
        </w:tc>
        <w:tc>
          <w:tcPr>
            <w:tcW w:w="1276"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5"/>
              <w:jc w:val="right"/>
              <w:rPr>
                <w:sz w:val="20"/>
                <w:szCs w:val="20"/>
              </w:rPr>
            </w:pPr>
            <w:r w:rsidRPr="00EC0141">
              <w:rPr>
                <w:sz w:val="20"/>
                <w:szCs w:val="20"/>
              </w:rPr>
              <w:t>7 894 738,3</w:t>
            </w:r>
          </w:p>
        </w:tc>
        <w:tc>
          <w:tcPr>
            <w:tcW w:w="1559"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0"/>
              <w:jc w:val="right"/>
              <w:rPr>
                <w:sz w:val="20"/>
                <w:szCs w:val="20"/>
              </w:rPr>
            </w:pPr>
            <w:r w:rsidRPr="00EC0141">
              <w:rPr>
                <w:sz w:val="20"/>
                <w:szCs w:val="20"/>
              </w:rPr>
              <w:t>1 479 746,9</w:t>
            </w:r>
          </w:p>
        </w:tc>
        <w:tc>
          <w:tcPr>
            <w:tcW w:w="1275"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DE768B">
            <w:pPr>
              <w:ind w:left="-103" w:right="-101"/>
              <w:jc w:val="center"/>
              <w:rPr>
                <w:sz w:val="20"/>
                <w:szCs w:val="20"/>
              </w:rPr>
            </w:pPr>
            <w:r w:rsidRPr="00EC0141">
              <w:rPr>
                <w:sz w:val="20"/>
                <w:szCs w:val="20"/>
              </w:rPr>
              <w:t>18,7</w:t>
            </w:r>
          </w:p>
        </w:tc>
        <w:tc>
          <w:tcPr>
            <w:tcW w:w="992"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7F63AE">
            <w:pPr>
              <w:ind w:left="-107"/>
              <w:jc w:val="center"/>
              <w:rPr>
                <w:sz w:val="20"/>
                <w:szCs w:val="20"/>
              </w:rPr>
            </w:pPr>
            <w:r w:rsidRPr="00EC0141">
              <w:rPr>
                <w:sz w:val="20"/>
                <w:szCs w:val="20"/>
              </w:rPr>
              <w:t>17,9</w:t>
            </w:r>
          </w:p>
        </w:tc>
      </w:tr>
      <w:tr w:rsidR="00467F9C" w:rsidRPr="00EC0141" w:rsidTr="00DE768B">
        <w:trPr>
          <w:trHeight w:val="19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Pr="00EC0141" w:rsidRDefault="00191861" w:rsidP="00E22CA8">
            <w:pPr>
              <w:ind w:right="-113"/>
              <w:rPr>
                <w:sz w:val="20"/>
                <w:szCs w:val="20"/>
              </w:rPr>
            </w:pPr>
            <w:r w:rsidRPr="00EC0141">
              <w:rPr>
                <w:sz w:val="20"/>
                <w:szCs w:val="20"/>
              </w:rPr>
              <w:t>Развитие лесного хозяйства (10)</w:t>
            </w:r>
          </w:p>
        </w:tc>
        <w:tc>
          <w:tcPr>
            <w:tcW w:w="1276"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5"/>
              <w:jc w:val="right"/>
              <w:rPr>
                <w:sz w:val="20"/>
                <w:szCs w:val="20"/>
              </w:rPr>
            </w:pPr>
            <w:r w:rsidRPr="00EC0141">
              <w:rPr>
                <w:sz w:val="20"/>
                <w:szCs w:val="20"/>
              </w:rPr>
              <w:t>268 046,5</w:t>
            </w:r>
          </w:p>
        </w:tc>
        <w:tc>
          <w:tcPr>
            <w:tcW w:w="1559"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0"/>
              <w:jc w:val="right"/>
              <w:rPr>
                <w:sz w:val="20"/>
                <w:szCs w:val="20"/>
              </w:rPr>
            </w:pPr>
            <w:r w:rsidRPr="00EC0141">
              <w:rPr>
                <w:sz w:val="20"/>
                <w:szCs w:val="20"/>
              </w:rPr>
              <w:t>36 416,6</w:t>
            </w:r>
          </w:p>
        </w:tc>
        <w:tc>
          <w:tcPr>
            <w:tcW w:w="1275"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DE768B">
            <w:pPr>
              <w:ind w:left="-103" w:right="-101"/>
              <w:jc w:val="center"/>
              <w:rPr>
                <w:sz w:val="20"/>
                <w:szCs w:val="20"/>
              </w:rPr>
            </w:pPr>
            <w:r w:rsidRPr="00EC0141">
              <w:rPr>
                <w:sz w:val="20"/>
                <w:szCs w:val="20"/>
              </w:rPr>
              <w:t>13,6</w:t>
            </w:r>
          </w:p>
        </w:tc>
        <w:tc>
          <w:tcPr>
            <w:tcW w:w="992"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7F63AE">
            <w:pPr>
              <w:ind w:left="-107"/>
              <w:jc w:val="center"/>
              <w:rPr>
                <w:sz w:val="20"/>
                <w:szCs w:val="20"/>
              </w:rPr>
            </w:pPr>
            <w:r w:rsidRPr="00EC0141">
              <w:rPr>
                <w:sz w:val="20"/>
                <w:szCs w:val="20"/>
              </w:rPr>
              <w:t>0,4</w:t>
            </w:r>
          </w:p>
        </w:tc>
      </w:tr>
      <w:tr w:rsidR="00467F9C" w:rsidRPr="00EC0141" w:rsidTr="00DE768B">
        <w:trPr>
          <w:trHeight w:val="44"/>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Pr="00EC0141" w:rsidRDefault="00191861" w:rsidP="00E22CA8">
            <w:pPr>
              <w:ind w:right="-113"/>
              <w:rPr>
                <w:sz w:val="20"/>
                <w:szCs w:val="20"/>
              </w:rPr>
            </w:pPr>
            <w:r w:rsidRPr="00EC0141">
              <w:rPr>
                <w:sz w:val="20"/>
                <w:szCs w:val="20"/>
              </w:rPr>
              <w:t>Развитие транспортной инфраструктуры (11)</w:t>
            </w:r>
          </w:p>
        </w:tc>
        <w:tc>
          <w:tcPr>
            <w:tcW w:w="1276"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5"/>
              <w:jc w:val="right"/>
              <w:rPr>
                <w:sz w:val="20"/>
                <w:szCs w:val="20"/>
              </w:rPr>
            </w:pPr>
            <w:r w:rsidRPr="00EC0141">
              <w:rPr>
                <w:sz w:val="20"/>
                <w:szCs w:val="20"/>
              </w:rPr>
              <w:t>6 935 561,7</w:t>
            </w:r>
          </w:p>
        </w:tc>
        <w:tc>
          <w:tcPr>
            <w:tcW w:w="1559"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0"/>
              <w:jc w:val="right"/>
              <w:rPr>
                <w:sz w:val="20"/>
                <w:szCs w:val="20"/>
              </w:rPr>
            </w:pPr>
            <w:r w:rsidRPr="00EC0141">
              <w:rPr>
                <w:sz w:val="20"/>
                <w:szCs w:val="20"/>
              </w:rPr>
              <w:t>240 059,9</w:t>
            </w:r>
          </w:p>
        </w:tc>
        <w:tc>
          <w:tcPr>
            <w:tcW w:w="1275"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DE768B">
            <w:pPr>
              <w:ind w:left="-103" w:right="-101"/>
              <w:jc w:val="center"/>
              <w:rPr>
                <w:sz w:val="20"/>
                <w:szCs w:val="20"/>
              </w:rPr>
            </w:pPr>
            <w:r w:rsidRPr="00EC0141">
              <w:rPr>
                <w:sz w:val="20"/>
                <w:szCs w:val="20"/>
              </w:rPr>
              <w:t>3,5</w:t>
            </w:r>
          </w:p>
        </w:tc>
        <w:tc>
          <w:tcPr>
            <w:tcW w:w="992"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7F63AE">
            <w:pPr>
              <w:ind w:left="-107"/>
              <w:jc w:val="center"/>
              <w:rPr>
                <w:sz w:val="20"/>
                <w:szCs w:val="20"/>
              </w:rPr>
            </w:pPr>
            <w:r w:rsidRPr="00EC0141">
              <w:rPr>
                <w:sz w:val="20"/>
                <w:szCs w:val="20"/>
              </w:rPr>
              <w:t>2,9</w:t>
            </w:r>
          </w:p>
        </w:tc>
      </w:tr>
      <w:tr w:rsidR="00467F9C" w:rsidRPr="00EC0141" w:rsidTr="00DE768B">
        <w:trPr>
          <w:trHeight w:val="207"/>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Pr="00EC0141" w:rsidRDefault="00191861" w:rsidP="00E22CA8">
            <w:pPr>
              <w:ind w:right="-113"/>
              <w:rPr>
                <w:sz w:val="20"/>
                <w:szCs w:val="20"/>
              </w:rPr>
            </w:pPr>
            <w:r w:rsidRPr="00EC0141">
              <w:rPr>
                <w:sz w:val="20"/>
                <w:szCs w:val="20"/>
              </w:rPr>
              <w:t>Управление региональными финансами и имуществом (12)</w:t>
            </w:r>
          </w:p>
        </w:tc>
        <w:tc>
          <w:tcPr>
            <w:tcW w:w="1276"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5"/>
              <w:jc w:val="right"/>
              <w:rPr>
                <w:sz w:val="20"/>
                <w:szCs w:val="20"/>
              </w:rPr>
            </w:pPr>
            <w:r w:rsidRPr="00EC0141">
              <w:rPr>
                <w:sz w:val="20"/>
                <w:szCs w:val="20"/>
              </w:rPr>
              <w:t>4 865 613,5</w:t>
            </w:r>
          </w:p>
        </w:tc>
        <w:tc>
          <w:tcPr>
            <w:tcW w:w="1559"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0"/>
              <w:jc w:val="right"/>
              <w:rPr>
                <w:sz w:val="20"/>
                <w:szCs w:val="20"/>
              </w:rPr>
            </w:pPr>
            <w:r w:rsidRPr="00EC0141">
              <w:rPr>
                <w:sz w:val="20"/>
                <w:szCs w:val="20"/>
              </w:rPr>
              <w:t>553 486,3</w:t>
            </w:r>
          </w:p>
        </w:tc>
        <w:tc>
          <w:tcPr>
            <w:tcW w:w="1275"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DE768B">
            <w:pPr>
              <w:ind w:left="-103" w:right="-101"/>
              <w:jc w:val="center"/>
              <w:rPr>
                <w:sz w:val="20"/>
                <w:szCs w:val="20"/>
              </w:rPr>
            </w:pPr>
            <w:r w:rsidRPr="00EC0141">
              <w:rPr>
                <w:sz w:val="20"/>
                <w:szCs w:val="20"/>
              </w:rPr>
              <w:t>11,4</w:t>
            </w:r>
          </w:p>
        </w:tc>
        <w:tc>
          <w:tcPr>
            <w:tcW w:w="992"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7F63AE">
            <w:pPr>
              <w:ind w:left="-107"/>
              <w:jc w:val="center"/>
              <w:rPr>
                <w:sz w:val="20"/>
                <w:szCs w:val="20"/>
              </w:rPr>
            </w:pPr>
            <w:r w:rsidRPr="00EC0141">
              <w:rPr>
                <w:sz w:val="20"/>
                <w:szCs w:val="20"/>
              </w:rPr>
              <w:t>6,7</w:t>
            </w:r>
          </w:p>
        </w:tc>
      </w:tr>
      <w:tr w:rsidR="00467F9C" w:rsidRPr="00EC0141" w:rsidTr="00DE768B">
        <w:trPr>
          <w:trHeight w:val="30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Pr="00EC0141" w:rsidRDefault="00191861" w:rsidP="00E22CA8">
            <w:pPr>
              <w:ind w:right="-113"/>
              <w:rPr>
                <w:sz w:val="20"/>
                <w:szCs w:val="20"/>
              </w:rPr>
            </w:pPr>
            <w:r w:rsidRPr="00EC0141">
              <w:rPr>
                <w:sz w:val="20"/>
                <w:szCs w:val="20"/>
              </w:rPr>
              <w:t>Развитие жилищного строительства (14)</w:t>
            </w:r>
          </w:p>
        </w:tc>
        <w:tc>
          <w:tcPr>
            <w:tcW w:w="1276"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5"/>
              <w:jc w:val="right"/>
              <w:rPr>
                <w:sz w:val="20"/>
                <w:szCs w:val="20"/>
              </w:rPr>
            </w:pPr>
            <w:r w:rsidRPr="00EC0141">
              <w:rPr>
                <w:sz w:val="20"/>
                <w:szCs w:val="20"/>
              </w:rPr>
              <w:t>591 010,7</w:t>
            </w:r>
          </w:p>
        </w:tc>
        <w:tc>
          <w:tcPr>
            <w:tcW w:w="1559"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0"/>
              <w:jc w:val="right"/>
              <w:rPr>
                <w:sz w:val="20"/>
                <w:szCs w:val="20"/>
              </w:rPr>
            </w:pPr>
            <w:r w:rsidRPr="00EC0141">
              <w:rPr>
                <w:sz w:val="20"/>
                <w:szCs w:val="20"/>
              </w:rPr>
              <w:t>54,8</w:t>
            </w:r>
          </w:p>
        </w:tc>
        <w:tc>
          <w:tcPr>
            <w:tcW w:w="1275"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DE768B">
            <w:pPr>
              <w:ind w:left="-103" w:right="-101"/>
              <w:jc w:val="center"/>
              <w:rPr>
                <w:sz w:val="20"/>
                <w:szCs w:val="20"/>
              </w:rPr>
            </w:pPr>
            <w:r w:rsidRPr="00EC0141">
              <w:rPr>
                <w:sz w:val="20"/>
                <w:szCs w:val="20"/>
              </w:rPr>
              <w:t>менее 0,1</w:t>
            </w:r>
          </w:p>
        </w:tc>
        <w:tc>
          <w:tcPr>
            <w:tcW w:w="992"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7F63AE">
            <w:pPr>
              <w:ind w:left="-107"/>
              <w:jc w:val="center"/>
              <w:rPr>
                <w:sz w:val="20"/>
                <w:szCs w:val="20"/>
              </w:rPr>
            </w:pPr>
            <w:r w:rsidRPr="00EC0141">
              <w:rPr>
                <w:sz w:val="20"/>
                <w:szCs w:val="20"/>
              </w:rPr>
              <w:t>менее 0,1</w:t>
            </w:r>
          </w:p>
        </w:tc>
      </w:tr>
      <w:tr w:rsidR="00467F9C" w:rsidRPr="00EC0141" w:rsidTr="00DE768B">
        <w:trPr>
          <w:trHeight w:val="126"/>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Pr="00EC0141" w:rsidRDefault="00191861" w:rsidP="00E22CA8">
            <w:pPr>
              <w:ind w:right="-113"/>
              <w:rPr>
                <w:sz w:val="20"/>
                <w:szCs w:val="20"/>
              </w:rPr>
            </w:pPr>
            <w:r w:rsidRPr="00EC0141">
              <w:rPr>
                <w:sz w:val="20"/>
                <w:szCs w:val="20"/>
              </w:rPr>
              <w:t>Предупреждение чрезвычайных ситуаций природного и техногенного характера и обеспечение пожарной безопасности (16)</w:t>
            </w:r>
          </w:p>
        </w:tc>
        <w:tc>
          <w:tcPr>
            <w:tcW w:w="1276"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5"/>
              <w:jc w:val="right"/>
              <w:rPr>
                <w:sz w:val="20"/>
                <w:szCs w:val="20"/>
              </w:rPr>
            </w:pPr>
            <w:r w:rsidRPr="00EC0141">
              <w:rPr>
                <w:sz w:val="20"/>
                <w:szCs w:val="20"/>
              </w:rPr>
              <w:t>595 802,2</w:t>
            </w:r>
          </w:p>
        </w:tc>
        <w:tc>
          <w:tcPr>
            <w:tcW w:w="1559"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0"/>
              <w:jc w:val="right"/>
              <w:rPr>
                <w:sz w:val="20"/>
                <w:szCs w:val="20"/>
              </w:rPr>
            </w:pPr>
            <w:r w:rsidRPr="00EC0141">
              <w:rPr>
                <w:sz w:val="20"/>
                <w:szCs w:val="20"/>
              </w:rPr>
              <w:t>78 700,4</w:t>
            </w:r>
          </w:p>
        </w:tc>
        <w:tc>
          <w:tcPr>
            <w:tcW w:w="1275"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DE768B">
            <w:pPr>
              <w:ind w:left="-103" w:right="-101"/>
              <w:jc w:val="center"/>
              <w:rPr>
                <w:sz w:val="20"/>
                <w:szCs w:val="20"/>
              </w:rPr>
            </w:pPr>
            <w:r w:rsidRPr="00EC0141">
              <w:rPr>
                <w:sz w:val="20"/>
                <w:szCs w:val="20"/>
              </w:rPr>
              <w:t>13,2</w:t>
            </w:r>
          </w:p>
        </w:tc>
        <w:tc>
          <w:tcPr>
            <w:tcW w:w="992"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7F63AE">
            <w:pPr>
              <w:ind w:left="-107"/>
              <w:jc w:val="center"/>
              <w:rPr>
                <w:sz w:val="20"/>
                <w:szCs w:val="20"/>
              </w:rPr>
            </w:pPr>
            <w:r w:rsidRPr="00EC0141">
              <w:rPr>
                <w:sz w:val="20"/>
                <w:szCs w:val="20"/>
              </w:rPr>
              <w:t>1,0</w:t>
            </w:r>
          </w:p>
        </w:tc>
      </w:tr>
      <w:tr w:rsidR="00467F9C" w:rsidRPr="00EC0141" w:rsidTr="00DE768B">
        <w:trPr>
          <w:trHeight w:val="44"/>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Pr="00EC0141" w:rsidRDefault="00191861" w:rsidP="00E22CA8">
            <w:pPr>
              <w:ind w:right="-113"/>
              <w:rPr>
                <w:sz w:val="20"/>
                <w:szCs w:val="20"/>
              </w:rPr>
            </w:pPr>
            <w:r w:rsidRPr="00EC0141">
              <w:rPr>
                <w:sz w:val="20"/>
                <w:szCs w:val="20"/>
              </w:rPr>
              <w:t>Охрана окружающей среды и обеспечение рационального природопользования (18)</w:t>
            </w:r>
          </w:p>
        </w:tc>
        <w:tc>
          <w:tcPr>
            <w:tcW w:w="1276"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5"/>
              <w:jc w:val="right"/>
              <w:rPr>
                <w:sz w:val="20"/>
                <w:szCs w:val="20"/>
              </w:rPr>
            </w:pPr>
            <w:r w:rsidRPr="00EC0141">
              <w:rPr>
                <w:sz w:val="20"/>
                <w:szCs w:val="20"/>
              </w:rPr>
              <w:t>476 733,7</w:t>
            </w:r>
          </w:p>
        </w:tc>
        <w:tc>
          <w:tcPr>
            <w:tcW w:w="1559"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0"/>
              <w:jc w:val="right"/>
              <w:rPr>
                <w:sz w:val="20"/>
                <w:szCs w:val="20"/>
              </w:rPr>
            </w:pPr>
            <w:r w:rsidRPr="00EC0141">
              <w:rPr>
                <w:sz w:val="20"/>
                <w:szCs w:val="20"/>
              </w:rPr>
              <w:t>22 397,9</w:t>
            </w:r>
          </w:p>
        </w:tc>
        <w:tc>
          <w:tcPr>
            <w:tcW w:w="1275"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DE768B">
            <w:pPr>
              <w:ind w:left="-103" w:right="-101"/>
              <w:jc w:val="center"/>
              <w:rPr>
                <w:sz w:val="20"/>
                <w:szCs w:val="20"/>
              </w:rPr>
            </w:pPr>
            <w:r w:rsidRPr="00EC0141">
              <w:rPr>
                <w:sz w:val="20"/>
                <w:szCs w:val="20"/>
              </w:rPr>
              <w:t>4,7</w:t>
            </w:r>
          </w:p>
        </w:tc>
        <w:tc>
          <w:tcPr>
            <w:tcW w:w="992"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7F63AE">
            <w:pPr>
              <w:ind w:left="-107"/>
              <w:jc w:val="center"/>
              <w:rPr>
                <w:sz w:val="20"/>
                <w:szCs w:val="20"/>
              </w:rPr>
            </w:pPr>
            <w:r w:rsidRPr="00EC0141">
              <w:rPr>
                <w:sz w:val="20"/>
                <w:szCs w:val="20"/>
              </w:rPr>
              <w:t>0,3</w:t>
            </w:r>
          </w:p>
        </w:tc>
      </w:tr>
      <w:tr w:rsidR="00467F9C" w:rsidRPr="00EC0141" w:rsidTr="00DE768B">
        <w:trPr>
          <w:trHeight w:val="22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Pr="00EC0141" w:rsidRDefault="00191861" w:rsidP="00E22CA8">
            <w:pPr>
              <w:ind w:right="-113"/>
              <w:rPr>
                <w:sz w:val="20"/>
                <w:szCs w:val="20"/>
              </w:rPr>
            </w:pPr>
            <w:r w:rsidRPr="00EC0141">
              <w:rPr>
                <w:sz w:val="20"/>
                <w:szCs w:val="20"/>
              </w:rPr>
              <w:t>Развитие энергетики (19)</w:t>
            </w:r>
          </w:p>
        </w:tc>
        <w:tc>
          <w:tcPr>
            <w:tcW w:w="1276"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5"/>
              <w:jc w:val="right"/>
              <w:rPr>
                <w:sz w:val="20"/>
                <w:szCs w:val="20"/>
              </w:rPr>
            </w:pPr>
            <w:r w:rsidRPr="00EC0141">
              <w:rPr>
                <w:sz w:val="20"/>
                <w:szCs w:val="20"/>
              </w:rPr>
              <w:t>9 805 895,0</w:t>
            </w:r>
          </w:p>
        </w:tc>
        <w:tc>
          <w:tcPr>
            <w:tcW w:w="1559"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0"/>
              <w:jc w:val="right"/>
              <w:rPr>
                <w:sz w:val="20"/>
                <w:szCs w:val="20"/>
              </w:rPr>
            </w:pPr>
            <w:r w:rsidRPr="00EC0141">
              <w:rPr>
                <w:sz w:val="20"/>
                <w:szCs w:val="20"/>
              </w:rPr>
              <w:t>1 847 699,8</w:t>
            </w:r>
          </w:p>
        </w:tc>
        <w:tc>
          <w:tcPr>
            <w:tcW w:w="1275"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DE768B">
            <w:pPr>
              <w:ind w:left="-103" w:right="-101"/>
              <w:jc w:val="center"/>
              <w:rPr>
                <w:sz w:val="20"/>
                <w:szCs w:val="20"/>
              </w:rPr>
            </w:pPr>
            <w:r w:rsidRPr="00EC0141">
              <w:rPr>
                <w:sz w:val="20"/>
                <w:szCs w:val="20"/>
              </w:rPr>
              <w:t>18,8</w:t>
            </w:r>
          </w:p>
        </w:tc>
        <w:tc>
          <w:tcPr>
            <w:tcW w:w="992"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7F63AE">
            <w:pPr>
              <w:ind w:left="-107"/>
              <w:jc w:val="center"/>
              <w:rPr>
                <w:sz w:val="20"/>
                <w:szCs w:val="20"/>
              </w:rPr>
            </w:pPr>
            <w:r w:rsidRPr="00EC0141">
              <w:rPr>
                <w:sz w:val="20"/>
                <w:szCs w:val="20"/>
              </w:rPr>
              <w:t>22,3</w:t>
            </w:r>
          </w:p>
        </w:tc>
      </w:tr>
      <w:tr w:rsidR="00467F9C" w:rsidRPr="00EC0141" w:rsidTr="00DE768B">
        <w:trPr>
          <w:trHeight w:val="217"/>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Pr="00EC0141" w:rsidRDefault="00191861" w:rsidP="00E22CA8">
            <w:pPr>
              <w:ind w:right="-113"/>
              <w:rPr>
                <w:sz w:val="20"/>
                <w:szCs w:val="20"/>
              </w:rPr>
            </w:pPr>
            <w:r w:rsidRPr="00EC0141">
              <w:rPr>
                <w:sz w:val="20"/>
                <w:szCs w:val="20"/>
              </w:rPr>
              <w:t>Обеспечение охраны общественного порядка и повышения безопасности дорожного движения (20)</w:t>
            </w:r>
          </w:p>
        </w:tc>
        <w:tc>
          <w:tcPr>
            <w:tcW w:w="1276"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5"/>
              <w:jc w:val="right"/>
              <w:rPr>
                <w:sz w:val="20"/>
                <w:szCs w:val="20"/>
              </w:rPr>
            </w:pPr>
            <w:r w:rsidRPr="00EC0141">
              <w:rPr>
                <w:sz w:val="20"/>
                <w:szCs w:val="20"/>
              </w:rPr>
              <w:t>1 732,6</w:t>
            </w:r>
          </w:p>
        </w:tc>
        <w:tc>
          <w:tcPr>
            <w:tcW w:w="1559"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0"/>
              <w:jc w:val="right"/>
              <w:rPr>
                <w:sz w:val="20"/>
                <w:szCs w:val="20"/>
              </w:rPr>
            </w:pPr>
            <w:r w:rsidRPr="00EC0141">
              <w:rPr>
                <w:sz w:val="20"/>
                <w:szCs w:val="20"/>
              </w:rPr>
              <w:t>302,6</w:t>
            </w:r>
          </w:p>
        </w:tc>
        <w:tc>
          <w:tcPr>
            <w:tcW w:w="1275"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DE768B">
            <w:pPr>
              <w:ind w:left="-103" w:right="-101"/>
              <w:jc w:val="center"/>
              <w:rPr>
                <w:sz w:val="20"/>
                <w:szCs w:val="20"/>
              </w:rPr>
            </w:pPr>
            <w:r w:rsidRPr="00EC0141">
              <w:rPr>
                <w:sz w:val="20"/>
                <w:szCs w:val="20"/>
              </w:rPr>
              <w:t>17,5</w:t>
            </w:r>
          </w:p>
        </w:tc>
        <w:tc>
          <w:tcPr>
            <w:tcW w:w="992"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7F63AE">
            <w:pPr>
              <w:ind w:left="-107"/>
              <w:jc w:val="center"/>
              <w:rPr>
                <w:sz w:val="20"/>
                <w:szCs w:val="20"/>
              </w:rPr>
            </w:pPr>
            <w:r w:rsidRPr="00EC0141">
              <w:rPr>
                <w:sz w:val="20"/>
                <w:szCs w:val="20"/>
              </w:rPr>
              <w:t>0,1</w:t>
            </w:r>
          </w:p>
        </w:tc>
      </w:tr>
      <w:tr w:rsidR="00467F9C" w:rsidRPr="00EC0141" w:rsidTr="00DE768B">
        <w:trPr>
          <w:trHeight w:val="217"/>
        </w:trPr>
        <w:tc>
          <w:tcPr>
            <w:tcW w:w="4678" w:type="dxa"/>
            <w:tcBorders>
              <w:top w:val="nil"/>
              <w:left w:val="single" w:sz="4" w:space="0" w:color="auto"/>
              <w:bottom w:val="single" w:sz="4" w:space="0" w:color="auto"/>
              <w:right w:val="single" w:sz="4" w:space="0" w:color="auto"/>
            </w:tcBorders>
            <w:shd w:val="clear" w:color="auto" w:fill="auto"/>
            <w:vAlign w:val="center"/>
          </w:tcPr>
          <w:p w:rsidR="00191861" w:rsidRPr="00EC0141" w:rsidRDefault="00191861" w:rsidP="00E22CA8">
            <w:pPr>
              <w:ind w:right="-113"/>
              <w:rPr>
                <w:sz w:val="20"/>
                <w:szCs w:val="20"/>
              </w:rPr>
            </w:pPr>
            <w:r w:rsidRPr="00EC0141">
              <w:rPr>
                <w:sz w:val="20"/>
                <w:szCs w:val="20"/>
              </w:rPr>
              <w:t>Формирование комфортной городской среды (21)</w:t>
            </w:r>
          </w:p>
        </w:tc>
        <w:tc>
          <w:tcPr>
            <w:tcW w:w="1276" w:type="dxa"/>
            <w:tcBorders>
              <w:top w:val="nil"/>
              <w:left w:val="nil"/>
              <w:bottom w:val="single" w:sz="4" w:space="0" w:color="auto"/>
              <w:right w:val="single" w:sz="4" w:space="0" w:color="auto"/>
            </w:tcBorders>
            <w:shd w:val="clear" w:color="auto" w:fill="auto"/>
            <w:vAlign w:val="center"/>
          </w:tcPr>
          <w:p w:rsidR="00191861" w:rsidRPr="00EC0141" w:rsidRDefault="00191861" w:rsidP="00EC0141">
            <w:pPr>
              <w:ind w:left="-115"/>
              <w:jc w:val="right"/>
              <w:rPr>
                <w:sz w:val="20"/>
                <w:szCs w:val="20"/>
              </w:rPr>
            </w:pPr>
            <w:r w:rsidRPr="00EC0141">
              <w:rPr>
                <w:sz w:val="20"/>
                <w:szCs w:val="20"/>
              </w:rPr>
              <w:t>56 249,2</w:t>
            </w:r>
          </w:p>
        </w:tc>
        <w:tc>
          <w:tcPr>
            <w:tcW w:w="1559" w:type="dxa"/>
            <w:tcBorders>
              <w:top w:val="nil"/>
              <w:left w:val="nil"/>
              <w:bottom w:val="single" w:sz="4" w:space="0" w:color="auto"/>
              <w:right w:val="single" w:sz="4" w:space="0" w:color="auto"/>
            </w:tcBorders>
            <w:shd w:val="clear" w:color="auto" w:fill="auto"/>
            <w:vAlign w:val="center"/>
          </w:tcPr>
          <w:p w:rsidR="00191861" w:rsidRPr="00EC0141" w:rsidRDefault="00191861" w:rsidP="00EC0141">
            <w:pPr>
              <w:ind w:left="-110"/>
              <w:jc w:val="right"/>
              <w:rPr>
                <w:sz w:val="20"/>
                <w:szCs w:val="20"/>
              </w:rPr>
            </w:pPr>
            <w:r w:rsidRPr="00EC0141">
              <w:rPr>
                <w:sz w:val="20"/>
                <w:szCs w:val="20"/>
              </w:rPr>
              <w:t>-</w:t>
            </w:r>
          </w:p>
        </w:tc>
        <w:tc>
          <w:tcPr>
            <w:tcW w:w="1275" w:type="dxa"/>
            <w:tcBorders>
              <w:top w:val="nil"/>
              <w:left w:val="nil"/>
              <w:bottom w:val="single" w:sz="4" w:space="0" w:color="auto"/>
              <w:right w:val="single" w:sz="4" w:space="0" w:color="auto"/>
            </w:tcBorders>
            <w:shd w:val="clear" w:color="auto" w:fill="auto"/>
            <w:vAlign w:val="center"/>
          </w:tcPr>
          <w:p w:rsidR="00191861" w:rsidRPr="00EC0141" w:rsidRDefault="00191861" w:rsidP="00DE768B">
            <w:pPr>
              <w:ind w:left="-103" w:right="-101"/>
              <w:jc w:val="center"/>
              <w:rPr>
                <w:sz w:val="20"/>
                <w:szCs w:val="20"/>
              </w:rPr>
            </w:pPr>
            <w:r w:rsidRPr="00EC0141">
              <w:rPr>
                <w:sz w:val="20"/>
                <w:szCs w:val="20"/>
              </w:rPr>
              <w:t>-</w:t>
            </w:r>
          </w:p>
        </w:tc>
        <w:tc>
          <w:tcPr>
            <w:tcW w:w="992" w:type="dxa"/>
            <w:tcBorders>
              <w:top w:val="nil"/>
              <w:left w:val="nil"/>
              <w:bottom w:val="single" w:sz="4" w:space="0" w:color="auto"/>
              <w:right w:val="single" w:sz="4" w:space="0" w:color="auto"/>
            </w:tcBorders>
            <w:shd w:val="clear" w:color="auto" w:fill="auto"/>
            <w:vAlign w:val="center"/>
          </w:tcPr>
          <w:p w:rsidR="00191861" w:rsidRPr="00EC0141" w:rsidRDefault="00191861" w:rsidP="007F63AE">
            <w:pPr>
              <w:ind w:left="-107"/>
              <w:jc w:val="center"/>
              <w:rPr>
                <w:sz w:val="20"/>
                <w:szCs w:val="20"/>
              </w:rPr>
            </w:pPr>
            <w:r w:rsidRPr="00EC0141">
              <w:rPr>
                <w:sz w:val="20"/>
                <w:szCs w:val="20"/>
              </w:rPr>
              <w:t>-</w:t>
            </w:r>
          </w:p>
        </w:tc>
      </w:tr>
      <w:tr w:rsidR="00467F9C" w:rsidRPr="00EC0141" w:rsidTr="00DE768B">
        <w:trPr>
          <w:trHeight w:val="242"/>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91861" w:rsidRDefault="00191861" w:rsidP="00E22CA8">
            <w:pPr>
              <w:ind w:right="-113"/>
              <w:rPr>
                <w:sz w:val="20"/>
                <w:szCs w:val="20"/>
              </w:rPr>
            </w:pPr>
            <w:r w:rsidRPr="00EC0141">
              <w:rPr>
                <w:sz w:val="20"/>
                <w:szCs w:val="20"/>
              </w:rPr>
              <w:t>Обеспечение устойчивого сокращения непригодного для проживания жилищного фонда (22)</w:t>
            </w:r>
          </w:p>
          <w:p w:rsidR="00DE768B" w:rsidRPr="00DE768B" w:rsidRDefault="00DE768B" w:rsidP="00E22CA8">
            <w:pPr>
              <w:ind w:right="-113"/>
              <w:rPr>
                <w:sz w:val="6"/>
                <w:szCs w:val="6"/>
              </w:rPr>
            </w:pPr>
          </w:p>
        </w:tc>
        <w:tc>
          <w:tcPr>
            <w:tcW w:w="1276"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5"/>
              <w:jc w:val="right"/>
              <w:rPr>
                <w:sz w:val="20"/>
                <w:szCs w:val="20"/>
              </w:rPr>
            </w:pPr>
            <w:r w:rsidRPr="00EC0141">
              <w:rPr>
                <w:sz w:val="20"/>
                <w:szCs w:val="20"/>
              </w:rPr>
              <w:t>473 813,0</w:t>
            </w:r>
          </w:p>
        </w:tc>
        <w:tc>
          <w:tcPr>
            <w:tcW w:w="1559"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EC0141">
            <w:pPr>
              <w:ind w:left="-110"/>
              <w:jc w:val="right"/>
              <w:rPr>
                <w:sz w:val="20"/>
                <w:szCs w:val="20"/>
              </w:rPr>
            </w:pPr>
            <w:r w:rsidRPr="00EC0141">
              <w:rPr>
                <w:sz w:val="20"/>
                <w:szCs w:val="20"/>
              </w:rPr>
              <w:t>-</w:t>
            </w:r>
          </w:p>
        </w:tc>
        <w:tc>
          <w:tcPr>
            <w:tcW w:w="1275"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DE768B">
            <w:pPr>
              <w:ind w:left="-103" w:right="-101"/>
              <w:jc w:val="center"/>
              <w:rPr>
                <w:sz w:val="20"/>
                <w:szCs w:val="20"/>
              </w:rPr>
            </w:pPr>
            <w:r w:rsidRPr="00EC0141">
              <w:rPr>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191861" w:rsidRPr="00EC0141" w:rsidRDefault="00191861" w:rsidP="007F63AE">
            <w:pPr>
              <w:ind w:left="-107"/>
              <w:jc w:val="center"/>
              <w:rPr>
                <w:sz w:val="20"/>
                <w:szCs w:val="20"/>
              </w:rPr>
            </w:pPr>
            <w:r w:rsidRPr="00EC0141">
              <w:rPr>
                <w:sz w:val="20"/>
                <w:szCs w:val="20"/>
              </w:rPr>
              <w:t>-</w:t>
            </w:r>
          </w:p>
        </w:tc>
      </w:tr>
    </w:tbl>
    <w:p w:rsidR="00191861" w:rsidRPr="00467F9C" w:rsidRDefault="00191861" w:rsidP="00191861">
      <w:pPr>
        <w:spacing w:before="120"/>
        <w:ind w:firstLine="709"/>
        <w:jc w:val="both"/>
        <w:rPr>
          <w:sz w:val="28"/>
          <w:szCs w:val="28"/>
        </w:rPr>
      </w:pPr>
      <w:r w:rsidRPr="00467F9C">
        <w:rPr>
          <w:sz w:val="28"/>
          <w:szCs w:val="28"/>
        </w:rPr>
        <w:t xml:space="preserve">Мероприятия девяти Государственных программ в отчетном периоде профинансированы менее чем на 15% утвержденных годовых назначений (Развитие лесного хозяйства – 13,6%, Предупреждение чрезвычайных ситуаций природного и техногенного характера и обеспечение пожарной безопасности – 13,2%, Охрана окружающей среды и обеспечение рационального природопользования – 4,7%, Развитие транспортной инфраструктуры – 3,5%, Национальная оборона – 12,1%, Информационное общество – 12,4%, Развитие культуры, спорта и туризма – 10,7%, Управление региональными финансами и имуществом – 11,4%, Развитие жилищного строительства – менее 0,1%). Государственные программы «Формирование комфортной городской среды» и </w:t>
      </w:r>
      <w:r w:rsidRPr="00467F9C">
        <w:rPr>
          <w:sz w:val="28"/>
          <w:szCs w:val="28"/>
        </w:rPr>
        <w:lastRenderedPageBreak/>
        <w:t>«Обеспечение устойчивого сокращения непригодного для проживания жилищного фонда» в отчетном периоде не финансировались.</w:t>
      </w:r>
    </w:p>
    <w:p w:rsidR="00191861" w:rsidRPr="00467F9C" w:rsidRDefault="00191861" w:rsidP="00191861">
      <w:pPr>
        <w:ind w:firstLine="709"/>
        <w:jc w:val="both"/>
        <w:rPr>
          <w:sz w:val="28"/>
          <w:szCs w:val="28"/>
        </w:rPr>
      </w:pPr>
      <w:r w:rsidRPr="00467F9C">
        <w:rPr>
          <w:sz w:val="28"/>
          <w:szCs w:val="28"/>
        </w:rPr>
        <w:t xml:space="preserve">Наибольший удельный вес в структуре профинансированных мероприятий в отчетном периоде составляют мероприятия Государственной программы «Развитие энергетики Чукотского автономного округа» </w:t>
      </w:r>
      <w:r w:rsidRPr="00467F9C">
        <w:t>–</w:t>
      </w:r>
      <w:r w:rsidRPr="00467F9C">
        <w:rPr>
          <w:sz w:val="28"/>
          <w:szCs w:val="28"/>
        </w:rPr>
        <w:t xml:space="preserve"> 22,3% (1 847 699,8 тыс. рублей).</w:t>
      </w:r>
    </w:p>
    <w:p w:rsidR="00191861" w:rsidRPr="00467F9C" w:rsidRDefault="00191861" w:rsidP="00191861">
      <w:pPr>
        <w:ind w:firstLine="709"/>
        <w:jc w:val="both"/>
        <w:rPr>
          <w:rFonts w:eastAsia="Calibri"/>
          <w:sz w:val="28"/>
          <w:szCs w:val="28"/>
          <w:lang w:eastAsia="en-US"/>
        </w:rPr>
      </w:pPr>
      <w:r w:rsidRPr="00467F9C">
        <w:rPr>
          <w:sz w:val="28"/>
          <w:szCs w:val="28"/>
          <w:lang w:eastAsia="en-US"/>
        </w:rPr>
        <w:t xml:space="preserve">В текущем году на территории Чукотского автономного округа предусмотрено финансирование 31 регионального проекта в рамках мероприятий национальных проектов, разработанных на федеральном уровне в соответствии с Указом Президента Российской Федерации от 7 мая 2018 года №204 «О национальных целях и стратегических задачах развития Российской Федерации на период до 2024 года». </w:t>
      </w:r>
      <w:r w:rsidRPr="00467F9C">
        <w:rPr>
          <w:rFonts w:eastAsia="Calibri"/>
          <w:sz w:val="28"/>
          <w:szCs w:val="28"/>
          <w:lang w:eastAsia="en-US"/>
        </w:rPr>
        <w:t xml:space="preserve">Сводной бюджетной росписью утверждены бюджетные ассигнования на реализацию 31 регионального проекта в сумме 4 371 584,9 тыс. рублей. </w:t>
      </w:r>
    </w:p>
    <w:p w:rsidR="00191861" w:rsidRPr="00467F9C" w:rsidRDefault="00191861" w:rsidP="00191861">
      <w:pPr>
        <w:autoSpaceDE w:val="0"/>
        <w:autoSpaceDN w:val="0"/>
        <w:adjustRightInd w:val="0"/>
        <w:ind w:firstLine="709"/>
        <w:jc w:val="both"/>
        <w:rPr>
          <w:rFonts w:eastAsia="Calibri"/>
          <w:sz w:val="28"/>
          <w:szCs w:val="28"/>
        </w:rPr>
      </w:pPr>
      <w:r w:rsidRPr="00467F9C">
        <w:rPr>
          <w:rFonts w:eastAsia="Calibri"/>
          <w:sz w:val="28"/>
          <w:szCs w:val="28"/>
        </w:rPr>
        <w:t xml:space="preserve">Расходы на реализацию мероприятий региональных проектов за 1 квартал текущего года составили 184 498,7 тыс. рублей или 4,2% плановых значений. </w:t>
      </w:r>
    </w:p>
    <w:p w:rsidR="00191861" w:rsidRPr="00467F9C" w:rsidRDefault="00191861" w:rsidP="00191861">
      <w:pPr>
        <w:autoSpaceDE w:val="0"/>
        <w:autoSpaceDN w:val="0"/>
        <w:adjustRightInd w:val="0"/>
        <w:ind w:firstLine="709"/>
        <w:jc w:val="both"/>
        <w:rPr>
          <w:rFonts w:eastAsia="Calibri"/>
          <w:sz w:val="28"/>
          <w:szCs w:val="28"/>
          <w:highlight w:val="yellow"/>
        </w:rPr>
      </w:pPr>
      <w:r w:rsidRPr="00467F9C">
        <w:rPr>
          <w:rFonts w:eastAsia="Calibri"/>
          <w:sz w:val="28"/>
          <w:szCs w:val="28"/>
        </w:rPr>
        <w:t>Наибольший объем финансирования, в структуре расходов на региональные проекты, приходится на региональный проект «Финансовая поддержка семей при рождении детей» – 105 190,0 тыс. рублей (57%).</w:t>
      </w:r>
    </w:p>
    <w:p w:rsidR="00191861" w:rsidRPr="00467F9C" w:rsidRDefault="00191861" w:rsidP="00191861">
      <w:pPr>
        <w:autoSpaceDE w:val="0"/>
        <w:autoSpaceDN w:val="0"/>
        <w:adjustRightInd w:val="0"/>
        <w:ind w:firstLine="709"/>
        <w:jc w:val="both"/>
        <w:rPr>
          <w:rFonts w:eastAsia="Calibri"/>
          <w:sz w:val="28"/>
          <w:szCs w:val="28"/>
        </w:rPr>
      </w:pPr>
      <w:r w:rsidRPr="00467F9C">
        <w:rPr>
          <w:rFonts w:eastAsia="Calibri"/>
          <w:sz w:val="28"/>
          <w:szCs w:val="28"/>
        </w:rPr>
        <w:t xml:space="preserve">Четыре региональных проектов («Культурная среда» – 0,1%, «Творческие люди» – 0,9%, «Развитие системы оказания первичной медико-санитарной помощи» – 6,7%, «Спорт – норма жизни» – 18,2%) профинансированы менее чем на 25%. Реализация двадцати трех региональных проектов не финансировалась. </w:t>
      </w:r>
    </w:p>
    <w:p w:rsidR="00191861" w:rsidRPr="00467F9C" w:rsidRDefault="00191861" w:rsidP="00191861">
      <w:pPr>
        <w:autoSpaceDE w:val="0"/>
        <w:autoSpaceDN w:val="0"/>
        <w:adjustRightInd w:val="0"/>
        <w:spacing w:before="120"/>
        <w:ind w:firstLine="709"/>
        <w:jc w:val="both"/>
        <w:rPr>
          <w:sz w:val="28"/>
          <w:szCs w:val="28"/>
        </w:rPr>
      </w:pPr>
      <w:r w:rsidRPr="00467F9C">
        <w:rPr>
          <w:rFonts w:eastAsia="Calibri"/>
          <w:sz w:val="28"/>
          <w:szCs w:val="28"/>
          <w:lang w:eastAsia="en-US"/>
        </w:rPr>
        <w:t xml:space="preserve">Финансирование мероприятий непрограммных направлений деятельности составило 428 305,5 тыс. рублей или 19% плановых назначений. </w:t>
      </w:r>
      <w:r w:rsidRPr="00467F9C">
        <w:rPr>
          <w:rFonts w:eastAsia="Calibri"/>
          <w:iCs/>
          <w:sz w:val="28"/>
          <w:szCs w:val="28"/>
          <w:lang w:eastAsia="en-US"/>
        </w:rPr>
        <w:t xml:space="preserve">В рамках непрограммных мероприятий </w:t>
      </w:r>
      <w:r w:rsidRPr="00467F9C">
        <w:rPr>
          <w:rFonts w:eastAsia="Calibri"/>
          <w:sz w:val="28"/>
          <w:szCs w:val="28"/>
          <w:lang w:eastAsia="en-US"/>
        </w:rPr>
        <w:t>бюджетные ассигнования направлены на и</w:t>
      </w:r>
      <w:r w:rsidRPr="00467F9C">
        <w:rPr>
          <w:sz w:val="28"/>
          <w:szCs w:val="28"/>
        </w:rPr>
        <w:t>сполнение публичных (публично-нормативных) обязательств, обеспечение функционирования региональных органов власти и исполнение отдельных обязательств Чукотского автономного округа.</w:t>
      </w:r>
    </w:p>
    <w:p w:rsidR="00191861" w:rsidRPr="00467F9C" w:rsidRDefault="00191861" w:rsidP="00191861">
      <w:pPr>
        <w:spacing w:before="240" w:after="120"/>
        <w:jc w:val="center"/>
        <w:rPr>
          <w:b/>
          <w:sz w:val="28"/>
          <w:szCs w:val="28"/>
        </w:rPr>
      </w:pPr>
      <w:r w:rsidRPr="00467F9C">
        <w:rPr>
          <w:b/>
          <w:sz w:val="28"/>
          <w:szCs w:val="28"/>
        </w:rPr>
        <w:t>Резервный фонд Правительства Чукотского автономного округа</w:t>
      </w:r>
    </w:p>
    <w:p w:rsidR="00191861" w:rsidRPr="00467F9C" w:rsidRDefault="00191861" w:rsidP="00191861">
      <w:pPr>
        <w:ind w:firstLine="709"/>
        <w:jc w:val="both"/>
        <w:rPr>
          <w:sz w:val="28"/>
          <w:szCs w:val="28"/>
        </w:rPr>
      </w:pPr>
      <w:r w:rsidRPr="00467F9C">
        <w:rPr>
          <w:sz w:val="28"/>
          <w:szCs w:val="28"/>
        </w:rPr>
        <w:t xml:space="preserve">Законом об окружном бюджете резервный фонд Правительства Чукотского автономного округа на непредвиденные расходы (далее – Резервный фонд) </w:t>
      </w:r>
      <w:r w:rsidRPr="00467F9C">
        <w:rPr>
          <w:sz w:val="28"/>
          <w:szCs w:val="28"/>
        </w:rPr>
        <w:br/>
        <w:t>на 2022 год утвержден в объеме 300 000,0 тыс. рублей.</w:t>
      </w:r>
    </w:p>
    <w:p w:rsidR="00191861" w:rsidRPr="00467F9C" w:rsidRDefault="00191861" w:rsidP="00191861">
      <w:pPr>
        <w:ind w:firstLine="709"/>
        <w:jc w:val="both"/>
        <w:rPr>
          <w:sz w:val="28"/>
          <w:szCs w:val="28"/>
        </w:rPr>
      </w:pPr>
      <w:r w:rsidRPr="00467F9C">
        <w:rPr>
          <w:sz w:val="28"/>
          <w:szCs w:val="28"/>
        </w:rPr>
        <w:t>Доля Резервного фонда в общих расходах окружного бюджета составила 0,6%, что не превысило ограничения, установленные статьей 81 Бюджетного кодекса (3%).</w:t>
      </w:r>
    </w:p>
    <w:p w:rsidR="00191861" w:rsidRPr="00467F9C" w:rsidRDefault="00191861" w:rsidP="00191861">
      <w:pPr>
        <w:pStyle w:val="35"/>
        <w:shd w:val="clear" w:color="auto" w:fill="auto"/>
        <w:spacing w:line="240" w:lineRule="auto"/>
        <w:ind w:firstLine="709"/>
        <w:jc w:val="both"/>
        <w:rPr>
          <w:bCs/>
          <w:sz w:val="28"/>
          <w:szCs w:val="28"/>
        </w:rPr>
      </w:pPr>
      <w:r w:rsidRPr="00467F9C">
        <w:rPr>
          <w:rFonts w:eastAsia="Calibri"/>
          <w:sz w:val="28"/>
          <w:szCs w:val="28"/>
        </w:rPr>
        <w:t>Бюджетные ассигнования Резервного фонда используются по решению Правительства Чукотского автономного округа в соответствии с</w:t>
      </w:r>
      <w:r w:rsidRPr="00467F9C">
        <w:rPr>
          <w:sz w:val="28"/>
          <w:szCs w:val="28"/>
        </w:rPr>
        <w:t xml:space="preserve"> Положением </w:t>
      </w:r>
      <w:r w:rsidRPr="00467F9C">
        <w:rPr>
          <w:sz w:val="28"/>
          <w:szCs w:val="28"/>
        </w:rPr>
        <w:lastRenderedPageBreak/>
        <w:t>о порядке расходования средств Резервного фонда</w:t>
      </w:r>
      <w:r w:rsidRPr="00467F9C">
        <w:rPr>
          <w:rStyle w:val="ab"/>
          <w:sz w:val="28"/>
          <w:szCs w:val="28"/>
        </w:rPr>
        <w:footnoteReference w:id="134"/>
      </w:r>
      <w:r w:rsidRPr="00467F9C">
        <w:rPr>
          <w:sz w:val="28"/>
          <w:szCs w:val="28"/>
        </w:rPr>
        <w:t xml:space="preserve">, </w:t>
      </w:r>
      <w:r w:rsidRPr="00467F9C">
        <w:rPr>
          <w:bCs/>
          <w:sz w:val="28"/>
          <w:szCs w:val="28"/>
        </w:rPr>
        <w:t>планируются по подразделу 01 11 «</w:t>
      </w:r>
      <w:r w:rsidRPr="00467F9C">
        <w:rPr>
          <w:rFonts w:eastAsiaTheme="minorHAnsi"/>
          <w:sz w:val="28"/>
          <w:szCs w:val="28"/>
        </w:rPr>
        <w:t>Резервные фонды»</w:t>
      </w:r>
      <w:r w:rsidRPr="00467F9C">
        <w:rPr>
          <w:bCs/>
          <w:sz w:val="28"/>
          <w:szCs w:val="28"/>
        </w:rPr>
        <w:t xml:space="preserve"> и при исполнении распределяются по всей бюджетной классификации в соответствии с назначением расходования средств.</w:t>
      </w:r>
    </w:p>
    <w:p w:rsidR="00191861" w:rsidRPr="00467F9C" w:rsidRDefault="00191861" w:rsidP="00191861">
      <w:pPr>
        <w:pStyle w:val="35"/>
        <w:shd w:val="clear" w:color="auto" w:fill="auto"/>
        <w:spacing w:line="240" w:lineRule="auto"/>
        <w:ind w:firstLine="709"/>
        <w:jc w:val="both"/>
        <w:rPr>
          <w:sz w:val="28"/>
          <w:szCs w:val="28"/>
        </w:rPr>
      </w:pPr>
      <w:r w:rsidRPr="00467F9C">
        <w:rPr>
          <w:sz w:val="28"/>
          <w:szCs w:val="28"/>
        </w:rPr>
        <w:t xml:space="preserve">Информация об использовании средств Резервного фонда </w:t>
      </w:r>
      <w:r w:rsidRPr="00467F9C">
        <w:rPr>
          <w:sz w:val="28"/>
          <w:szCs w:val="28"/>
        </w:rPr>
        <w:br/>
        <w:t>в отчетном периоде, в разрезе главных распорядителей бюджетных средств, представлена в таблице №11.</w:t>
      </w:r>
    </w:p>
    <w:p w:rsidR="00191861" w:rsidRPr="00467F9C" w:rsidRDefault="00191861" w:rsidP="00191861">
      <w:pPr>
        <w:ind w:firstLine="709"/>
        <w:jc w:val="right"/>
        <w:rPr>
          <w:sz w:val="28"/>
          <w:szCs w:val="28"/>
        </w:rPr>
      </w:pPr>
      <w:r w:rsidRPr="00467F9C">
        <w:rPr>
          <w:sz w:val="28"/>
          <w:szCs w:val="28"/>
        </w:rPr>
        <w:t>Таблица №11</w:t>
      </w:r>
    </w:p>
    <w:p w:rsidR="00191861" w:rsidRPr="00467F9C" w:rsidRDefault="00191861" w:rsidP="00191861">
      <w:pPr>
        <w:ind w:firstLine="709"/>
        <w:jc w:val="right"/>
        <w:rPr>
          <w:sz w:val="28"/>
          <w:szCs w:val="28"/>
        </w:rPr>
      </w:pPr>
      <w:r w:rsidRPr="00467F9C">
        <w:rPr>
          <w:sz w:val="28"/>
          <w:szCs w:val="28"/>
        </w:rPr>
        <w:t>(тыс. рублей)</w:t>
      </w:r>
    </w:p>
    <w:tbl>
      <w:tblPr>
        <w:tblW w:w="9579" w:type="dxa"/>
        <w:tblInd w:w="-5" w:type="dxa"/>
        <w:tblLook w:val="04A0" w:firstRow="1" w:lastRow="0" w:firstColumn="1" w:lastColumn="0" w:noHBand="0" w:noVBand="1"/>
      </w:tblPr>
      <w:tblGrid>
        <w:gridCol w:w="4392"/>
        <w:gridCol w:w="1276"/>
        <w:gridCol w:w="1560"/>
        <w:gridCol w:w="1316"/>
        <w:gridCol w:w="1035"/>
      </w:tblGrid>
      <w:tr w:rsidR="00467F9C" w:rsidRPr="00572BAE" w:rsidTr="00A54208">
        <w:trPr>
          <w:trHeight w:val="540"/>
          <w:tblHeader/>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572BAE" w:rsidRDefault="00191861" w:rsidP="00191861">
            <w:pPr>
              <w:jc w:val="center"/>
              <w:rPr>
                <w:sz w:val="20"/>
                <w:szCs w:val="20"/>
              </w:rPr>
            </w:pPr>
            <w:r w:rsidRPr="00572BAE">
              <w:rPr>
                <w:bCs/>
                <w:sz w:val="20"/>
                <w:szCs w:val="20"/>
              </w:rPr>
              <w:t xml:space="preserve">Наименование </w:t>
            </w:r>
            <w:r w:rsidRPr="00572BAE">
              <w:rPr>
                <w:bCs/>
                <w:sz w:val="20"/>
                <w:szCs w:val="20"/>
              </w:rPr>
              <w:br/>
              <w:t>главного распорядителя средств бюджета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91861" w:rsidRPr="00572BAE" w:rsidRDefault="00191861" w:rsidP="00A54208">
            <w:pPr>
              <w:ind w:left="-111" w:right="-116"/>
              <w:jc w:val="center"/>
              <w:rPr>
                <w:sz w:val="20"/>
                <w:szCs w:val="20"/>
              </w:rPr>
            </w:pPr>
            <w:r w:rsidRPr="00572BAE">
              <w:rPr>
                <w:bCs/>
                <w:sz w:val="20"/>
                <w:szCs w:val="20"/>
              </w:rPr>
              <w:t>Распределено</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91861" w:rsidRPr="00572BAE" w:rsidRDefault="00191861" w:rsidP="00A54208">
            <w:pPr>
              <w:ind w:left="-108" w:right="-78"/>
              <w:jc w:val="center"/>
              <w:rPr>
                <w:sz w:val="20"/>
                <w:szCs w:val="20"/>
              </w:rPr>
            </w:pPr>
            <w:r w:rsidRPr="00572BAE">
              <w:rPr>
                <w:bCs/>
                <w:sz w:val="20"/>
                <w:szCs w:val="20"/>
              </w:rPr>
              <w:t>Финансирование</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191861" w:rsidRPr="00572BAE" w:rsidRDefault="00191861" w:rsidP="00A54208">
            <w:pPr>
              <w:ind w:left="-101"/>
              <w:jc w:val="center"/>
              <w:rPr>
                <w:sz w:val="20"/>
                <w:szCs w:val="20"/>
              </w:rPr>
            </w:pPr>
            <w:r w:rsidRPr="00572BAE">
              <w:rPr>
                <w:bCs/>
                <w:sz w:val="20"/>
                <w:szCs w:val="20"/>
              </w:rPr>
              <w:t>Использовано</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191861" w:rsidRPr="00572BAE" w:rsidRDefault="00191861" w:rsidP="00191861">
            <w:pPr>
              <w:jc w:val="center"/>
              <w:rPr>
                <w:sz w:val="20"/>
                <w:szCs w:val="20"/>
              </w:rPr>
            </w:pPr>
            <w:r w:rsidRPr="00572BAE">
              <w:rPr>
                <w:bCs/>
                <w:sz w:val="20"/>
                <w:szCs w:val="20"/>
              </w:rPr>
              <w:t>Остаток средств</w:t>
            </w:r>
          </w:p>
        </w:tc>
      </w:tr>
      <w:tr w:rsidR="00467F9C" w:rsidRPr="00572BAE" w:rsidTr="00A54208">
        <w:trPr>
          <w:trHeight w:val="300"/>
          <w:tblHeader/>
        </w:trPr>
        <w:tc>
          <w:tcPr>
            <w:tcW w:w="4394" w:type="dxa"/>
            <w:tcBorders>
              <w:top w:val="nil"/>
              <w:left w:val="single" w:sz="4" w:space="0" w:color="auto"/>
              <w:bottom w:val="single" w:sz="4" w:space="0" w:color="auto"/>
              <w:right w:val="single" w:sz="4" w:space="0" w:color="auto"/>
            </w:tcBorders>
            <w:shd w:val="clear" w:color="auto" w:fill="auto"/>
            <w:vAlign w:val="center"/>
            <w:hideMark/>
          </w:tcPr>
          <w:p w:rsidR="00191861" w:rsidRPr="00572BAE" w:rsidRDefault="00191861" w:rsidP="00191861">
            <w:pPr>
              <w:jc w:val="center"/>
              <w:rPr>
                <w:sz w:val="20"/>
                <w:szCs w:val="20"/>
              </w:rPr>
            </w:pPr>
            <w:r w:rsidRPr="00572BAE">
              <w:rPr>
                <w:bCs/>
                <w:sz w:val="20"/>
                <w:szCs w:val="20"/>
              </w:rPr>
              <w:t>1</w:t>
            </w:r>
          </w:p>
        </w:tc>
        <w:tc>
          <w:tcPr>
            <w:tcW w:w="1276" w:type="dxa"/>
            <w:tcBorders>
              <w:top w:val="nil"/>
              <w:left w:val="nil"/>
              <w:bottom w:val="single" w:sz="4" w:space="0" w:color="auto"/>
              <w:right w:val="single" w:sz="4" w:space="0" w:color="auto"/>
            </w:tcBorders>
            <w:shd w:val="clear" w:color="auto" w:fill="auto"/>
            <w:vAlign w:val="center"/>
          </w:tcPr>
          <w:p w:rsidR="00191861" w:rsidRPr="00572BAE" w:rsidRDefault="00191861" w:rsidP="00572BAE">
            <w:pPr>
              <w:ind w:left="-111"/>
              <w:jc w:val="center"/>
              <w:rPr>
                <w:sz w:val="20"/>
                <w:szCs w:val="20"/>
              </w:rPr>
            </w:pPr>
            <w:r w:rsidRPr="00572BAE">
              <w:rPr>
                <w:sz w:val="20"/>
                <w:szCs w:val="20"/>
              </w:rPr>
              <w:t>2</w:t>
            </w:r>
          </w:p>
        </w:tc>
        <w:tc>
          <w:tcPr>
            <w:tcW w:w="1560" w:type="dxa"/>
            <w:tcBorders>
              <w:top w:val="nil"/>
              <w:left w:val="nil"/>
              <w:bottom w:val="single" w:sz="4" w:space="0" w:color="auto"/>
              <w:right w:val="single" w:sz="4" w:space="0" w:color="auto"/>
            </w:tcBorders>
            <w:shd w:val="clear" w:color="auto" w:fill="auto"/>
            <w:vAlign w:val="center"/>
          </w:tcPr>
          <w:p w:rsidR="00191861" w:rsidRPr="00572BAE" w:rsidRDefault="00191861" w:rsidP="00191861">
            <w:pPr>
              <w:jc w:val="center"/>
              <w:rPr>
                <w:sz w:val="20"/>
                <w:szCs w:val="20"/>
              </w:rPr>
            </w:pPr>
            <w:r w:rsidRPr="00572BAE">
              <w:rPr>
                <w:sz w:val="20"/>
                <w:szCs w:val="20"/>
              </w:rPr>
              <w:t>3</w:t>
            </w:r>
          </w:p>
        </w:tc>
        <w:tc>
          <w:tcPr>
            <w:tcW w:w="1314" w:type="dxa"/>
            <w:tcBorders>
              <w:top w:val="nil"/>
              <w:left w:val="nil"/>
              <w:bottom w:val="single" w:sz="4" w:space="0" w:color="auto"/>
              <w:right w:val="single" w:sz="4" w:space="0" w:color="auto"/>
            </w:tcBorders>
            <w:shd w:val="clear" w:color="auto" w:fill="auto"/>
            <w:vAlign w:val="center"/>
          </w:tcPr>
          <w:p w:rsidR="00191861" w:rsidRPr="00572BAE" w:rsidRDefault="00191861" w:rsidP="00191861">
            <w:pPr>
              <w:jc w:val="center"/>
              <w:rPr>
                <w:sz w:val="20"/>
                <w:szCs w:val="20"/>
              </w:rPr>
            </w:pPr>
            <w:r w:rsidRPr="00572BAE">
              <w:rPr>
                <w:sz w:val="20"/>
                <w:szCs w:val="20"/>
              </w:rPr>
              <w:t>4</w:t>
            </w:r>
          </w:p>
        </w:tc>
        <w:tc>
          <w:tcPr>
            <w:tcW w:w="1035" w:type="dxa"/>
            <w:tcBorders>
              <w:top w:val="nil"/>
              <w:left w:val="nil"/>
              <w:bottom w:val="single" w:sz="4" w:space="0" w:color="auto"/>
              <w:right w:val="single" w:sz="4" w:space="0" w:color="auto"/>
            </w:tcBorders>
            <w:shd w:val="clear" w:color="auto" w:fill="auto"/>
            <w:vAlign w:val="center"/>
          </w:tcPr>
          <w:p w:rsidR="00191861" w:rsidRPr="00572BAE" w:rsidRDefault="00191861" w:rsidP="00191861">
            <w:pPr>
              <w:jc w:val="center"/>
              <w:rPr>
                <w:sz w:val="20"/>
                <w:szCs w:val="20"/>
              </w:rPr>
            </w:pPr>
            <w:r w:rsidRPr="00572BAE">
              <w:rPr>
                <w:sz w:val="20"/>
                <w:szCs w:val="20"/>
              </w:rPr>
              <w:t>5</w:t>
            </w:r>
          </w:p>
        </w:tc>
      </w:tr>
      <w:tr w:rsidR="00467F9C" w:rsidRPr="00572BAE" w:rsidTr="00A54208">
        <w:trPr>
          <w:trHeight w:val="300"/>
        </w:trPr>
        <w:tc>
          <w:tcPr>
            <w:tcW w:w="4394" w:type="dxa"/>
            <w:tcBorders>
              <w:top w:val="nil"/>
              <w:left w:val="single" w:sz="4" w:space="0" w:color="auto"/>
              <w:bottom w:val="single" w:sz="4" w:space="0" w:color="auto"/>
              <w:right w:val="single" w:sz="4" w:space="0" w:color="auto"/>
            </w:tcBorders>
            <w:shd w:val="clear" w:color="auto" w:fill="auto"/>
            <w:vAlign w:val="center"/>
            <w:hideMark/>
          </w:tcPr>
          <w:p w:rsidR="00191861" w:rsidRPr="00572BAE" w:rsidRDefault="00191861" w:rsidP="00191861">
            <w:pPr>
              <w:jc w:val="both"/>
              <w:rPr>
                <w:b/>
                <w:bCs/>
                <w:sz w:val="20"/>
                <w:szCs w:val="20"/>
              </w:rPr>
            </w:pPr>
            <w:r w:rsidRPr="00572BAE">
              <w:rPr>
                <w:b/>
                <w:bCs/>
                <w:sz w:val="20"/>
                <w:szCs w:val="20"/>
              </w:rPr>
              <w:t>Всего</w:t>
            </w:r>
          </w:p>
        </w:tc>
        <w:tc>
          <w:tcPr>
            <w:tcW w:w="1276" w:type="dxa"/>
            <w:tcBorders>
              <w:top w:val="nil"/>
              <w:left w:val="nil"/>
              <w:bottom w:val="single" w:sz="4" w:space="0" w:color="auto"/>
              <w:right w:val="single" w:sz="4" w:space="0" w:color="auto"/>
            </w:tcBorders>
            <w:shd w:val="clear" w:color="auto" w:fill="auto"/>
            <w:vAlign w:val="center"/>
            <w:hideMark/>
          </w:tcPr>
          <w:p w:rsidR="00191861" w:rsidRPr="00572BAE" w:rsidRDefault="00191861" w:rsidP="00572BAE">
            <w:pPr>
              <w:ind w:left="-111"/>
              <w:jc w:val="right"/>
              <w:rPr>
                <w:b/>
                <w:bCs/>
                <w:sz w:val="20"/>
                <w:szCs w:val="20"/>
              </w:rPr>
            </w:pPr>
            <w:r w:rsidRPr="00572BAE">
              <w:rPr>
                <w:b/>
                <w:bCs/>
                <w:sz w:val="20"/>
                <w:szCs w:val="20"/>
              </w:rPr>
              <w:t>119 098,6</w:t>
            </w:r>
          </w:p>
        </w:tc>
        <w:tc>
          <w:tcPr>
            <w:tcW w:w="1560" w:type="dxa"/>
            <w:tcBorders>
              <w:top w:val="nil"/>
              <w:left w:val="nil"/>
              <w:bottom w:val="single" w:sz="4" w:space="0" w:color="auto"/>
              <w:right w:val="single" w:sz="4" w:space="0" w:color="auto"/>
            </w:tcBorders>
            <w:shd w:val="clear" w:color="auto" w:fill="auto"/>
            <w:vAlign w:val="center"/>
            <w:hideMark/>
          </w:tcPr>
          <w:p w:rsidR="00191861" w:rsidRPr="00572BAE" w:rsidRDefault="00191861" w:rsidP="00191861">
            <w:pPr>
              <w:jc w:val="right"/>
              <w:rPr>
                <w:b/>
                <w:bCs/>
                <w:sz w:val="20"/>
                <w:szCs w:val="20"/>
              </w:rPr>
            </w:pPr>
            <w:r w:rsidRPr="00572BAE">
              <w:rPr>
                <w:b/>
                <w:bCs/>
                <w:sz w:val="20"/>
                <w:szCs w:val="20"/>
              </w:rPr>
              <w:t>112 581,9</w:t>
            </w:r>
          </w:p>
        </w:tc>
        <w:tc>
          <w:tcPr>
            <w:tcW w:w="1314" w:type="dxa"/>
            <w:tcBorders>
              <w:top w:val="nil"/>
              <w:left w:val="nil"/>
              <w:bottom w:val="single" w:sz="4" w:space="0" w:color="auto"/>
              <w:right w:val="single" w:sz="4" w:space="0" w:color="auto"/>
            </w:tcBorders>
            <w:shd w:val="clear" w:color="auto" w:fill="auto"/>
            <w:vAlign w:val="center"/>
            <w:hideMark/>
          </w:tcPr>
          <w:p w:rsidR="00191861" w:rsidRPr="00572BAE" w:rsidRDefault="00191861" w:rsidP="00191861">
            <w:pPr>
              <w:jc w:val="right"/>
              <w:rPr>
                <w:b/>
                <w:bCs/>
                <w:sz w:val="20"/>
                <w:szCs w:val="20"/>
              </w:rPr>
            </w:pPr>
            <w:r w:rsidRPr="00572BAE">
              <w:rPr>
                <w:b/>
                <w:bCs/>
                <w:sz w:val="20"/>
                <w:szCs w:val="20"/>
              </w:rPr>
              <w:t>112 581,9</w:t>
            </w:r>
          </w:p>
        </w:tc>
        <w:tc>
          <w:tcPr>
            <w:tcW w:w="1035" w:type="dxa"/>
            <w:tcBorders>
              <w:top w:val="nil"/>
              <w:left w:val="nil"/>
              <w:bottom w:val="single" w:sz="4" w:space="0" w:color="auto"/>
              <w:right w:val="single" w:sz="4" w:space="0" w:color="auto"/>
            </w:tcBorders>
            <w:shd w:val="clear" w:color="auto" w:fill="auto"/>
            <w:vAlign w:val="center"/>
            <w:hideMark/>
          </w:tcPr>
          <w:p w:rsidR="00191861" w:rsidRPr="00572BAE" w:rsidRDefault="00191861" w:rsidP="00191861">
            <w:pPr>
              <w:jc w:val="right"/>
              <w:rPr>
                <w:b/>
                <w:bCs/>
                <w:sz w:val="20"/>
                <w:szCs w:val="20"/>
              </w:rPr>
            </w:pPr>
            <w:r w:rsidRPr="00572BAE">
              <w:rPr>
                <w:b/>
                <w:bCs/>
                <w:sz w:val="20"/>
                <w:szCs w:val="20"/>
              </w:rPr>
              <w:t>6 516,7</w:t>
            </w:r>
          </w:p>
        </w:tc>
      </w:tr>
      <w:tr w:rsidR="00467F9C" w:rsidRPr="00572BAE" w:rsidTr="00A54208">
        <w:trPr>
          <w:trHeight w:val="511"/>
        </w:trPr>
        <w:tc>
          <w:tcPr>
            <w:tcW w:w="4394" w:type="dxa"/>
            <w:tcBorders>
              <w:top w:val="nil"/>
              <w:left w:val="single" w:sz="4" w:space="0" w:color="auto"/>
              <w:bottom w:val="single" w:sz="4" w:space="0" w:color="auto"/>
              <w:right w:val="single" w:sz="4" w:space="0" w:color="auto"/>
            </w:tcBorders>
            <w:shd w:val="clear" w:color="auto" w:fill="auto"/>
            <w:vAlign w:val="center"/>
            <w:hideMark/>
          </w:tcPr>
          <w:p w:rsidR="00191861" w:rsidRPr="00572BAE" w:rsidRDefault="00191861" w:rsidP="00191861">
            <w:pPr>
              <w:rPr>
                <w:sz w:val="20"/>
                <w:szCs w:val="20"/>
              </w:rPr>
            </w:pPr>
            <w:r w:rsidRPr="00572BAE">
              <w:rPr>
                <w:sz w:val="20"/>
                <w:szCs w:val="20"/>
              </w:rPr>
              <w:t>Аппарат Губернатора и Правительства Чукотского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191861" w:rsidRPr="00572BAE" w:rsidRDefault="00191861" w:rsidP="00572BAE">
            <w:pPr>
              <w:ind w:left="-111"/>
              <w:jc w:val="right"/>
              <w:rPr>
                <w:sz w:val="20"/>
                <w:szCs w:val="20"/>
              </w:rPr>
            </w:pPr>
            <w:r w:rsidRPr="00572BAE">
              <w:rPr>
                <w:sz w:val="20"/>
                <w:szCs w:val="20"/>
              </w:rPr>
              <w:t>2 390,5</w:t>
            </w:r>
          </w:p>
        </w:tc>
        <w:tc>
          <w:tcPr>
            <w:tcW w:w="1560" w:type="dxa"/>
            <w:tcBorders>
              <w:top w:val="nil"/>
              <w:left w:val="nil"/>
              <w:bottom w:val="single" w:sz="4" w:space="0" w:color="auto"/>
              <w:right w:val="single" w:sz="4" w:space="0" w:color="auto"/>
            </w:tcBorders>
            <w:shd w:val="clear" w:color="auto" w:fill="auto"/>
            <w:vAlign w:val="center"/>
            <w:hideMark/>
          </w:tcPr>
          <w:p w:rsidR="00191861" w:rsidRPr="00572BAE" w:rsidRDefault="00191861" w:rsidP="00191861">
            <w:pPr>
              <w:jc w:val="right"/>
              <w:rPr>
                <w:sz w:val="20"/>
                <w:szCs w:val="20"/>
              </w:rPr>
            </w:pPr>
            <w:r w:rsidRPr="00572BAE">
              <w:rPr>
                <w:sz w:val="20"/>
                <w:szCs w:val="20"/>
              </w:rPr>
              <w:t>1 868,0</w:t>
            </w:r>
          </w:p>
        </w:tc>
        <w:tc>
          <w:tcPr>
            <w:tcW w:w="1314" w:type="dxa"/>
            <w:tcBorders>
              <w:top w:val="nil"/>
              <w:left w:val="nil"/>
              <w:bottom w:val="single" w:sz="4" w:space="0" w:color="auto"/>
              <w:right w:val="single" w:sz="4" w:space="0" w:color="auto"/>
            </w:tcBorders>
            <w:shd w:val="clear" w:color="auto" w:fill="auto"/>
            <w:vAlign w:val="center"/>
            <w:hideMark/>
          </w:tcPr>
          <w:p w:rsidR="00191861" w:rsidRPr="00572BAE" w:rsidRDefault="00191861" w:rsidP="00191861">
            <w:pPr>
              <w:jc w:val="right"/>
              <w:rPr>
                <w:sz w:val="20"/>
                <w:szCs w:val="20"/>
              </w:rPr>
            </w:pPr>
            <w:r w:rsidRPr="00572BAE">
              <w:rPr>
                <w:sz w:val="20"/>
                <w:szCs w:val="20"/>
              </w:rPr>
              <w:t>1 868,0</w:t>
            </w:r>
          </w:p>
        </w:tc>
        <w:tc>
          <w:tcPr>
            <w:tcW w:w="1035" w:type="dxa"/>
            <w:tcBorders>
              <w:top w:val="nil"/>
              <w:left w:val="nil"/>
              <w:bottom w:val="single" w:sz="4" w:space="0" w:color="auto"/>
              <w:right w:val="single" w:sz="4" w:space="0" w:color="auto"/>
            </w:tcBorders>
            <w:shd w:val="clear" w:color="auto" w:fill="auto"/>
            <w:vAlign w:val="center"/>
            <w:hideMark/>
          </w:tcPr>
          <w:p w:rsidR="00191861" w:rsidRPr="00572BAE" w:rsidRDefault="00191861" w:rsidP="00191861">
            <w:pPr>
              <w:jc w:val="right"/>
              <w:rPr>
                <w:sz w:val="20"/>
                <w:szCs w:val="20"/>
              </w:rPr>
            </w:pPr>
            <w:r w:rsidRPr="00572BAE">
              <w:rPr>
                <w:sz w:val="20"/>
                <w:szCs w:val="20"/>
              </w:rPr>
              <w:t>522,5</w:t>
            </w:r>
          </w:p>
        </w:tc>
      </w:tr>
      <w:tr w:rsidR="00467F9C" w:rsidRPr="00572BAE" w:rsidTr="00A54208">
        <w:trPr>
          <w:trHeight w:val="433"/>
        </w:trPr>
        <w:tc>
          <w:tcPr>
            <w:tcW w:w="4394" w:type="dxa"/>
            <w:tcBorders>
              <w:top w:val="nil"/>
              <w:left w:val="single" w:sz="4" w:space="0" w:color="auto"/>
              <w:bottom w:val="single" w:sz="4" w:space="0" w:color="auto"/>
              <w:right w:val="single" w:sz="4" w:space="0" w:color="auto"/>
            </w:tcBorders>
            <w:shd w:val="clear" w:color="auto" w:fill="auto"/>
            <w:vAlign w:val="center"/>
            <w:hideMark/>
          </w:tcPr>
          <w:p w:rsidR="00191861" w:rsidRPr="00572BAE" w:rsidRDefault="00191861" w:rsidP="00191861">
            <w:pPr>
              <w:rPr>
                <w:sz w:val="20"/>
                <w:szCs w:val="20"/>
              </w:rPr>
            </w:pPr>
            <w:r w:rsidRPr="00572BAE">
              <w:rPr>
                <w:sz w:val="20"/>
                <w:szCs w:val="20"/>
              </w:rPr>
              <w:t>Департамент здравоохранения Чукотского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191861" w:rsidRPr="00572BAE" w:rsidRDefault="00191861" w:rsidP="00572BAE">
            <w:pPr>
              <w:ind w:left="-111"/>
              <w:jc w:val="right"/>
              <w:rPr>
                <w:sz w:val="20"/>
                <w:szCs w:val="20"/>
              </w:rPr>
            </w:pPr>
            <w:r w:rsidRPr="00572BAE">
              <w:rPr>
                <w:sz w:val="20"/>
                <w:szCs w:val="20"/>
              </w:rPr>
              <w:t>20 999,3</w:t>
            </w:r>
          </w:p>
        </w:tc>
        <w:tc>
          <w:tcPr>
            <w:tcW w:w="1560" w:type="dxa"/>
            <w:tcBorders>
              <w:top w:val="nil"/>
              <w:left w:val="nil"/>
              <w:bottom w:val="single" w:sz="4" w:space="0" w:color="auto"/>
              <w:right w:val="single" w:sz="4" w:space="0" w:color="auto"/>
            </w:tcBorders>
            <w:shd w:val="clear" w:color="auto" w:fill="auto"/>
            <w:vAlign w:val="center"/>
            <w:hideMark/>
          </w:tcPr>
          <w:p w:rsidR="00191861" w:rsidRPr="00572BAE" w:rsidRDefault="00191861" w:rsidP="00191861">
            <w:pPr>
              <w:jc w:val="right"/>
              <w:rPr>
                <w:sz w:val="20"/>
                <w:szCs w:val="20"/>
              </w:rPr>
            </w:pPr>
            <w:r w:rsidRPr="00572BAE">
              <w:rPr>
                <w:sz w:val="20"/>
                <w:szCs w:val="20"/>
              </w:rPr>
              <w:t>20 997,8</w:t>
            </w:r>
          </w:p>
        </w:tc>
        <w:tc>
          <w:tcPr>
            <w:tcW w:w="1314" w:type="dxa"/>
            <w:tcBorders>
              <w:top w:val="nil"/>
              <w:left w:val="nil"/>
              <w:bottom w:val="single" w:sz="4" w:space="0" w:color="auto"/>
              <w:right w:val="single" w:sz="4" w:space="0" w:color="auto"/>
            </w:tcBorders>
            <w:shd w:val="clear" w:color="auto" w:fill="auto"/>
            <w:vAlign w:val="center"/>
            <w:hideMark/>
          </w:tcPr>
          <w:p w:rsidR="00191861" w:rsidRPr="00572BAE" w:rsidRDefault="00191861" w:rsidP="00191861">
            <w:pPr>
              <w:jc w:val="right"/>
              <w:rPr>
                <w:sz w:val="20"/>
                <w:szCs w:val="20"/>
              </w:rPr>
            </w:pPr>
            <w:r w:rsidRPr="00572BAE">
              <w:rPr>
                <w:sz w:val="20"/>
                <w:szCs w:val="20"/>
              </w:rPr>
              <w:t>20 997,8</w:t>
            </w:r>
          </w:p>
        </w:tc>
        <w:tc>
          <w:tcPr>
            <w:tcW w:w="1035" w:type="dxa"/>
            <w:tcBorders>
              <w:top w:val="nil"/>
              <w:left w:val="nil"/>
              <w:bottom w:val="single" w:sz="4" w:space="0" w:color="auto"/>
              <w:right w:val="single" w:sz="4" w:space="0" w:color="auto"/>
            </w:tcBorders>
            <w:shd w:val="clear" w:color="auto" w:fill="auto"/>
            <w:vAlign w:val="center"/>
            <w:hideMark/>
          </w:tcPr>
          <w:p w:rsidR="00191861" w:rsidRPr="00572BAE" w:rsidRDefault="00191861" w:rsidP="00191861">
            <w:pPr>
              <w:jc w:val="right"/>
              <w:rPr>
                <w:sz w:val="20"/>
                <w:szCs w:val="20"/>
              </w:rPr>
            </w:pPr>
            <w:r w:rsidRPr="00572BAE">
              <w:rPr>
                <w:sz w:val="20"/>
                <w:szCs w:val="20"/>
              </w:rPr>
              <w:t>1,5</w:t>
            </w:r>
          </w:p>
        </w:tc>
      </w:tr>
      <w:tr w:rsidR="00467F9C" w:rsidRPr="00572BAE" w:rsidTr="00A54208">
        <w:trPr>
          <w:trHeight w:val="511"/>
        </w:trPr>
        <w:tc>
          <w:tcPr>
            <w:tcW w:w="4394" w:type="dxa"/>
            <w:tcBorders>
              <w:top w:val="nil"/>
              <w:left w:val="single" w:sz="4" w:space="0" w:color="auto"/>
              <w:bottom w:val="single" w:sz="4" w:space="0" w:color="auto"/>
              <w:right w:val="single" w:sz="4" w:space="0" w:color="auto"/>
            </w:tcBorders>
            <w:shd w:val="clear" w:color="auto" w:fill="auto"/>
            <w:vAlign w:val="center"/>
            <w:hideMark/>
          </w:tcPr>
          <w:p w:rsidR="00191861" w:rsidRPr="00572BAE" w:rsidRDefault="00191861" w:rsidP="00191861">
            <w:pPr>
              <w:rPr>
                <w:sz w:val="20"/>
                <w:szCs w:val="20"/>
              </w:rPr>
            </w:pPr>
            <w:r w:rsidRPr="00572BAE">
              <w:rPr>
                <w:sz w:val="20"/>
                <w:szCs w:val="20"/>
              </w:rPr>
              <w:t>Департамент культуры, спорта и туризма Чукотского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191861" w:rsidRPr="00572BAE" w:rsidRDefault="00191861" w:rsidP="00572BAE">
            <w:pPr>
              <w:ind w:left="-111"/>
              <w:jc w:val="right"/>
              <w:rPr>
                <w:sz w:val="20"/>
                <w:szCs w:val="20"/>
              </w:rPr>
            </w:pPr>
            <w:r w:rsidRPr="00572BAE">
              <w:rPr>
                <w:sz w:val="20"/>
                <w:szCs w:val="20"/>
              </w:rPr>
              <w:t>3 000,0</w:t>
            </w:r>
          </w:p>
        </w:tc>
        <w:tc>
          <w:tcPr>
            <w:tcW w:w="1560" w:type="dxa"/>
            <w:tcBorders>
              <w:top w:val="nil"/>
              <w:left w:val="nil"/>
              <w:bottom w:val="single" w:sz="4" w:space="0" w:color="auto"/>
              <w:right w:val="single" w:sz="4" w:space="0" w:color="auto"/>
            </w:tcBorders>
            <w:shd w:val="clear" w:color="auto" w:fill="auto"/>
            <w:vAlign w:val="center"/>
            <w:hideMark/>
          </w:tcPr>
          <w:p w:rsidR="00191861" w:rsidRPr="00572BAE" w:rsidRDefault="00191861" w:rsidP="00191861">
            <w:pPr>
              <w:jc w:val="right"/>
              <w:rPr>
                <w:sz w:val="20"/>
                <w:szCs w:val="20"/>
              </w:rPr>
            </w:pPr>
            <w:r w:rsidRPr="00572BAE">
              <w:rPr>
                <w:sz w:val="20"/>
                <w:szCs w:val="20"/>
              </w:rPr>
              <w:t>3 000,0</w:t>
            </w:r>
          </w:p>
        </w:tc>
        <w:tc>
          <w:tcPr>
            <w:tcW w:w="1314" w:type="dxa"/>
            <w:tcBorders>
              <w:top w:val="nil"/>
              <w:left w:val="nil"/>
              <w:bottom w:val="single" w:sz="4" w:space="0" w:color="auto"/>
              <w:right w:val="single" w:sz="4" w:space="0" w:color="auto"/>
            </w:tcBorders>
            <w:shd w:val="clear" w:color="auto" w:fill="auto"/>
            <w:vAlign w:val="center"/>
            <w:hideMark/>
          </w:tcPr>
          <w:p w:rsidR="00191861" w:rsidRPr="00572BAE" w:rsidRDefault="00191861" w:rsidP="00191861">
            <w:pPr>
              <w:jc w:val="right"/>
              <w:rPr>
                <w:sz w:val="20"/>
                <w:szCs w:val="20"/>
              </w:rPr>
            </w:pPr>
            <w:r w:rsidRPr="00572BAE">
              <w:rPr>
                <w:sz w:val="20"/>
                <w:szCs w:val="20"/>
              </w:rPr>
              <w:t>3 000,0</w:t>
            </w:r>
          </w:p>
        </w:tc>
        <w:tc>
          <w:tcPr>
            <w:tcW w:w="1035" w:type="dxa"/>
            <w:tcBorders>
              <w:top w:val="nil"/>
              <w:left w:val="nil"/>
              <w:bottom w:val="single" w:sz="4" w:space="0" w:color="auto"/>
              <w:right w:val="single" w:sz="4" w:space="0" w:color="auto"/>
            </w:tcBorders>
            <w:shd w:val="clear" w:color="auto" w:fill="auto"/>
            <w:vAlign w:val="center"/>
            <w:hideMark/>
          </w:tcPr>
          <w:p w:rsidR="00191861" w:rsidRPr="00572BAE" w:rsidRDefault="00191861" w:rsidP="00191861">
            <w:pPr>
              <w:jc w:val="right"/>
              <w:rPr>
                <w:sz w:val="20"/>
                <w:szCs w:val="20"/>
              </w:rPr>
            </w:pPr>
            <w:r w:rsidRPr="00572BAE">
              <w:rPr>
                <w:sz w:val="20"/>
                <w:szCs w:val="20"/>
              </w:rPr>
              <w:t>-</w:t>
            </w:r>
          </w:p>
        </w:tc>
      </w:tr>
      <w:tr w:rsidR="00467F9C" w:rsidRPr="00572BAE" w:rsidTr="00A54208">
        <w:trPr>
          <w:trHeight w:val="433"/>
        </w:trPr>
        <w:tc>
          <w:tcPr>
            <w:tcW w:w="4394" w:type="dxa"/>
            <w:tcBorders>
              <w:top w:val="nil"/>
              <w:left w:val="single" w:sz="4" w:space="0" w:color="auto"/>
              <w:bottom w:val="single" w:sz="4" w:space="0" w:color="auto"/>
              <w:right w:val="single" w:sz="4" w:space="0" w:color="auto"/>
            </w:tcBorders>
            <w:shd w:val="clear" w:color="auto" w:fill="auto"/>
            <w:vAlign w:val="center"/>
            <w:hideMark/>
          </w:tcPr>
          <w:p w:rsidR="00191861" w:rsidRPr="00572BAE" w:rsidRDefault="00191861" w:rsidP="00191861">
            <w:pPr>
              <w:rPr>
                <w:sz w:val="20"/>
                <w:szCs w:val="20"/>
              </w:rPr>
            </w:pPr>
            <w:r w:rsidRPr="00572BAE">
              <w:rPr>
                <w:sz w:val="20"/>
                <w:szCs w:val="20"/>
              </w:rPr>
              <w:t>Департамент промышленной политики Чукотского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191861" w:rsidRPr="00572BAE" w:rsidRDefault="00191861" w:rsidP="00572BAE">
            <w:pPr>
              <w:ind w:left="-111"/>
              <w:jc w:val="right"/>
              <w:rPr>
                <w:sz w:val="20"/>
                <w:szCs w:val="20"/>
              </w:rPr>
            </w:pPr>
            <w:r w:rsidRPr="00572BAE">
              <w:rPr>
                <w:sz w:val="20"/>
                <w:szCs w:val="20"/>
              </w:rPr>
              <w:t>37 993,1</w:t>
            </w:r>
          </w:p>
        </w:tc>
        <w:tc>
          <w:tcPr>
            <w:tcW w:w="1560" w:type="dxa"/>
            <w:tcBorders>
              <w:top w:val="nil"/>
              <w:left w:val="nil"/>
              <w:bottom w:val="single" w:sz="4" w:space="0" w:color="auto"/>
              <w:right w:val="single" w:sz="4" w:space="0" w:color="auto"/>
            </w:tcBorders>
            <w:shd w:val="clear" w:color="auto" w:fill="auto"/>
            <w:vAlign w:val="center"/>
            <w:hideMark/>
          </w:tcPr>
          <w:p w:rsidR="00191861" w:rsidRPr="00572BAE" w:rsidRDefault="00191861" w:rsidP="00191861">
            <w:pPr>
              <w:jc w:val="right"/>
              <w:rPr>
                <w:sz w:val="20"/>
                <w:szCs w:val="20"/>
              </w:rPr>
            </w:pPr>
            <w:r w:rsidRPr="00572BAE">
              <w:rPr>
                <w:sz w:val="20"/>
                <w:szCs w:val="20"/>
              </w:rPr>
              <w:t>37 993,1</w:t>
            </w:r>
          </w:p>
        </w:tc>
        <w:tc>
          <w:tcPr>
            <w:tcW w:w="1314" w:type="dxa"/>
            <w:tcBorders>
              <w:top w:val="nil"/>
              <w:left w:val="nil"/>
              <w:bottom w:val="single" w:sz="4" w:space="0" w:color="auto"/>
              <w:right w:val="single" w:sz="4" w:space="0" w:color="auto"/>
            </w:tcBorders>
            <w:shd w:val="clear" w:color="auto" w:fill="auto"/>
            <w:vAlign w:val="center"/>
            <w:hideMark/>
          </w:tcPr>
          <w:p w:rsidR="00191861" w:rsidRPr="00572BAE" w:rsidRDefault="00191861" w:rsidP="00191861">
            <w:pPr>
              <w:jc w:val="right"/>
              <w:rPr>
                <w:sz w:val="20"/>
                <w:szCs w:val="20"/>
              </w:rPr>
            </w:pPr>
            <w:r w:rsidRPr="00572BAE">
              <w:rPr>
                <w:sz w:val="20"/>
                <w:szCs w:val="20"/>
              </w:rPr>
              <w:t>37 993,1</w:t>
            </w:r>
          </w:p>
        </w:tc>
        <w:tc>
          <w:tcPr>
            <w:tcW w:w="1035" w:type="dxa"/>
            <w:tcBorders>
              <w:top w:val="nil"/>
              <w:left w:val="nil"/>
              <w:bottom w:val="single" w:sz="4" w:space="0" w:color="auto"/>
              <w:right w:val="single" w:sz="4" w:space="0" w:color="auto"/>
            </w:tcBorders>
            <w:shd w:val="clear" w:color="auto" w:fill="auto"/>
            <w:vAlign w:val="center"/>
            <w:hideMark/>
          </w:tcPr>
          <w:p w:rsidR="00191861" w:rsidRPr="00572BAE" w:rsidRDefault="00191861" w:rsidP="00191861">
            <w:pPr>
              <w:jc w:val="right"/>
              <w:rPr>
                <w:sz w:val="20"/>
                <w:szCs w:val="20"/>
              </w:rPr>
            </w:pPr>
            <w:r w:rsidRPr="00572BAE">
              <w:rPr>
                <w:sz w:val="20"/>
                <w:szCs w:val="20"/>
              </w:rPr>
              <w:t>-</w:t>
            </w:r>
          </w:p>
        </w:tc>
      </w:tr>
      <w:tr w:rsidR="00467F9C" w:rsidRPr="00572BAE" w:rsidTr="00A54208">
        <w:trPr>
          <w:trHeight w:val="511"/>
        </w:trPr>
        <w:tc>
          <w:tcPr>
            <w:tcW w:w="4394" w:type="dxa"/>
            <w:tcBorders>
              <w:top w:val="nil"/>
              <w:left w:val="single" w:sz="4" w:space="0" w:color="auto"/>
              <w:bottom w:val="single" w:sz="4" w:space="0" w:color="auto"/>
              <w:right w:val="single" w:sz="4" w:space="0" w:color="auto"/>
            </w:tcBorders>
            <w:shd w:val="clear" w:color="auto" w:fill="auto"/>
            <w:vAlign w:val="center"/>
            <w:hideMark/>
          </w:tcPr>
          <w:p w:rsidR="00191861" w:rsidRPr="00572BAE" w:rsidRDefault="00191861" w:rsidP="00191861">
            <w:pPr>
              <w:rPr>
                <w:sz w:val="20"/>
                <w:szCs w:val="20"/>
              </w:rPr>
            </w:pPr>
            <w:r w:rsidRPr="00572BAE">
              <w:rPr>
                <w:sz w:val="20"/>
                <w:szCs w:val="20"/>
              </w:rPr>
              <w:t>Департамент сельского хозяйства и продовольствия Чукотского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191861" w:rsidRPr="00572BAE" w:rsidRDefault="00191861" w:rsidP="00572BAE">
            <w:pPr>
              <w:ind w:left="-111"/>
              <w:jc w:val="right"/>
              <w:rPr>
                <w:sz w:val="20"/>
                <w:szCs w:val="20"/>
              </w:rPr>
            </w:pPr>
            <w:r w:rsidRPr="00572BAE">
              <w:rPr>
                <w:sz w:val="20"/>
                <w:szCs w:val="20"/>
              </w:rPr>
              <w:t>37 701,4</w:t>
            </w:r>
          </w:p>
        </w:tc>
        <w:tc>
          <w:tcPr>
            <w:tcW w:w="1560" w:type="dxa"/>
            <w:tcBorders>
              <w:top w:val="nil"/>
              <w:left w:val="nil"/>
              <w:bottom w:val="single" w:sz="4" w:space="0" w:color="auto"/>
              <w:right w:val="single" w:sz="4" w:space="0" w:color="auto"/>
            </w:tcBorders>
            <w:shd w:val="clear" w:color="auto" w:fill="auto"/>
            <w:vAlign w:val="center"/>
            <w:hideMark/>
          </w:tcPr>
          <w:p w:rsidR="00191861" w:rsidRPr="00572BAE" w:rsidRDefault="00191861" w:rsidP="00191861">
            <w:pPr>
              <w:jc w:val="right"/>
              <w:rPr>
                <w:sz w:val="20"/>
                <w:szCs w:val="20"/>
              </w:rPr>
            </w:pPr>
            <w:r w:rsidRPr="00572BAE">
              <w:rPr>
                <w:sz w:val="20"/>
                <w:szCs w:val="20"/>
              </w:rPr>
              <w:t>37 701,4</w:t>
            </w:r>
          </w:p>
        </w:tc>
        <w:tc>
          <w:tcPr>
            <w:tcW w:w="1314" w:type="dxa"/>
            <w:tcBorders>
              <w:top w:val="nil"/>
              <w:left w:val="nil"/>
              <w:bottom w:val="single" w:sz="4" w:space="0" w:color="auto"/>
              <w:right w:val="single" w:sz="4" w:space="0" w:color="auto"/>
            </w:tcBorders>
            <w:shd w:val="clear" w:color="auto" w:fill="auto"/>
            <w:vAlign w:val="center"/>
            <w:hideMark/>
          </w:tcPr>
          <w:p w:rsidR="00191861" w:rsidRPr="00572BAE" w:rsidRDefault="00191861" w:rsidP="00191861">
            <w:pPr>
              <w:jc w:val="right"/>
              <w:rPr>
                <w:sz w:val="20"/>
                <w:szCs w:val="20"/>
              </w:rPr>
            </w:pPr>
            <w:r w:rsidRPr="00572BAE">
              <w:rPr>
                <w:sz w:val="20"/>
                <w:szCs w:val="20"/>
              </w:rPr>
              <w:t>37 701,4</w:t>
            </w:r>
          </w:p>
        </w:tc>
        <w:tc>
          <w:tcPr>
            <w:tcW w:w="1035" w:type="dxa"/>
            <w:tcBorders>
              <w:top w:val="nil"/>
              <w:left w:val="nil"/>
              <w:bottom w:val="single" w:sz="4" w:space="0" w:color="auto"/>
              <w:right w:val="single" w:sz="4" w:space="0" w:color="auto"/>
            </w:tcBorders>
            <w:shd w:val="clear" w:color="auto" w:fill="auto"/>
            <w:vAlign w:val="center"/>
            <w:hideMark/>
          </w:tcPr>
          <w:p w:rsidR="00191861" w:rsidRPr="00572BAE" w:rsidRDefault="00191861" w:rsidP="00191861">
            <w:pPr>
              <w:jc w:val="right"/>
              <w:rPr>
                <w:sz w:val="20"/>
                <w:szCs w:val="20"/>
              </w:rPr>
            </w:pPr>
            <w:r w:rsidRPr="00572BAE">
              <w:rPr>
                <w:sz w:val="20"/>
                <w:szCs w:val="20"/>
              </w:rPr>
              <w:t>-</w:t>
            </w:r>
          </w:p>
        </w:tc>
      </w:tr>
      <w:tr w:rsidR="00467F9C" w:rsidRPr="00572BAE" w:rsidTr="00A54208">
        <w:trPr>
          <w:trHeight w:val="600"/>
        </w:trPr>
        <w:tc>
          <w:tcPr>
            <w:tcW w:w="4394" w:type="dxa"/>
            <w:tcBorders>
              <w:top w:val="nil"/>
              <w:left w:val="single" w:sz="4" w:space="0" w:color="auto"/>
              <w:bottom w:val="single" w:sz="4" w:space="0" w:color="auto"/>
              <w:right w:val="single" w:sz="4" w:space="0" w:color="auto"/>
            </w:tcBorders>
            <w:shd w:val="clear" w:color="auto" w:fill="auto"/>
            <w:vAlign w:val="center"/>
            <w:hideMark/>
          </w:tcPr>
          <w:p w:rsidR="00191861" w:rsidRPr="00572BAE" w:rsidRDefault="00191861" w:rsidP="00191861">
            <w:pPr>
              <w:rPr>
                <w:sz w:val="20"/>
                <w:szCs w:val="20"/>
              </w:rPr>
            </w:pPr>
            <w:r w:rsidRPr="00572BAE">
              <w:rPr>
                <w:sz w:val="20"/>
                <w:szCs w:val="20"/>
              </w:rPr>
              <w:t>Департамент социальной политики Чукотского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191861" w:rsidRPr="00572BAE" w:rsidRDefault="00191861" w:rsidP="00572BAE">
            <w:pPr>
              <w:ind w:left="-111"/>
              <w:jc w:val="right"/>
              <w:rPr>
                <w:sz w:val="20"/>
                <w:szCs w:val="20"/>
              </w:rPr>
            </w:pPr>
            <w:r w:rsidRPr="00572BAE">
              <w:rPr>
                <w:sz w:val="20"/>
                <w:szCs w:val="20"/>
              </w:rPr>
              <w:t>17 014,3</w:t>
            </w:r>
          </w:p>
        </w:tc>
        <w:tc>
          <w:tcPr>
            <w:tcW w:w="1560" w:type="dxa"/>
            <w:tcBorders>
              <w:top w:val="nil"/>
              <w:left w:val="nil"/>
              <w:bottom w:val="single" w:sz="4" w:space="0" w:color="auto"/>
              <w:right w:val="single" w:sz="4" w:space="0" w:color="auto"/>
            </w:tcBorders>
            <w:shd w:val="clear" w:color="auto" w:fill="auto"/>
            <w:vAlign w:val="center"/>
            <w:hideMark/>
          </w:tcPr>
          <w:p w:rsidR="00191861" w:rsidRPr="00572BAE" w:rsidRDefault="00191861" w:rsidP="00191861">
            <w:pPr>
              <w:jc w:val="right"/>
              <w:rPr>
                <w:sz w:val="20"/>
                <w:szCs w:val="20"/>
              </w:rPr>
            </w:pPr>
            <w:r w:rsidRPr="00572BAE">
              <w:rPr>
                <w:sz w:val="20"/>
                <w:szCs w:val="20"/>
              </w:rPr>
              <w:t>11 021,6</w:t>
            </w:r>
          </w:p>
        </w:tc>
        <w:tc>
          <w:tcPr>
            <w:tcW w:w="1314" w:type="dxa"/>
            <w:tcBorders>
              <w:top w:val="nil"/>
              <w:left w:val="nil"/>
              <w:bottom w:val="single" w:sz="4" w:space="0" w:color="auto"/>
              <w:right w:val="single" w:sz="4" w:space="0" w:color="auto"/>
            </w:tcBorders>
            <w:shd w:val="clear" w:color="auto" w:fill="auto"/>
            <w:vAlign w:val="center"/>
            <w:hideMark/>
          </w:tcPr>
          <w:p w:rsidR="00191861" w:rsidRPr="00572BAE" w:rsidRDefault="00191861" w:rsidP="00191861">
            <w:pPr>
              <w:jc w:val="right"/>
              <w:rPr>
                <w:sz w:val="20"/>
                <w:szCs w:val="20"/>
              </w:rPr>
            </w:pPr>
            <w:r w:rsidRPr="00572BAE">
              <w:rPr>
                <w:sz w:val="20"/>
                <w:szCs w:val="20"/>
              </w:rPr>
              <w:t>11 021,6</w:t>
            </w:r>
          </w:p>
        </w:tc>
        <w:tc>
          <w:tcPr>
            <w:tcW w:w="1035" w:type="dxa"/>
            <w:tcBorders>
              <w:top w:val="nil"/>
              <w:left w:val="nil"/>
              <w:bottom w:val="single" w:sz="4" w:space="0" w:color="auto"/>
              <w:right w:val="single" w:sz="4" w:space="0" w:color="auto"/>
            </w:tcBorders>
            <w:shd w:val="clear" w:color="auto" w:fill="auto"/>
            <w:vAlign w:val="center"/>
            <w:hideMark/>
          </w:tcPr>
          <w:p w:rsidR="00191861" w:rsidRPr="00572BAE" w:rsidRDefault="00191861" w:rsidP="00191861">
            <w:pPr>
              <w:jc w:val="right"/>
              <w:rPr>
                <w:sz w:val="20"/>
                <w:szCs w:val="20"/>
              </w:rPr>
            </w:pPr>
            <w:r w:rsidRPr="00572BAE">
              <w:rPr>
                <w:sz w:val="20"/>
                <w:szCs w:val="20"/>
              </w:rPr>
              <w:t>5 992,7</w:t>
            </w:r>
          </w:p>
        </w:tc>
      </w:tr>
    </w:tbl>
    <w:p w:rsidR="00191861" w:rsidRPr="00467F9C" w:rsidRDefault="00191861" w:rsidP="00191861">
      <w:pPr>
        <w:pStyle w:val="aff4"/>
        <w:spacing w:before="120"/>
        <w:ind w:firstLine="709"/>
        <w:jc w:val="both"/>
        <w:rPr>
          <w:rFonts w:ascii="Times New Roman" w:hAnsi="Times New Roman" w:cs="Times New Roman"/>
          <w:sz w:val="28"/>
          <w:szCs w:val="28"/>
        </w:rPr>
      </w:pPr>
      <w:r w:rsidRPr="00467F9C">
        <w:rPr>
          <w:rFonts w:ascii="Times New Roman" w:hAnsi="Times New Roman" w:cs="Times New Roman"/>
          <w:sz w:val="28"/>
          <w:szCs w:val="28"/>
        </w:rPr>
        <w:t xml:space="preserve">Средства Резервного фонда распределены между главными распорядителями средств окружного бюджета в сумме 119 098,6 тыс. рублей, профинансировано 112 581,9 тыс. рублей или 94,5%, расходы составили 112 581,9 тыс. рублей. </w:t>
      </w:r>
    </w:p>
    <w:p w:rsidR="00191861" w:rsidRPr="00467F9C" w:rsidRDefault="00191861" w:rsidP="00191861">
      <w:pPr>
        <w:autoSpaceDE w:val="0"/>
        <w:autoSpaceDN w:val="0"/>
        <w:adjustRightInd w:val="0"/>
        <w:ind w:firstLine="709"/>
        <w:jc w:val="both"/>
        <w:rPr>
          <w:rFonts w:eastAsiaTheme="minorHAnsi"/>
          <w:sz w:val="28"/>
          <w:szCs w:val="28"/>
          <w:lang w:eastAsia="en-US"/>
        </w:rPr>
      </w:pPr>
      <w:r w:rsidRPr="00467F9C">
        <w:rPr>
          <w:rFonts w:eastAsiaTheme="minorHAnsi"/>
          <w:sz w:val="28"/>
          <w:szCs w:val="28"/>
          <w:lang w:eastAsia="en-US"/>
        </w:rPr>
        <w:t>Наибольший объем средств из Р</w:t>
      </w:r>
      <w:r w:rsidRPr="00467F9C">
        <w:rPr>
          <w:rFonts w:eastAsiaTheme="minorHAnsi"/>
          <w:bCs/>
          <w:sz w:val="28"/>
          <w:szCs w:val="28"/>
          <w:lang w:eastAsia="en-US"/>
        </w:rPr>
        <w:t xml:space="preserve">езервного фонда </w:t>
      </w:r>
      <w:r w:rsidRPr="00467F9C">
        <w:rPr>
          <w:rFonts w:eastAsiaTheme="minorHAnsi"/>
          <w:sz w:val="28"/>
          <w:szCs w:val="28"/>
          <w:lang w:eastAsia="en-US"/>
        </w:rPr>
        <w:t>направлено на следующие мероприятия:</w:t>
      </w:r>
    </w:p>
    <w:p w:rsidR="00191861" w:rsidRPr="00467F9C" w:rsidRDefault="00191861" w:rsidP="00191861">
      <w:pPr>
        <w:autoSpaceDE w:val="0"/>
        <w:autoSpaceDN w:val="0"/>
        <w:adjustRightInd w:val="0"/>
        <w:ind w:firstLine="709"/>
        <w:jc w:val="both"/>
        <w:rPr>
          <w:sz w:val="28"/>
          <w:szCs w:val="28"/>
        </w:rPr>
      </w:pPr>
      <w:r w:rsidRPr="00467F9C">
        <w:rPr>
          <w:rFonts w:eastAsiaTheme="minorHAnsi"/>
          <w:sz w:val="28"/>
          <w:szCs w:val="28"/>
          <w:lang w:eastAsia="en-US"/>
        </w:rPr>
        <w:t xml:space="preserve">- на </w:t>
      </w:r>
      <w:r w:rsidRPr="00467F9C">
        <w:rPr>
          <w:sz w:val="28"/>
          <w:szCs w:val="28"/>
        </w:rPr>
        <w:t xml:space="preserve">проведение аварийно-ремонтных работ по восстановлению резервной подводной кабельной линии электропередач 35 </w:t>
      </w:r>
      <w:proofErr w:type="spellStart"/>
      <w:r w:rsidRPr="00467F9C">
        <w:rPr>
          <w:sz w:val="28"/>
          <w:szCs w:val="28"/>
        </w:rPr>
        <w:t>кВ</w:t>
      </w:r>
      <w:proofErr w:type="spellEnd"/>
      <w:r w:rsidRPr="00467F9C">
        <w:rPr>
          <w:sz w:val="28"/>
          <w:szCs w:val="28"/>
        </w:rPr>
        <w:t xml:space="preserve"> № 2 г. Анадырь – </w:t>
      </w:r>
      <w:proofErr w:type="spellStart"/>
      <w:r w:rsidRPr="00467F9C">
        <w:rPr>
          <w:sz w:val="28"/>
          <w:szCs w:val="28"/>
        </w:rPr>
        <w:t>г.п</w:t>
      </w:r>
      <w:proofErr w:type="spellEnd"/>
      <w:r w:rsidRPr="00467F9C">
        <w:rPr>
          <w:sz w:val="28"/>
          <w:szCs w:val="28"/>
        </w:rPr>
        <w:t>. Угольные Копи предоставлена субсидия Государственному предприятию Чукотского автономного округа в сумме 37 993,1 тыс. рублей (Департамент промышленной политики Чукотского автономного округа);</w:t>
      </w:r>
    </w:p>
    <w:p w:rsidR="00191861" w:rsidRPr="00467F9C" w:rsidRDefault="00191861" w:rsidP="00191861">
      <w:pPr>
        <w:autoSpaceDE w:val="0"/>
        <w:autoSpaceDN w:val="0"/>
        <w:adjustRightInd w:val="0"/>
        <w:ind w:firstLine="709"/>
        <w:jc w:val="both"/>
        <w:rPr>
          <w:sz w:val="28"/>
          <w:szCs w:val="28"/>
        </w:rPr>
      </w:pPr>
      <w:r w:rsidRPr="00467F9C">
        <w:rPr>
          <w:rFonts w:eastAsiaTheme="minorHAnsi"/>
          <w:sz w:val="28"/>
          <w:szCs w:val="28"/>
          <w:lang w:eastAsia="en-US"/>
        </w:rPr>
        <w:t>- </w:t>
      </w:r>
      <w:r w:rsidRPr="00467F9C">
        <w:rPr>
          <w:sz w:val="28"/>
          <w:szCs w:val="28"/>
        </w:rPr>
        <w:t xml:space="preserve">на организацию мероприятий по доставке из поселка </w:t>
      </w:r>
      <w:proofErr w:type="spellStart"/>
      <w:r w:rsidRPr="00467F9C">
        <w:rPr>
          <w:sz w:val="28"/>
          <w:szCs w:val="28"/>
        </w:rPr>
        <w:t>Эгвекинот</w:t>
      </w:r>
      <w:proofErr w:type="spellEnd"/>
      <w:r w:rsidRPr="00467F9C">
        <w:rPr>
          <w:sz w:val="28"/>
          <w:szCs w:val="28"/>
        </w:rPr>
        <w:t xml:space="preserve"> до города </w:t>
      </w:r>
      <w:proofErr w:type="spellStart"/>
      <w:r w:rsidRPr="00467F9C">
        <w:rPr>
          <w:sz w:val="28"/>
          <w:szCs w:val="28"/>
        </w:rPr>
        <w:t>Певек</w:t>
      </w:r>
      <w:proofErr w:type="spellEnd"/>
      <w:r w:rsidRPr="00467F9C">
        <w:rPr>
          <w:sz w:val="28"/>
          <w:szCs w:val="28"/>
        </w:rPr>
        <w:t xml:space="preserve"> продовольственных и промышленных товаров с привлечением автотранспорта и на обустройство и содержание на период перевозок участка «автозимника» на маршруте от поселка </w:t>
      </w:r>
      <w:proofErr w:type="spellStart"/>
      <w:r w:rsidRPr="00467F9C">
        <w:rPr>
          <w:sz w:val="28"/>
          <w:szCs w:val="28"/>
        </w:rPr>
        <w:t>Эгвекинот</w:t>
      </w:r>
      <w:proofErr w:type="spellEnd"/>
      <w:r w:rsidRPr="00467F9C">
        <w:rPr>
          <w:sz w:val="28"/>
          <w:szCs w:val="28"/>
        </w:rPr>
        <w:t xml:space="preserve"> до поселка Мыс Шмидта предоставлена субсидия ООО «</w:t>
      </w:r>
      <w:proofErr w:type="spellStart"/>
      <w:r w:rsidRPr="00467F9C">
        <w:rPr>
          <w:sz w:val="28"/>
          <w:szCs w:val="28"/>
        </w:rPr>
        <w:t>Новомариинский</w:t>
      </w:r>
      <w:proofErr w:type="spellEnd"/>
      <w:r w:rsidRPr="00467F9C">
        <w:rPr>
          <w:sz w:val="28"/>
          <w:szCs w:val="28"/>
        </w:rPr>
        <w:t xml:space="preserve"> ТПК» в сумме 37 701,4 тыс. рублей (Департамент сельского хозяйства и продовольствия Чукотского автономного округа);</w:t>
      </w:r>
    </w:p>
    <w:p w:rsidR="00191861" w:rsidRPr="00467F9C" w:rsidRDefault="00191861" w:rsidP="00191861">
      <w:pPr>
        <w:autoSpaceDE w:val="0"/>
        <w:autoSpaceDN w:val="0"/>
        <w:adjustRightInd w:val="0"/>
        <w:ind w:firstLine="709"/>
        <w:jc w:val="both"/>
      </w:pPr>
      <w:r w:rsidRPr="00467F9C">
        <w:rPr>
          <w:sz w:val="28"/>
          <w:szCs w:val="28"/>
        </w:rPr>
        <w:t xml:space="preserve">- на финансовое обеспечение мероприятий по приобретению лекарственных препаратов для лечения пациентов с новой </w:t>
      </w:r>
      <w:proofErr w:type="spellStart"/>
      <w:r w:rsidRPr="00467F9C">
        <w:rPr>
          <w:sz w:val="28"/>
          <w:szCs w:val="28"/>
        </w:rPr>
        <w:t>коронавирусной</w:t>
      </w:r>
      <w:proofErr w:type="spellEnd"/>
      <w:r w:rsidRPr="00467F9C">
        <w:rPr>
          <w:sz w:val="28"/>
          <w:szCs w:val="28"/>
        </w:rPr>
        <w:t xml:space="preserve"> </w:t>
      </w:r>
      <w:r w:rsidRPr="00467F9C">
        <w:rPr>
          <w:sz w:val="28"/>
          <w:szCs w:val="28"/>
        </w:rPr>
        <w:lastRenderedPageBreak/>
        <w:t xml:space="preserve">инфекцией </w:t>
      </w:r>
      <w:r w:rsidRPr="00467F9C">
        <w:rPr>
          <w:sz w:val="28"/>
          <w:szCs w:val="28"/>
        </w:rPr>
        <w:br/>
        <w:t>(COVID-19), пневмонией, получающих медицинскую помощь в амбулаторных условиях – 15 000,0 тыс. рублей (Департамент здравоохранения Чукотского автономного округа).</w:t>
      </w:r>
      <w:r w:rsidRPr="00467F9C">
        <w:t xml:space="preserve"> </w:t>
      </w:r>
    </w:p>
    <w:p w:rsidR="00191861" w:rsidRPr="00467F9C" w:rsidRDefault="00191861" w:rsidP="00191861">
      <w:pPr>
        <w:pStyle w:val="Default"/>
        <w:spacing w:before="240" w:after="120"/>
        <w:jc w:val="center"/>
        <w:rPr>
          <w:b/>
          <w:color w:val="auto"/>
          <w:sz w:val="28"/>
          <w:szCs w:val="28"/>
        </w:rPr>
      </w:pPr>
      <w:r w:rsidRPr="00467F9C">
        <w:rPr>
          <w:b/>
          <w:color w:val="auto"/>
          <w:sz w:val="28"/>
          <w:szCs w:val="28"/>
        </w:rPr>
        <w:t>Источники финансирования дефицита окружного бюджета</w:t>
      </w:r>
    </w:p>
    <w:p w:rsidR="00191861" w:rsidRPr="00467F9C" w:rsidRDefault="00191861" w:rsidP="00191861">
      <w:pPr>
        <w:ind w:firstLine="709"/>
        <w:jc w:val="both"/>
        <w:rPr>
          <w:sz w:val="28"/>
          <w:szCs w:val="28"/>
        </w:rPr>
      </w:pPr>
      <w:r w:rsidRPr="00467F9C">
        <w:rPr>
          <w:sz w:val="28"/>
          <w:szCs w:val="28"/>
        </w:rPr>
        <w:t xml:space="preserve">Законом об окружном бюджете на 2022 год предусмотрен дефицит в размере </w:t>
      </w:r>
      <w:r w:rsidRPr="00467F9C">
        <w:rPr>
          <w:rFonts w:eastAsiaTheme="minorHAnsi"/>
          <w:sz w:val="28"/>
          <w:szCs w:val="28"/>
          <w:lang w:eastAsia="en-US"/>
        </w:rPr>
        <w:t>4 479 205,5 </w:t>
      </w:r>
      <w:r w:rsidRPr="00467F9C">
        <w:rPr>
          <w:sz w:val="28"/>
          <w:szCs w:val="28"/>
        </w:rPr>
        <w:t>тыс. рублей. Окружной бюджет по результатам отчетного периода исполнен с профицитом в сумме 3 043 734,1 тыс. рублей.</w:t>
      </w:r>
    </w:p>
    <w:p w:rsidR="00191861" w:rsidRPr="00467F9C" w:rsidRDefault="00191861" w:rsidP="00191861">
      <w:pPr>
        <w:ind w:firstLine="709"/>
        <w:jc w:val="both"/>
        <w:rPr>
          <w:spacing w:val="-4"/>
          <w:sz w:val="28"/>
          <w:szCs w:val="28"/>
        </w:rPr>
      </w:pPr>
      <w:r w:rsidRPr="00467F9C">
        <w:rPr>
          <w:spacing w:val="-4"/>
          <w:sz w:val="28"/>
          <w:szCs w:val="28"/>
        </w:rPr>
        <w:t>Показатели источников внутреннего финансирования дефицита бюджета представлены в таблице №12.</w:t>
      </w:r>
    </w:p>
    <w:p w:rsidR="00191861" w:rsidRPr="00467F9C" w:rsidRDefault="00191861" w:rsidP="00191861">
      <w:pPr>
        <w:ind w:firstLine="709"/>
        <w:jc w:val="right"/>
        <w:rPr>
          <w:sz w:val="28"/>
          <w:szCs w:val="28"/>
        </w:rPr>
      </w:pPr>
      <w:r w:rsidRPr="00467F9C">
        <w:rPr>
          <w:sz w:val="28"/>
          <w:szCs w:val="28"/>
        </w:rPr>
        <w:t>Таблица №12</w:t>
      </w:r>
    </w:p>
    <w:p w:rsidR="00191861" w:rsidRPr="00467F9C" w:rsidRDefault="00191861" w:rsidP="00191861">
      <w:pPr>
        <w:ind w:firstLine="709"/>
        <w:jc w:val="right"/>
        <w:rPr>
          <w:sz w:val="28"/>
          <w:szCs w:val="28"/>
        </w:rPr>
      </w:pPr>
      <w:r w:rsidRPr="00467F9C">
        <w:rPr>
          <w:sz w:val="28"/>
          <w:szCs w:val="28"/>
        </w:rPr>
        <w:t>(тыс. рублей)</w:t>
      </w:r>
    </w:p>
    <w:tbl>
      <w:tblPr>
        <w:tblW w:w="9635" w:type="dxa"/>
        <w:tblLook w:val="04A0" w:firstRow="1" w:lastRow="0" w:firstColumn="1" w:lastColumn="0" w:noHBand="0" w:noVBand="1"/>
      </w:tblPr>
      <w:tblGrid>
        <w:gridCol w:w="5240"/>
        <w:gridCol w:w="1276"/>
        <w:gridCol w:w="1559"/>
        <w:gridCol w:w="1560"/>
      </w:tblGrid>
      <w:tr w:rsidR="00467F9C" w:rsidRPr="00A54208" w:rsidTr="00A54208">
        <w:trPr>
          <w:trHeight w:val="603"/>
          <w:tblHead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A54208" w:rsidRDefault="00191861" w:rsidP="00191861">
            <w:pPr>
              <w:jc w:val="center"/>
              <w:rPr>
                <w:sz w:val="20"/>
                <w:szCs w:val="20"/>
              </w:rPr>
            </w:pPr>
            <w:r w:rsidRPr="00A54208">
              <w:rPr>
                <w:sz w:val="20"/>
                <w:szCs w:val="20"/>
              </w:rPr>
              <w:t>Наименование показателя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91861" w:rsidRPr="00A54208" w:rsidRDefault="00191861" w:rsidP="00191861">
            <w:pPr>
              <w:jc w:val="center"/>
              <w:rPr>
                <w:sz w:val="20"/>
                <w:szCs w:val="20"/>
              </w:rPr>
            </w:pPr>
            <w:r w:rsidRPr="00A54208">
              <w:rPr>
                <w:sz w:val="20"/>
                <w:szCs w:val="20"/>
              </w:rPr>
              <w:t xml:space="preserve">Утверждено Законом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91861" w:rsidRPr="00A54208" w:rsidRDefault="00191861" w:rsidP="00191861">
            <w:pPr>
              <w:jc w:val="center"/>
              <w:rPr>
                <w:sz w:val="20"/>
                <w:szCs w:val="20"/>
              </w:rPr>
            </w:pPr>
            <w:r w:rsidRPr="00A54208">
              <w:rPr>
                <w:sz w:val="20"/>
                <w:szCs w:val="20"/>
              </w:rPr>
              <w:t>Исполнено на 01.04.2022 г.</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91861" w:rsidRPr="00A54208" w:rsidRDefault="00191861" w:rsidP="00191861">
            <w:pPr>
              <w:jc w:val="center"/>
              <w:rPr>
                <w:sz w:val="20"/>
                <w:szCs w:val="20"/>
              </w:rPr>
            </w:pPr>
            <w:r w:rsidRPr="00A54208">
              <w:rPr>
                <w:sz w:val="20"/>
                <w:szCs w:val="20"/>
              </w:rPr>
              <w:t>Уровень исполнения, %</w:t>
            </w:r>
          </w:p>
        </w:tc>
      </w:tr>
      <w:tr w:rsidR="00467F9C" w:rsidRPr="00A54208" w:rsidTr="00A54208">
        <w:trPr>
          <w:trHeight w:val="20"/>
          <w:tblHead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191861" w:rsidRPr="00A54208" w:rsidRDefault="00191861" w:rsidP="00191861">
            <w:pPr>
              <w:jc w:val="center"/>
              <w:rPr>
                <w:sz w:val="20"/>
                <w:szCs w:val="20"/>
              </w:rPr>
            </w:pPr>
            <w:r w:rsidRPr="00A54208">
              <w:rPr>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center"/>
              <w:rPr>
                <w:sz w:val="20"/>
                <w:szCs w:val="20"/>
              </w:rPr>
            </w:pPr>
            <w:r w:rsidRPr="00A54208">
              <w:rPr>
                <w:sz w:val="20"/>
                <w:szCs w:val="20"/>
              </w:rPr>
              <w:t>2</w:t>
            </w:r>
          </w:p>
        </w:tc>
        <w:tc>
          <w:tcPr>
            <w:tcW w:w="1559"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center"/>
              <w:rPr>
                <w:sz w:val="20"/>
                <w:szCs w:val="20"/>
              </w:rPr>
            </w:pPr>
            <w:r w:rsidRPr="00A54208">
              <w:rPr>
                <w:sz w:val="20"/>
                <w:szCs w:val="20"/>
              </w:rPr>
              <w:t>3</w:t>
            </w:r>
          </w:p>
        </w:tc>
        <w:tc>
          <w:tcPr>
            <w:tcW w:w="1560"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center"/>
              <w:rPr>
                <w:sz w:val="20"/>
                <w:szCs w:val="20"/>
              </w:rPr>
            </w:pPr>
            <w:r w:rsidRPr="00A54208">
              <w:rPr>
                <w:sz w:val="20"/>
                <w:szCs w:val="20"/>
              </w:rPr>
              <w:t>4</w:t>
            </w:r>
          </w:p>
        </w:tc>
      </w:tr>
      <w:tr w:rsidR="00467F9C" w:rsidRPr="00A54208" w:rsidTr="00A54208">
        <w:trPr>
          <w:trHeight w:val="318"/>
          <w:tblHead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191861" w:rsidRPr="00A54208" w:rsidRDefault="00191861" w:rsidP="00191861">
            <w:pPr>
              <w:rPr>
                <w:b/>
                <w:bCs/>
                <w:sz w:val="20"/>
                <w:szCs w:val="20"/>
              </w:rPr>
            </w:pPr>
            <w:r w:rsidRPr="00A54208">
              <w:rPr>
                <w:b/>
                <w:bCs/>
                <w:sz w:val="20"/>
                <w:szCs w:val="20"/>
              </w:rPr>
              <w:t>Доходы бюджета</w:t>
            </w:r>
          </w:p>
        </w:tc>
        <w:tc>
          <w:tcPr>
            <w:tcW w:w="1276"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right"/>
              <w:rPr>
                <w:b/>
                <w:bCs/>
                <w:sz w:val="20"/>
                <w:szCs w:val="20"/>
              </w:rPr>
            </w:pPr>
            <w:r w:rsidRPr="00A54208">
              <w:rPr>
                <w:b/>
                <w:bCs/>
                <w:sz w:val="20"/>
                <w:szCs w:val="20"/>
              </w:rPr>
              <w:t xml:space="preserve">48 890 949,7 </w:t>
            </w:r>
          </w:p>
        </w:tc>
        <w:tc>
          <w:tcPr>
            <w:tcW w:w="1559"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right"/>
              <w:rPr>
                <w:b/>
                <w:bCs/>
                <w:sz w:val="20"/>
                <w:szCs w:val="20"/>
              </w:rPr>
            </w:pPr>
            <w:r w:rsidRPr="00A54208">
              <w:rPr>
                <w:b/>
                <w:bCs/>
                <w:sz w:val="20"/>
                <w:szCs w:val="20"/>
              </w:rPr>
              <w:t xml:space="preserve">11 744 655,2 </w:t>
            </w:r>
          </w:p>
        </w:tc>
        <w:tc>
          <w:tcPr>
            <w:tcW w:w="1560"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center"/>
              <w:rPr>
                <w:b/>
                <w:bCs/>
                <w:sz w:val="20"/>
                <w:szCs w:val="20"/>
              </w:rPr>
            </w:pPr>
            <w:r w:rsidRPr="00A54208">
              <w:rPr>
                <w:b/>
                <w:bCs/>
                <w:sz w:val="20"/>
                <w:szCs w:val="20"/>
              </w:rPr>
              <w:t>24,0</w:t>
            </w:r>
          </w:p>
        </w:tc>
      </w:tr>
      <w:tr w:rsidR="00467F9C" w:rsidRPr="00A54208" w:rsidTr="00A54208">
        <w:trPr>
          <w:trHeight w:val="279"/>
          <w:tblHead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191861" w:rsidRPr="00A54208" w:rsidRDefault="00191861" w:rsidP="00191861">
            <w:pPr>
              <w:rPr>
                <w:b/>
                <w:bCs/>
                <w:sz w:val="20"/>
                <w:szCs w:val="20"/>
              </w:rPr>
            </w:pPr>
            <w:r w:rsidRPr="00A54208">
              <w:rPr>
                <w:b/>
                <w:bCs/>
                <w:sz w:val="20"/>
                <w:szCs w:val="20"/>
              </w:rPr>
              <w:t>Расходы бюджета</w:t>
            </w:r>
          </w:p>
        </w:tc>
        <w:tc>
          <w:tcPr>
            <w:tcW w:w="1276"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right"/>
              <w:rPr>
                <w:b/>
                <w:bCs/>
                <w:sz w:val="20"/>
                <w:szCs w:val="20"/>
              </w:rPr>
            </w:pPr>
            <w:r w:rsidRPr="00A54208">
              <w:rPr>
                <w:b/>
                <w:bCs/>
                <w:sz w:val="20"/>
                <w:szCs w:val="20"/>
              </w:rPr>
              <w:t xml:space="preserve">53 392 845,2 </w:t>
            </w:r>
          </w:p>
        </w:tc>
        <w:tc>
          <w:tcPr>
            <w:tcW w:w="1559"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right"/>
              <w:rPr>
                <w:b/>
                <w:bCs/>
                <w:sz w:val="20"/>
                <w:szCs w:val="20"/>
              </w:rPr>
            </w:pPr>
            <w:r w:rsidRPr="00A54208">
              <w:rPr>
                <w:b/>
                <w:bCs/>
                <w:sz w:val="20"/>
                <w:szCs w:val="20"/>
              </w:rPr>
              <w:t xml:space="preserve">8 700 921,1 </w:t>
            </w:r>
          </w:p>
        </w:tc>
        <w:tc>
          <w:tcPr>
            <w:tcW w:w="1560"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center"/>
              <w:rPr>
                <w:b/>
                <w:bCs/>
                <w:sz w:val="20"/>
                <w:szCs w:val="20"/>
              </w:rPr>
            </w:pPr>
            <w:r w:rsidRPr="00A54208">
              <w:rPr>
                <w:b/>
                <w:bCs/>
                <w:sz w:val="20"/>
                <w:szCs w:val="20"/>
              </w:rPr>
              <w:t>16,3</w:t>
            </w:r>
          </w:p>
        </w:tc>
      </w:tr>
      <w:tr w:rsidR="00467F9C" w:rsidRPr="00A54208" w:rsidTr="00A54208">
        <w:trPr>
          <w:trHeight w:val="20"/>
          <w:tblHead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191861" w:rsidRPr="00A54208" w:rsidRDefault="00191861" w:rsidP="00191861">
            <w:pPr>
              <w:rPr>
                <w:b/>
                <w:bCs/>
                <w:sz w:val="20"/>
                <w:szCs w:val="20"/>
              </w:rPr>
            </w:pPr>
            <w:r w:rsidRPr="00A54208">
              <w:rPr>
                <w:b/>
                <w:bCs/>
                <w:sz w:val="20"/>
                <w:szCs w:val="20"/>
              </w:rPr>
              <w:t xml:space="preserve">Результат исполнения бюджета </w:t>
            </w:r>
            <w:r w:rsidRPr="00A54208">
              <w:rPr>
                <w:b/>
                <w:bCs/>
                <w:sz w:val="20"/>
                <w:szCs w:val="20"/>
              </w:rPr>
              <w:br/>
              <w:t>(Дефицит «-»; Профицит «+»)</w:t>
            </w:r>
          </w:p>
        </w:tc>
        <w:tc>
          <w:tcPr>
            <w:tcW w:w="1276"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right"/>
              <w:rPr>
                <w:b/>
                <w:bCs/>
                <w:sz w:val="20"/>
                <w:szCs w:val="20"/>
              </w:rPr>
            </w:pPr>
            <w:r w:rsidRPr="00A54208">
              <w:rPr>
                <w:b/>
                <w:bCs/>
                <w:sz w:val="20"/>
                <w:szCs w:val="20"/>
              </w:rPr>
              <w:t xml:space="preserve">-4 501 895,5 </w:t>
            </w:r>
          </w:p>
        </w:tc>
        <w:tc>
          <w:tcPr>
            <w:tcW w:w="1559"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right"/>
              <w:rPr>
                <w:b/>
                <w:bCs/>
                <w:sz w:val="20"/>
                <w:szCs w:val="20"/>
              </w:rPr>
            </w:pPr>
            <w:r w:rsidRPr="00A54208">
              <w:rPr>
                <w:b/>
                <w:bCs/>
                <w:sz w:val="20"/>
                <w:szCs w:val="20"/>
              </w:rPr>
              <w:t xml:space="preserve">3 043 734,1 </w:t>
            </w:r>
          </w:p>
        </w:tc>
        <w:tc>
          <w:tcPr>
            <w:tcW w:w="1560"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center"/>
              <w:rPr>
                <w:b/>
                <w:bCs/>
                <w:sz w:val="20"/>
                <w:szCs w:val="20"/>
              </w:rPr>
            </w:pPr>
            <w:r w:rsidRPr="00A54208">
              <w:rPr>
                <w:b/>
                <w:bCs/>
                <w:sz w:val="20"/>
                <w:szCs w:val="20"/>
              </w:rPr>
              <w:t>х</w:t>
            </w:r>
          </w:p>
        </w:tc>
      </w:tr>
      <w:tr w:rsidR="00467F9C" w:rsidRPr="00A54208" w:rsidTr="00A54208">
        <w:trPr>
          <w:trHeight w:val="20"/>
          <w:tblHead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191861" w:rsidRPr="00A54208" w:rsidRDefault="00191861" w:rsidP="00191861">
            <w:pPr>
              <w:rPr>
                <w:b/>
                <w:bCs/>
                <w:sz w:val="20"/>
                <w:szCs w:val="20"/>
              </w:rPr>
            </w:pPr>
            <w:r w:rsidRPr="00A54208">
              <w:rPr>
                <w:b/>
                <w:bCs/>
                <w:sz w:val="20"/>
                <w:szCs w:val="20"/>
              </w:rPr>
              <w:t>Источники внутреннего финансирования дефицита, в том числе:</w:t>
            </w:r>
          </w:p>
        </w:tc>
        <w:tc>
          <w:tcPr>
            <w:tcW w:w="1276"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right"/>
              <w:rPr>
                <w:b/>
                <w:bCs/>
                <w:sz w:val="20"/>
                <w:szCs w:val="20"/>
              </w:rPr>
            </w:pPr>
            <w:r w:rsidRPr="00A54208">
              <w:rPr>
                <w:b/>
                <w:bCs/>
                <w:sz w:val="20"/>
                <w:szCs w:val="20"/>
              </w:rPr>
              <w:t xml:space="preserve">4 479 205,5 </w:t>
            </w:r>
          </w:p>
        </w:tc>
        <w:tc>
          <w:tcPr>
            <w:tcW w:w="1559"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right"/>
              <w:rPr>
                <w:b/>
                <w:bCs/>
                <w:sz w:val="20"/>
                <w:szCs w:val="20"/>
              </w:rPr>
            </w:pPr>
            <w:r w:rsidRPr="00A54208">
              <w:rPr>
                <w:b/>
                <w:bCs/>
                <w:sz w:val="20"/>
                <w:szCs w:val="20"/>
              </w:rPr>
              <w:t xml:space="preserve">-3 043 744,2 </w:t>
            </w:r>
          </w:p>
        </w:tc>
        <w:tc>
          <w:tcPr>
            <w:tcW w:w="1560"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center"/>
              <w:rPr>
                <w:b/>
                <w:bCs/>
                <w:sz w:val="20"/>
                <w:szCs w:val="20"/>
              </w:rPr>
            </w:pPr>
            <w:r w:rsidRPr="00A54208">
              <w:rPr>
                <w:b/>
                <w:bCs/>
                <w:sz w:val="20"/>
                <w:szCs w:val="20"/>
              </w:rPr>
              <w:t>х</w:t>
            </w:r>
          </w:p>
        </w:tc>
      </w:tr>
      <w:tr w:rsidR="00467F9C" w:rsidRPr="00A54208" w:rsidTr="00A54208">
        <w:trPr>
          <w:trHeight w:val="20"/>
          <w:tblHead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191861" w:rsidRPr="00A54208" w:rsidRDefault="00191861" w:rsidP="00191861">
            <w:pPr>
              <w:rPr>
                <w:bCs/>
                <w:sz w:val="20"/>
                <w:szCs w:val="20"/>
              </w:rPr>
            </w:pPr>
            <w:r w:rsidRPr="00A54208">
              <w:rPr>
                <w:bCs/>
                <w:sz w:val="20"/>
                <w:szCs w:val="20"/>
              </w:rPr>
              <w:t xml:space="preserve">1. Бюджетные кредиты от других бюджетов </w:t>
            </w:r>
          </w:p>
        </w:tc>
        <w:tc>
          <w:tcPr>
            <w:tcW w:w="1276"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right"/>
              <w:rPr>
                <w:bCs/>
                <w:sz w:val="20"/>
                <w:szCs w:val="20"/>
              </w:rPr>
            </w:pPr>
            <w:r w:rsidRPr="00A54208">
              <w:rPr>
                <w:bCs/>
                <w:sz w:val="20"/>
                <w:szCs w:val="20"/>
              </w:rPr>
              <w:t xml:space="preserve">-1 204 615,2 </w:t>
            </w:r>
          </w:p>
        </w:tc>
        <w:tc>
          <w:tcPr>
            <w:tcW w:w="1559"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right"/>
              <w:rPr>
                <w:bCs/>
                <w:sz w:val="20"/>
                <w:szCs w:val="20"/>
              </w:rPr>
            </w:pPr>
            <w:r w:rsidRPr="00A54208">
              <w:rPr>
                <w:bCs/>
                <w:sz w:val="20"/>
                <w:szCs w:val="20"/>
              </w:rPr>
              <w:t xml:space="preserve">267 015,0 </w:t>
            </w:r>
          </w:p>
        </w:tc>
        <w:tc>
          <w:tcPr>
            <w:tcW w:w="1560"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center"/>
              <w:rPr>
                <w:sz w:val="20"/>
                <w:szCs w:val="20"/>
              </w:rPr>
            </w:pPr>
            <w:r w:rsidRPr="00A54208">
              <w:rPr>
                <w:sz w:val="20"/>
                <w:szCs w:val="20"/>
              </w:rPr>
              <w:t>х</w:t>
            </w:r>
          </w:p>
        </w:tc>
      </w:tr>
      <w:tr w:rsidR="00467F9C" w:rsidRPr="00A54208" w:rsidTr="00A54208">
        <w:trPr>
          <w:trHeight w:val="20"/>
          <w:tblHead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191861" w:rsidRPr="00A54208" w:rsidRDefault="00191861" w:rsidP="00191861">
            <w:pPr>
              <w:rPr>
                <w:sz w:val="20"/>
                <w:szCs w:val="20"/>
              </w:rPr>
            </w:pPr>
            <w:r w:rsidRPr="00A54208">
              <w:rPr>
                <w:sz w:val="20"/>
                <w:szCs w:val="20"/>
              </w:rPr>
              <w:t>предоставлено</w:t>
            </w:r>
          </w:p>
        </w:tc>
        <w:tc>
          <w:tcPr>
            <w:tcW w:w="1276"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right"/>
              <w:rPr>
                <w:sz w:val="20"/>
                <w:szCs w:val="20"/>
              </w:rPr>
            </w:pPr>
            <w:r w:rsidRPr="00A54208">
              <w:rPr>
                <w:sz w:val="20"/>
                <w:szCs w:val="20"/>
              </w:rPr>
              <w:t xml:space="preserve">267 015,0 </w:t>
            </w:r>
          </w:p>
        </w:tc>
        <w:tc>
          <w:tcPr>
            <w:tcW w:w="1559"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right"/>
              <w:rPr>
                <w:sz w:val="20"/>
                <w:szCs w:val="20"/>
              </w:rPr>
            </w:pPr>
            <w:r w:rsidRPr="00A54208">
              <w:rPr>
                <w:sz w:val="20"/>
                <w:szCs w:val="20"/>
              </w:rPr>
              <w:t xml:space="preserve">267 015,0 </w:t>
            </w:r>
          </w:p>
        </w:tc>
        <w:tc>
          <w:tcPr>
            <w:tcW w:w="1560"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center"/>
              <w:rPr>
                <w:sz w:val="20"/>
                <w:szCs w:val="20"/>
              </w:rPr>
            </w:pPr>
            <w:r w:rsidRPr="00A54208">
              <w:rPr>
                <w:sz w:val="20"/>
                <w:szCs w:val="20"/>
              </w:rPr>
              <w:t>х</w:t>
            </w:r>
          </w:p>
        </w:tc>
      </w:tr>
      <w:tr w:rsidR="00467F9C" w:rsidRPr="00A54208" w:rsidTr="00A54208">
        <w:trPr>
          <w:trHeight w:val="20"/>
          <w:tblHead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191861" w:rsidRPr="00A54208" w:rsidRDefault="00191861" w:rsidP="00191861">
            <w:pPr>
              <w:rPr>
                <w:sz w:val="20"/>
                <w:szCs w:val="20"/>
              </w:rPr>
            </w:pPr>
            <w:r w:rsidRPr="00A54208">
              <w:rPr>
                <w:sz w:val="20"/>
                <w:szCs w:val="20"/>
              </w:rPr>
              <w:t>возврат</w:t>
            </w:r>
          </w:p>
        </w:tc>
        <w:tc>
          <w:tcPr>
            <w:tcW w:w="1276"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right"/>
              <w:rPr>
                <w:sz w:val="20"/>
                <w:szCs w:val="20"/>
              </w:rPr>
            </w:pPr>
            <w:r w:rsidRPr="00A54208">
              <w:rPr>
                <w:sz w:val="20"/>
                <w:szCs w:val="20"/>
              </w:rPr>
              <w:t xml:space="preserve">-1 471 630,2 </w:t>
            </w:r>
          </w:p>
        </w:tc>
        <w:tc>
          <w:tcPr>
            <w:tcW w:w="1559"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right"/>
              <w:rPr>
                <w:sz w:val="20"/>
                <w:szCs w:val="20"/>
              </w:rPr>
            </w:pPr>
            <w:r w:rsidRPr="00A54208">
              <w:rPr>
                <w:sz w:val="20"/>
                <w:szCs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center"/>
              <w:rPr>
                <w:sz w:val="20"/>
                <w:szCs w:val="20"/>
              </w:rPr>
            </w:pPr>
            <w:r w:rsidRPr="00A54208">
              <w:rPr>
                <w:sz w:val="20"/>
                <w:szCs w:val="20"/>
              </w:rPr>
              <w:t>х</w:t>
            </w:r>
          </w:p>
        </w:tc>
      </w:tr>
      <w:tr w:rsidR="00467F9C" w:rsidRPr="00A54208" w:rsidTr="00A54208">
        <w:trPr>
          <w:trHeight w:val="20"/>
          <w:tblHead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191861" w:rsidRPr="00A54208" w:rsidRDefault="00191861" w:rsidP="00191861">
            <w:pPr>
              <w:rPr>
                <w:bCs/>
                <w:sz w:val="20"/>
                <w:szCs w:val="20"/>
              </w:rPr>
            </w:pPr>
            <w:r w:rsidRPr="00A54208">
              <w:rPr>
                <w:bCs/>
                <w:sz w:val="20"/>
                <w:szCs w:val="20"/>
              </w:rPr>
              <w:t>2. Бюджетные кредиты</w:t>
            </w:r>
          </w:p>
        </w:tc>
        <w:tc>
          <w:tcPr>
            <w:tcW w:w="1276"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right"/>
              <w:rPr>
                <w:bCs/>
                <w:sz w:val="20"/>
                <w:szCs w:val="20"/>
              </w:rPr>
            </w:pPr>
            <w:r w:rsidRPr="00A54208">
              <w:rPr>
                <w:bCs/>
                <w:sz w:val="20"/>
                <w:szCs w:val="20"/>
              </w:rPr>
              <w:t xml:space="preserve">802 343,0 </w:t>
            </w:r>
          </w:p>
        </w:tc>
        <w:tc>
          <w:tcPr>
            <w:tcW w:w="1559"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right"/>
              <w:rPr>
                <w:bCs/>
                <w:sz w:val="20"/>
                <w:szCs w:val="20"/>
              </w:rPr>
            </w:pPr>
            <w:r w:rsidRPr="00A54208">
              <w:rPr>
                <w:bCs/>
                <w:sz w:val="20"/>
                <w:szCs w:val="20"/>
              </w:rPr>
              <w:t xml:space="preserve">13 500,0 </w:t>
            </w:r>
          </w:p>
        </w:tc>
        <w:tc>
          <w:tcPr>
            <w:tcW w:w="1560"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center"/>
              <w:rPr>
                <w:sz w:val="20"/>
                <w:szCs w:val="20"/>
              </w:rPr>
            </w:pPr>
            <w:r w:rsidRPr="00A54208">
              <w:rPr>
                <w:sz w:val="20"/>
                <w:szCs w:val="20"/>
              </w:rPr>
              <w:t>х</w:t>
            </w:r>
          </w:p>
        </w:tc>
      </w:tr>
      <w:tr w:rsidR="00467F9C" w:rsidRPr="00A54208" w:rsidTr="00A54208">
        <w:trPr>
          <w:trHeight w:val="20"/>
          <w:tblHead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A54208" w:rsidRDefault="00191861" w:rsidP="00191861">
            <w:pPr>
              <w:rPr>
                <w:sz w:val="20"/>
                <w:szCs w:val="20"/>
              </w:rPr>
            </w:pPr>
            <w:r w:rsidRPr="00A54208">
              <w:rPr>
                <w:sz w:val="20"/>
                <w:szCs w:val="20"/>
              </w:rPr>
              <w:t>предоставлено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A54208" w:rsidRDefault="00191861" w:rsidP="00191861">
            <w:pPr>
              <w:jc w:val="right"/>
              <w:rPr>
                <w:sz w:val="20"/>
                <w:szCs w:val="20"/>
              </w:rPr>
            </w:pPr>
            <w:r w:rsidRPr="00A54208">
              <w:rPr>
                <w:sz w:val="20"/>
                <w:szCs w:val="20"/>
              </w:rPr>
              <w:t xml:space="preserve">-1 100 000,0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A54208" w:rsidRDefault="00191861" w:rsidP="00191861">
            <w:pPr>
              <w:jc w:val="right"/>
              <w:rPr>
                <w:sz w:val="20"/>
                <w:szCs w:val="20"/>
              </w:rPr>
            </w:pPr>
            <w:r w:rsidRPr="00A54208">
              <w:rPr>
                <w:sz w:val="20"/>
                <w:szCs w:val="20"/>
              </w:rPr>
              <w:t xml:space="preserve">-50 000,0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A54208" w:rsidRDefault="00191861" w:rsidP="00191861">
            <w:pPr>
              <w:jc w:val="center"/>
              <w:rPr>
                <w:sz w:val="20"/>
                <w:szCs w:val="20"/>
              </w:rPr>
            </w:pPr>
            <w:r w:rsidRPr="00A54208">
              <w:rPr>
                <w:sz w:val="20"/>
                <w:szCs w:val="20"/>
              </w:rPr>
              <w:t>х</w:t>
            </w:r>
          </w:p>
        </w:tc>
      </w:tr>
      <w:tr w:rsidR="00467F9C" w:rsidRPr="00A54208" w:rsidTr="00A54208">
        <w:trPr>
          <w:trHeight w:val="20"/>
          <w:tblHead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A54208" w:rsidRDefault="00191861" w:rsidP="00191861">
            <w:pPr>
              <w:rPr>
                <w:sz w:val="20"/>
                <w:szCs w:val="20"/>
              </w:rPr>
            </w:pPr>
            <w:r w:rsidRPr="00A54208">
              <w:rPr>
                <w:sz w:val="20"/>
                <w:szCs w:val="20"/>
              </w:rPr>
              <w:t>возврат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A54208" w:rsidRDefault="00191861" w:rsidP="00191861">
            <w:pPr>
              <w:jc w:val="right"/>
              <w:rPr>
                <w:sz w:val="20"/>
                <w:szCs w:val="20"/>
              </w:rPr>
            </w:pPr>
            <w:r w:rsidRPr="00A54208">
              <w:rPr>
                <w:sz w:val="20"/>
                <w:szCs w:val="20"/>
              </w:rPr>
              <w:t xml:space="preserve">1 902 343,0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A54208" w:rsidRDefault="00191861" w:rsidP="00191861">
            <w:pPr>
              <w:jc w:val="right"/>
              <w:rPr>
                <w:sz w:val="20"/>
                <w:szCs w:val="20"/>
              </w:rPr>
            </w:pPr>
            <w:r w:rsidRPr="00A54208">
              <w:rPr>
                <w:sz w:val="20"/>
                <w:szCs w:val="20"/>
              </w:rPr>
              <w:t xml:space="preserve">63 500,0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A54208" w:rsidRDefault="00191861" w:rsidP="00191861">
            <w:pPr>
              <w:jc w:val="center"/>
              <w:rPr>
                <w:sz w:val="20"/>
                <w:szCs w:val="20"/>
              </w:rPr>
            </w:pPr>
            <w:r w:rsidRPr="00A54208">
              <w:rPr>
                <w:sz w:val="20"/>
                <w:szCs w:val="20"/>
              </w:rPr>
              <w:t>х</w:t>
            </w:r>
          </w:p>
        </w:tc>
      </w:tr>
      <w:tr w:rsidR="00467F9C" w:rsidRPr="00A54208" w:rsidTr="00A54208">
        <w:trPr>
          <w:trHeight w:val="20"/>
          <w:tblHead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A54208" w:rsidRDefault="00191861" w:rsidP="00191861">
            <w:pPr>
              <w:rPr>
                <w:bCs/>
                <w:sz w:val="20"/>
                <w:szCs w:val="20"/>
              </w:rPr>
            </w:pPr>
            <w:r w:rsidRPr="00A54208">
              <w:rPr>
                <w:bCs/>
                <w:sz w:val="20"/>
                <w:szCs w:val="20"/>
              </w:rPr>
              <w:t>3. Изменения остатков средств на счетах по учету средств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A54208" w:rsidRDefault="00191861" w:rsidP="00191861">
            <w:pPr>
              <w:jc w:val="right"/>
              <w:rPr>
                <w:bCs/>
                <w:sz w:val="20"/>
                <w:szCs w:val="20"/>
              </w:rPr>
            </w:pPr>
            <w:r w:rsidRPr="00A54208">
              <w:rPr>
                <w:bCs/>
                <w:sz w:val="20"/>
                <w:szCs w:val="20"/>
              </w:rPr>
              <w:t xml:space="preserve">4 881 477,7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A54208" w:rsidRDefault="00191861" w:rsidP="00191861">
            <w:pPr>
              <w:jc w:val="right"/>
              <w:rPr>
                <w:bCs/>
                <w:sz w:val="20"/>
                <w:szCs w:val="20"/>
              </w:rPr>
            </w:pPr>
            <w:r w:rsidRPr="00A54208">
              <w:rPr>
                <w:bCs/>
                <w:sz w:val="20"/>
                <w:szCs w:val="20"/>
              </w:rPr>
              <w:t xml:space="preserve">-3 324 259,2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A54208" w:rsidRDefault="00191861" w:rsidP="00191861">
            <w:pPr>
              <w:jc w:val="center"/>
              <w:rPr>
                <w:sz w:val="20"/>
                <w:szCs w:val="20"/>
              </w:rPr>
            </w:pPr>
            <w:r w:rsidRPr="00A54208">
              <w:rPr>
                <w:sz w:val="20"/>
                <w:szCs w:val="20"/>
              </w:rPr>
              <w:t>х</w:t>
            </w:r>
          </w:p>
        </w:tc>
      </w:tr>
    </w:tbl>
    <w:p w:rsidR="00191861" w:rsidRPr="00467F9C" w:rsidRDefault="00191861" w:rsidP="00191861">
      <w:pPr>
        <w:pStyle w:val="22"/>
        <w:spacing w:before="120"/>
        <w:ind w:firstLine="709"/>
        <w:rPr>
          <w:sz w:val="28"/>
          <w:szCs w:val="28"/>
        </w:rPr>
      </w:pPr>
      <w:r w:rsidRPr="00467F9C">
        <w:rPr>
          <w:spacing w:val="-4"/>
          <w:sz w:val="28"/>
          <w:szCs w:val="28"/>
        </w:rPr>
        <w:t>Структура источников внутреннего финансирования дефицита окружного бюджета соответствует статье 95 Бюджетного кодекса Россий Федерации.</w:t>
      </w:r>
    </w:p>
    <w:p w:rsidR="00191861" w:rsidRPr="00467F9C" w:rsidRDefault="00191861" w:rsidP="00191861">
      <w:pPr>
        <w:widowControl w:val="0"/>
        <w:autoSpaceDE w:val="0"/>
        <w:autoSpaceDN w:val="0"/>
        <w:adjustRightInd w:val="0"/>
        <w:spacing w:before="120"/>
        <w:ind w:firstLine="709"/>
        <w:jc w:val="both"/>
        <w:rPr>
          <w:rFonts w:eastAsiaTheme="minorHAnsi"/>
          <w:sz w:val="28"/>
          <w:szCs w:val="28"/>
          <w:lang w:eastAsia="en-US"/>
        </w:rPr>
      </w:pPr>
      <w:r w:rsidRPr="00467F9C">
        <w:rPr>
          <w:sz w:val="28"/>
          <w:szCs w:val="28"/>
        </w:rPr>
        <w:t>Законом об окружном бюджете предоставление бюджетных кредитов предусмотрено в сумме 1 100 000,0 тыс. рублей, в том числе: 100 000,0 тыс. рублей местным бюджетам на частичное покрытие дефицитов, 1 000 000,0 тыс. рублей юридическим лицам для закупки и доставки топлива на территорию округа</w:t>
      </w:r>
      <w:r w:rsidRPr="00467F9C">
        <w:rPr>
          <w:rFonts w:eastAsiaTheme="minorHAnsi"/>
          <w:sz w:val="28"/>
          <w:szCs w:val="28"/>
          <w:lang w:eastAsia="en-US"/>
        </w:rPr>
        <w:t>.</w:t>
      </w:r>
    </w:p>
    <w:p w:rsidR="00191861" w:rsidRPr="00467F9C" w:rsidRDefault="00191861" w:rsidP="00191861">
      <w:pPr>
        <w:widowControl w:val="0"/>
        <w:autoSpaceDE w:val="0"/>
        <w:autoSpaceDN w:val="0"/>
        <w:adjustRightInd w:val="0"/>
        <w:ind w:firstLine="709"/>
        <w:jc w:val="both"/>
        <w:rPr>
          <w:sz w:val="28"/>
          <w:szCs w:val="28"/>
        </w:rPr>
      </w:pPr>
      <w:r w:rsidRPr="00467F9C">
        <w:rPr>
          <w:sz w:val="28"/>
          <w:szCs w:val="28"/>
        </w:rPr>
        <w:t>Информация о бюджетных кредитах приведена в таблице №13.</w:t>
      </w:r>
    </w:p>
    <w:p w:rsidR="00191861" w:rsidRPr="00467F9C" w:rsidRDefault="00191861" w:rsidP="00191861">
      <w:pPr>
        <w:pStyle w:val="aff1"/>
        <w:autoSpaceDE w:val="0"/>
        <w:autoSpaceDN w:val="0"/>
        <w:spacing w:after="0" w:line="240" w:lineRule="auto"/>
        <w:ind w:firstLine="709"/>
        <w:jc w:val="right"/>
        <w:rPr>
          <w:sz w:val="28"/>
          <w:szCs w:val="28"/>
        </w:rPr>
      </w:pPr>
      <w:r w:rsidRPr="00467F9C">
        <w:rPr>
          <w:sz w:val="28"/>
          <w:szCs w:val="28"/>
        </w:rPr>
        <w:t>Таблица №13</w:t>
      </w:r>
    </w:p>
    <w:p w:rsidR="00191861" w:rsidRPr="00467F9C" w:rsidRDefault="00191861" w:rsidP="00191861">
      <w:pPr>
        <w:pStyle w:val="aff1"/>
        <w:tabs>
          <w:tab w:val="left" w:pos="851"/>
        </w:tabs>
        <w:autoSpaceDE w:val="0"/>
        <w:autoSpaceDN w:val="0"/>
        <w:spacing w:after="0" w:line="240" w:lineRule="auto"/>
        <w:ind w:left="426"/>
        <w:jc w:val="right"/>
        <w:rPr>
          <w:sz w:val="28"/>
          <w:szCs w:val="28"/>
        </w:rPr>
      </w:pPr>
      <w:r w:rsidRPr="00467F9C">
        <w:rPr>
          <w:sz w:val="28"/>
          <w:szCs w:val="28"/>
        </w:rPr>
        <w:t>(тыс. рублей)</w:t>
      </w:r>
    </w:p>
    <w:tbl>
      <w:tblPr>
        <w:tblW w:w="9682" w:type="dxa"/>
        <w:tblInd w:w="-5" w:type="dxa"/>
        <w:tblLook w:val="04A0" w:firstRow="1" w:lastRow="0" w:firstColumn="1" w:lastColumn="0" w:noHBand="0" w:noVBand="1"/>
      </w:tblPr>
      <w:tblGrid>
        <w:gridCol w:w="3377"/>
        <w:gridCol w:w="1726"/>
        <w:gridCol w:w="1506"/>
        <w:gridCol w:w="1389"/>
        <w:gridCol w:w="1684"/>
      </w:tblGrid>
      <w:tr w:rsidR="00467F9C" w:rsidRPr="00A54208" w:rsidTr="00A54208">
        <w:trPr>
          <w:trHeight w:val="20"/>
          <w:tblHeader/>
        </w:trPr>
        <w:tc>
          <w:tcPr>
            <w:tcW w:w="33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A54208" w:rsidRDefault="00191861" w:rsidP="00191861">
            <w:pPr>
              <w:jc w:val="center"/>
              <w:rPr>
                <w:sz w:val="20"/>
                <w:szCs w:val="20"/>
              </w:rPr>
            </w:pPr>
            <w:r w:rsidRPr="00A54208">
              <w:rPr>
                <w:sz w:val="20"/>
                <w:szCs w:val="20"/>
              </w:rPr>
              <w:t>Получатель бюджетного кредита</w:t>
            </w:r>
          </w:p>
        </w:tc>
        <w:tc>
          <w:tcPr>
            <w:tcW w:w="1726" w:type="dxa"/>
            <w:tcBorders>
              <w:top w:val="single" w:sz="4" w:space="0" w:color="auto"/>
              <w:left w:val="nil"/>
              <w:bottom w:val="single" w:sz="4" w:space="0" w:color="auto"/>
              <w:right w:val="single" w:sz="4" w:space="0" w:color="auto"/>
            </w:tcBorders>
            <w:shd w:val="clear" w:color="auto" w:fill="auto"/>
            <w:vAlign w:val="center"/>
            <w:hideMark/>
          </w:tcPr>
          <w:p w:rsidR="00191861" w:rsidRDefault="00191861" w:rsidP="00A54208">
            <w:pPr>
              <w:ind w:right="-14"/>
              <w:jc w:val="center"/>
              <w:rPr>
                <w:sz w:val="20"/>
                <w:szCs w:val="20"/>
              </w:rPr>
            </w:pPr>
            <w:r w:rsidRPr="00A54208">
              <w:rPr>
                <w:sz w:val="20"/>
                <w:szCs w:val="20"/>
              </w:rPr>
              <w:t>Остаток на 01.01.2022 г.</w:t>
            </w:r>
          </w:p>
          <w:p w:rsidR="00A54208" w:rsidRPr="00A54208" w:rsidRDefault="00A54208" w:rsidP="00A54208">
            <w:pPr>
              <w:ind w:right="-14"/>
              <w:jc w:val="center"/>
              <w:rPr>
                <w:sz w:val="6"/>
                <w:szCs w:val="6"/>
              </w:rPr>
            </w:pPr>
          </w:p>
        </w:tc>
        <w:tc>
          <w:tcPr>
            <w:tcW w:w="1506" w:type="dxa"/>
            <w:tcBorders>
              <w:top w:val="single" w:sz="4" w:space="0" w:color="auto"/>
              <w:left w:val="nil"/>
              <w:bottom w:val="single" w:sz="4" w:space="0" w:color="auto"/>
              <w:right w:val="single" w:sz="4" w:space="0" w:color="auto"/>
            </w:tcBorders>
            <w:shd w:val="clear" w:color="auto" w:fill="auto"/>
            <w:vAlign w:val="center"/>
            <w:hideMark/>
          </w:tcPr>
          <w:p w:rsidR="00191861" w:rsidRPr="00A54208" w:rsidRDefault="00191861" w:rsidP="00191861">
            <w:pPr>
              <w:jc w:val="center"/>
              <w:rPr>
                <w:sz w:val="20"/>
                <w:szCs w:val="20"/>
              </w:rPr>
            </w:pPr>
            <w:r w:rsidRPr="00A54208">
              <w:rPr>
                <w:sz w:val="20"/>
                <w:szCs w:val="20"/>
              </w:rPr>
              <w:t>Предоставлено</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191861" w:rsidRPr="00A54208" w:rsidRDefault="00191861" w:rsidP="00191861">
            <w:pPr>
              <w:jc w:val="center"/>
              <w:rPr>
                <w:sz w:val="20"/>
                <w:szCs w:val="20"/>
              </w:rPr>
            </w:pPr>
            <w:r w:rsidRPr="00A54208">
              <w:rPr>
                <w:sz w:val="20"/>
                <w:szCs w:val="20"/>
              </w:rPr>
              <w:t>Погашено</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rsidR="00191861" w:rsidRPr="00A54208" w:rsidRDefault="00191861" w:rsidP="00A54208">
            <w:pPr>
              <w:ind w:right="-98"/>
              <w:jc w:val="center"/>
              <w:rPr>
                <w:sz w:val="20"/>
                <w:szCs w:val="20"/>
              </w:rPr>
            </w:pPr>
            <w:r w:rsidRPr="00A54208">
              <w:rPr>
                <w:sz w:val="20"/>
                <w:szCs w:val="20"/>
              </w:rPr>
              <w:t>Остаток на 01.04.2022 г.</w:t>
            </w:r>
          </w:p>
        </w:tc>
      </w:tr>
      <w:tr w:rsidR="00467F9C" w:rsidRPr="00A54208" w:rsidTr="00A54208">
        <w:trPr>
          <w:trHeight w:val="20"/>
          <w:tblHeader/>
        </w:trPr>
        <w:tc>
          <w:tcPr>
            <w:tcW w:w="3377" w:type="dxa"/>
            <w:tcBorders>
              <w:top w:val="nil"/>
              <w:left w:val="single" w:sz="4" w:space="0" w:color="auto"/>
              <w:bottom w:val="single" w:sz="4" w:space="0" w:color="auto"/>
              <w:right w:val="single" w:sz="4" w:space="0" w:color="auto"/>
            </w:tcBorders>
            <w:shd w:val="clear" w:color="auto" w:fill="auto"/>
            <w:vAlign w:val="center"/>
            <w:hideMark/>
          </w:tcPr>
          <w:p w:rsidR="00191861" w:rsidRPr="00A54208" w:rsidRDefault="00191861" w:rsidP="00191861">
            <w:pPr>
              <w:jc w:val="center"/>
              <w:rPr>
                <w:sz w:val="20"/>
                <w:szCs w:val="20"/>
              </w:rPr>
            </w:pPr>
            <w:r w:rsidRPr="00A54208">
              <w:rPr>
                <w:sz w:val="20"/>
                <w:szCs w:val="20"/>
              </w:rPr>
              <w:t>1</w:t>
            </w:r>
          </w:p>
        </w:tc>
        <w:tc>
          <w:tcPr>
            <w:tcW w:w="1726"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center"/>
              <w:rPr>
                <w:sz w:val="20"/>
                <w:szCs w:val="20"/>
              </w:rPr>
            </w:pPr>
            <w:r w:rsidRPr="00A54208">
              <w:rPr>
                <w:sz w:val="20"/>
                <w:szCs w:val="20"/>
              </w:rPr>
              <w:t>2</w:t>
            </w:r>
          </w:p>
        </w:tc>
        <w:tc>
          <w:tcPr>
            <w:tcW w:w="1506" w:type="dxa"/>
            <w:tcBorders>
              <w:top w:val="nil"/>
              <w:left w:val="nil"/>
              <w:bottom w:val="single" w:sz="4" w:space="0" w:color="auto"/>
              <w:right w:val="single" w:sz="4" w:space="0" w:color="auto"/>
            </w:tcBorders>
            <w:shd w:val="clear" w:color="auto" w:fill="auto"/>
            <w:vAlign w:val="center"/>
            <w:hideMark/>
          </w:tcPr>
          <w:p w:rsidR="00191861" w:rsidRPr="00A54208" w:rsidRDefault="00A54208" w:rsidP="00191861">
            <w:pPr>
              <w:jc w:val="center"/>
              <w:rPr>
                <w:sz w:val="20"/>
                <w:szCs w:val="20"/>
              </w:rPr>
            </w:pPr>
            <w:r>
              <w:rPr>
                <w:sz w:val="20"/>
                <w:szCs w:val="20"/>
              </w:rPr>
              <w:t>3</w:t>
            </w:r>
          </w:p>
        </w:tc>
        <w:tc>
          <w:tcPr>
            <w:tcW w:w="1389" w:type="dxa"/>
            <w:tcBorders>
              <w:top w:val="nil"/>
              <w:left w:val="nil"/>
              <w:bottom w:val="single" w:sz="4" w:space="0" w:color="auto"/>
              <w:right w:val="single" w:sz="4" w:space="0" w:color="auto"/>
            </w:tcBorders>
            <w:shd w:val="clear" w:color="auto" w:fill="auto"/>
            <w:vAlign w:val="center"/>
            <w:hideMark/>
          </w:tcPr>
          <w:p w:rsidR="00191861" w:rsidRPr="00A54208" w:rsidRDefault="00A54208" w:rsidP="00191861">
            <w:pPr>
              <w:jc w:val="center"/>
              <w:rPr>
                <w:sz w:val="20"/>
                <w:szCs w:val="20"/>
              </w:rPr>
            </w:pPr>
            <w:r>
              <w:rPr>
                <w:sz w:val="20"/>
                <w:szCs w:val="20"/>
              </w:rPr>
              <w:t>4</w:t>
            </w:r>
          </w:p>
        </w:tc>
        <w:tc>
          <w:tcPr>
            <w:tcW w:w="1684" w:type="dxa"/>
            <w:tcBorders>
              <w:top w:val="nil"/>
              <w:left w:val="nil"/>
              <w:bottom w:val="single" w:sz="4" w:space="0" w:color="auto"/>
              <w:right w:val="single" w:sz="4" w:space="0" w:color="auto"/>
            </w:tcBorders>
            <w:shd w:val="clear" w:color="auto" w:fill="auto"/>
            <w:vAlign w:val="center"/>
            <w:hideMark/>
          </w:tcPr>
          <w:p w:rsidR="00191861" w:rsidRPr="00A54208" w:rsidRDefault="00A54208" w:rsidP="00191861">
            <w:pPr>
              <w:jc w:val="center"/>
              <w:rPr>
                <w:sz w:val="20"/>
                <w:szCs w:val="20"/>
              </w:rPr>
            </w:pPr>
            <w:r>
              <w:rPr>
                <w:sz w:val="20"/>
                <w:szCs w:val="20"/>
              </w:rPr>
              <w:t>5</w:t>
            </w:r>
            <w:r w:rsidR="00191861" w:rsidRPr="00A54208">
              <w:rPr>
                <w:sz w:val="20"/>
                <w:szCs w:val="20"/>
              </w:rPr>
              <w:t> </w:t>
            </w:r>
          </w:p>
        </w:tc>
      </w:tr>
      <w:tr w:rsidR="00467F9C" w:rsidRPr="00A54208" w:rsidTr="00A54208">
        <w:trPr>
          <w:trHeight w:val="299"/>
          <w:tblHeader/>
        </w:trPr>
        <w:tc>
          <w:tcPr>
            <w:tcW w:w="3377" w:type="dxa"/>
            <w:tcBorders>
              <w:top w:val="nil"/>
              <w:left w:val="single" w:sz="4" w:space="0" w:color="auto"/>
              <w:bottom w:val="single" w:sz="4" w:space="0" w:color="auto"/>
              <w:right w:val="single" w:sz="4" w:space="0" w:color="auto"/>
            </w:tcBorders>
            <w:shd w:val="clear" w:color="auto" w:fill="auto"/>
            <w:vAlign w:val="center"/>
            <w:hideMark/>
          </w:tcPr>
          <w:p w:rsidR="00191861" w:rsidRPr="00A54208" w:rsidRDefault="00191861" w:rsidP="00191861">
            <w:pPr>
              <w:rPr>
                <w:b/>
                <w:bCs/>
                <w:sz w:val="20"/>
                <w:szCs w:val="20"/>
              </w:rPr>
            </w:pPr>
            <w:r w:rsidRPr="00A54208">
              <w:rPr>
                <w:b/>
                <w:bCs/>
                <w:sz w:val="20"/>
                <w:szCs w:val="20"/>
              </w:rPr>
              <w:t>Итого</w:t>
            </w:r>
          </w:p>
        </w:tc>
        <w:tc>
          <w:tcPr>
            <w:tcW w:w="1726"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right"/>
              <w:rPr>
                <w:b/>
                <w:bCs/>
                <w:sz w:val="20"/>
                <w:szCs w:val="20"/>
              </w:rPr>
            </w:pPr>
            <w:r w:rsidRPr="00A54208">
              <w:rPr>
                <w:b/>
                <w:bCs/>
                <w:sz w:val="20"/>
                <w:szCs w:val="20"/>
              </w:rPr>
              <w:t>938 273,0</w:t>
            </w:r>
          </w:p>
        </w:tc>
        <w:tc>
          <w:tcPr>
            <w:tcW w:w="1506"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right"/>
              <w:rPr>
                <w:b/>
                <w:bCs/>
                <w:sz w:val="20"/>
                <w:szCs w:val="20"/>
              </w:rPr>
            </w:pPr>
            <w:r w:rsidRPr="00A54208">
              <w:rPr>
                <w:b/>
                <w:bCs/>
                <w:sz w:val="20"/>
                <w:szCs w:val="20"/>
              </w:rPr>
              <w:t>50 000,0</w:t>
            </w:r>
          </w:p>
        </w:tc>
        <w:tc>
          <w:tcPr>
            <w:tcW w:w="1389"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right"/>
              <w:rPr>
                <w:b/>
                <w:bCs/>
                <w:sz w:val="20"/>
                <w:szCs w:val="20"/>
              </w:rPr>
            </w:pPr>
            <w:r w:rsidRPr="00A54208">
              <w:rPr>
                <w:b/>
                <w:bCs/>
                <w:sz w:val="20"/>
                <w:szCs w:val="20"/>
              </w:rPr>
              <w:t>63 500,0</w:t>
            </w:r>
          </w:p>
        </w:tc>
        <w:tc>
          <w:tcPr>
            <w:tcW w:w="1684"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right"/>
              <w:rPr>
                <w:b/>
                <w:bCs/>
                <w:sz w:val="20"/>
                <w:szCs w:val="20"/>
              </w:rPr>
            </w:pPr>
            <w:r w:rsidRPr="00A54208">
              <w:rPr>
                <w:b/>
                <w:bCs/>
                <w:sz w:val="20"/>
                <w:szCs w:val="20"/>
              </w:rPr>
              <w:t>924 773,0</w:t>
            </w:r>
          </w:p>
        </w:tc>
      </w:tr>
      <w:tr w:rsidR="00467F9C" w:rsidRPr="00A54208" w:rsidTr="00A54208">
        <w:trPr>
          <w:trHeight w:val="404"/>
          <w:tblHeader/>
        </w:trPr>
        <w:tc>
          <w:tcPr>
            <w:tcW w:w="3377" w:type="dxa"/>
            <w:tcBorders>
              <w:top w:val="nil"/>
              <w:left w:val="single" w:sz="4" w:space="0" w:color="auto"/>
              <w:bottom w:val="single" w:sz="4" w:space="0" w:color="auto"/>
              <w:right w:val="single" w:sz="4" w:space="0" w:color="auto"/>
            </w:tcBorders>
            <w:shd w:val="clear" w:color="auto" w:fill="auto"/>
            <w:vAlign w:val="center"/>
            <w:hideMark/>
          </w:tcPr>
          <w:p w:rsidR="00191861" w:rsidRPr="00A54208" w:rsidRDefault="00191861" w:rsidP="00191861">
            <w:pPr>
              <w:rPr>
                <w:sz w:val="20"/>
                <w:szCs w:val="20"/>
              </w:rPr>
            </w:pPr>
            <w:r w:rsidRPr="00A54208">
              <w:rPr>
                <w:sz w:val="20"/>
                <w:szCs w:val="20"/>
              </w:rPr>
              <w:t>Юридические лица</w:t>
            </w:r>
          </w:p>
        </w:tc>
        <w:tc>
          <w:tcPr>
            <w:tcW w:w="1726"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right"/>
              <w:rPr>
                <w:sz w:val="20"/>
                <w:szCs w:val="20"/>
              </w:rPr>
            </w:pPr>
            <w:r w:rsidRPr="00A54208">
              <w:rPr>
                <w:sz w:val="20"/>
                <w:szCs w:val="20"/>
              </w:rPr>
              <w:t>723 773,0</w:t>
            </w:r>
          </w:p>
        </w:tc>
        <w:tc>
          <w:tcPr>
            <w:tcW w:w="1506"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right"/>
              <w:rPr>
                <w:sz w:val="20"/>
                <w:szCs w:val="20"/>
              </w:rPr>
            </w:pPr>
            <w:r w:rsidRPr="00A54208">
              <w:rPr>
                <w:sz w:val="20"/>
                <w:szCs w:val="20"/>
              </w:rPr>
              <w:t>-</w:t>
            </w:r>
          </w:p>
        </w:tc>
        <w:tc>
          <w:tcPr>
            <w:tcW w:w="1389"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right"/>
              <w:rPr>
                <w:sz w:val="20"/>
                <w:szCs w:val="20"/>
              </w:rPr>
            </w:pPr>
            <w:r w:rsidRPr="00A54208">
              <w:rPr>
                <w:sz w:val="20"/>
                <w:szCs w:val="20"/>
              </w:rPr>
              <w:t>26 500,0</w:t>
            </w:r>
          </w:p>
        </w:tc>
        <w:tc>
          <w:tcPr>
            <w:tcW w:w="1684"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right"/>
              <w:rPr>
                <w:sz w:val="20"/>
                <w:szCs w:val="20"/>
              </w:rPr>
            </w:pPr>
            <w:r w:rsidRPr="00A54208">
              <w:rPr>
                <w:sz w:val="20"/>
                <w:szCs w:val="20"/>
              </w:rPr>
              <w:t>697 273,0</w:t>
            </w:r>
          </w:p>
        </w:tc>
      </w:tr>
      <w:tr w:rsidR="00467F9C" w:rsidRPr="00A54208" w:rsidTr="00A54208">
        <w:trPr>
          <w:trHeight w:val="421"/>
          <w:tblHeader/>
        </w:trPr>
        <w:tc>
          <w:tcPr>
            <w:tcW w:w="3377" w:type="dxa"/>
            <w:tcBorders>
              <w:top w:val="nil"/>
              <w:left w:val="single" w:sz="4" w:space="0" w:color="auto"/>
              <w:bottom w:val="single" w:sz="4" w:space="0" w:color="auto"/>
              <w:right w:val="single" w:sz="4" w:space="0" w:color="auto"/>
            </w:tcBorders>
            <w:shd w:val="clear" w:color="auto" w:fill="auto"/>
            <w:vAlign w:val="center"/>
            <w:hideMark/>
          </w:tcPr>
          <w:p w:rsidR="00191861" w:rsidRPr="00A54208" w:rsidRDefault="00191861" w:rsidP="00191861">
            <w:pPr>
              <w:rPr>
                <w:sz w:val="20"/>
                <w:szCs w:val="20"/>
              </w:rPr>
            </w:pPr>
            <w:r w:rsidRPr="00A54208">
              <w:rPr>
                <w:sz w:val="20"/>
                <w:szCs w:val="20"/>
              </w:rPr>
              <w:t>Муниципальные образования</w:t>
            </w:r>
          </w:p>
        </w:tc>
        <w:tc>
          <w:tcPr>
            <w:tcW w:w="1726"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right"/>
              <w:rPr>
                <w:sz w:val="20"/>
                <w:szCs w:val="20"/>
              </w:rPr>
            </w:pPr>
            <w:r w:rsidRPr="00A54208">
              <w:rPr>
                <w:sz w:val="20"/>
                <w:szCs w:val="20"/>
              </w:rPr>
              <w:t>214 500,0</w:t>
            </w:r>
          </w:p>
        </w:tc>
        <w:tc>
          <w:tcPr>
            <w:tcW w:w="1506"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right"/>
              <w:rPr>
                <w:sz w:val="20"/>
                <w:szCs w:val="20"/>
              </w:rPr>
            </w:pPr>
            <w:r w:rsidRPr="00A54208">
              <w:rPr>
                <w:sz w:val="20"/>
                <w:szCs w:val="20"/>
              </w:rPr>
              <w:t>50 000,0</w:t>
            </w:r>
          </w:p>
        </w:tc>
        <w:tc>
          <w:tcPr>
            <w:tcW w:w="1389"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right"/>
              <w:rPr>
                <w:sz w:val="20"/>
                <w:szCs w:val="20"/>
              </w:rPr>
            </w:pPr>
            <w:r w:rsidRPr="00A54208">
              <w:rPr>
                <w:sz w:val="20"/>
                <w:szCs w:val="20"/>
              </w:rPr>
              <w:t>37 000,0</w:t>
            </w:r>
          </w:p>
        </w:tc>
        <w:tc>
          <w:tcPr>
            <w:tcW w:w="1684" w:type="dxa"/>
            <w:tcBorders>
              <w:top w:val="nil"/>
              <w:left w:val="nil"/>
              <w:bottom w:val="single" w:sz="4" w:space="0" w:color="auto"/>
              <w:right w:val="single" w:sz="4" w:space="0" w:color="auto"/>
            </w:tcBorders>
            <w:shd w:val="clear" w:color="auto" w:fill="auto"/>
            <w:vAlign w:val="center"/>
            <w:hideMark/>
          </w:tcPr>
          <w:p w:rsidR="00191861" w:rsidRPr="00A54208" w:rsidRDefault="00191861" w:rsidP="00191861">
            <w:pPr>
              <w:jc w:val="right"/>
              <w:rPr>
                <w:sz w:val="20"/>
                <w:szCs w:val="20"/>
              </w:rPr>
            </w:pPr>
            <w:r w:rsidRPr="00A54208">
              <w:rPr>
                <w:sz w:val="20"/>
                <w:szCs w:val="20"/>
              </w:rPr>
              <w:t>227 500,0</w:t>
            </w:r>
          </w:p>
        </w:tc>
      </w:tr>
    </w:tbl>
    <w:p w:rsidR="00191861" w:rsidRPr="00467F9C" w:rsidRDefault="00191861" w:rsidP="00191861">
      <w:pPr>
        <w:widowControl w:val="0"/>
        <w:autoSpaceDE w:val="0"/>
        <w:autoSpaceDN w:val="0"/>
        <w:adjustRightInd w:val="0"/>
        <w:spacing w:before="120"/>
        <w:ind w:firstLine="709"/>
        <w:jc w:val="both"/>
        <w:rPr>
          <w:sz w:val="28"/>
          <w:szCs w:val="28"/>
        </w:rPr>
      </w:pPr>
      <w:r w:rsidRPr="00467F9C">
        <w:rPr>
          <w:sz w:val="28"/>
          <w:szCs w:val="28"/>
        </w:rPr>
        <w:t xml:space="preserve">По состоянию на 1 апреля 2022 года задолженность по выданным </w:t>
      </w:r>
      <w:r w:rsidRPr="00467F9C">
        <w:rPr>
          <w:sz w:val="28"/>
          <w:szCs w:val="28"/>
        </w:rPr>
        <w:lastRenderedPageBreak/>
        <w:t xml:space="preserve">из окружного бюджета кредитам составила 924 773,0 тыс. рублей. </w:t>
      </w:r>
    </w:p>
    <w:p w:rsidR="00191861" w:rsidRPr="00467F9C" w:rsidRDefault="00191861" w:rsidP="00191861">
      <w:pPr>
        <w:widowControl w:val="0"/>
        <w:autoSpaceDE w:val="0"/>
        <w:autoSpaceDN w:val="0"/>
        <w:adjustRightInd w:val="0"/>
        <w:ind w:firstLine="709"/>
        <w:jc w:val="both"/>
        <w:rPr>
          <w:sz w:val="28"/>
          <w:szCs w:val="28"/>
        </w:rPr>
      </w:pPr>
      <w:r w:rsidRPr="00467F9C">
        <w:rPr>
          <w:sz w:val="28"/>
          <w:szCs w:val="28"/>
        </w:rPr>
        <w:t>Информация о бюджетных кредитах, предоставленных муниципальным образованиям, отражена в таблице №14.</w:t>
      </w:r>
    </w:p>
    <w:p w:rsidR="00191861" w:rsidRPr="00467F9C" w:rsidRDefault="00191861" w:rsidP="00191861">
      <w:pPr>
        <w:widowControl w:val="0"/>
        <w:autoSpaceDE w:val="0"/>
        <w:autoSpaceDN w:val="0"/>
        <w:adjustRightInd w:val="0"/>
        <w:ind w:firstLine="709"/>
        <w:jc w:val="right"/>
        <w:rPr>
          <w:sz w:val="28"/>
          <w:szCs w:val="28"/>
        </w:rPr>
      </w:pPr>
      <w:r w:rsidRPr="00467F9C">
        <w:rPr>
          <w:sz w:val="28"/>
          <w:szCs w:val="28"/>
        </w:rPr>
        <w:t>Таблица №14</w:t>
      </w:r>
    </w:p>
    <w:p w:rsidR="00191861" w:rsidRPr="00467F9C" w:rsidRDefault="00191861" w:rsidP="00191861">
      <w:pPr>
        <w:widowControl w:val="0"/>
        <w:autoSpaceDE w:val="0"/>
        <w:autoSpaceDN w:val="0"/>
        <w:adjustRightInd w:val="0"/>
        <w:ind w:firstLine="709"/>
        <w:jc w:val="right"/>
        <w:rPr>
          <w:sz w:val="28"/>
          <w:szCs w:val="28"/>
        </w:rPr>
      </w:pPr>
      <w:r w:rsidRPr="00467F9C">
        <w:rPr>
          <w:sz w:val="28"/>
          <w:szCs w:val="28"/>
        </w:rPr>
        <w:t>(тыс. рублей)</w:t>
      </w:r>
    </w:p>
    <w:tbl>
      <w:tblPr>
        <w:tblW w:w="9640" w:type="dxa"/>
        <w:tblInd w:w="-5" w:type="dxa"/>
        <w:tblLook w:val="04A0" w:firstRow="1" w:lastRow="0" w:firstColumn="1" w:lastColumn="0" w:noHBand="0" w:noVBand="1"/>
      </w:tblPr>
      <w:tblGrid>
        <w:gridCol w:w="3315"/>
        <w:gridCol w:w="1647"/>
        <w:gridCol w:w="1559"/>
        <w:gridCol w:w="1560"/>
        <w:gridCol w:w="1559"/>
      </w:tblGrid>
      <w:tr w:rsidR="00467F9C" w:rsidRPr="00A43F90" w:rsidTr="00A43F90">
        <w:trPr>
          <w:trHeight w:val="524"/>
          <w:tblHeader/>
        </w:trPr>
        <w:tc>
          <w:tcPr>
            <w:tcW w:w="33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jc w:val="center"/>
              <w:rPr>
                <w:sz w:val="20"/>
                <w:szCs w:val="20"/>
              </w:rPr>
            </w:pPr>
            <w:r w:rsidRPr="00A43F90">
              <w:rPr>
                <w:sz w:val="20"/>
                <w:szCs w:val="20"/>
              </w:rPr>
              <w:t>Получатель бюджетного кредита (муниципальное образование)</w:t>
            </w:r>
          </w:p>
        </w:tc>
        <w:tc>
          <w:tcPr>
            <w:tcW w:w="1647" w:type="dxa"/>
            <w:tcBorders>
              <w:top w:val="single" w:sz="4" w:space="0" w:color="auto"/>
              <w:left w:val="nil"/>
              <w:bottom w:val="single" w:sz="4" w:space="0" w:color="auto"/>
              <w:right w:val="single" w:sz="4" w:space="0" w:color="auto"/>
            </w:tcBorders>
            <w:shd w:val="clear" w:color="000000" w:fill="FFFFFF"/>
            <w:vAlign w:val="center"/>
            <w:hideMark/>
          </w:tcPr>
          <w:p w:rsidR="00191861" w:rsidRPr="00A43F90" w:rsidRDefault="00191861" w:rsidP="00191861">
            <w:pPr>
              <w:jc w:val="center"/>
              <w:rPr>
                <w:sz w:val="20"/>
                <w:szCs w:val="20"/>
              </w:rPr>
            </w:pPr>
            <w:r w:rsidRPr="00A43F90">
              <w:rPr>
                <w:sz w:val="20"/>
                <w:szCs w:val="20"/>
              </w:rPr>
              <w:t>Остаток на 01.01.2022 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91861" w:rsidRPr="00A43F90" w:rsidRDefault="00191861" w:rsidP="00191861">
            <w:pPr>
              <w:jc w:val="center"/>
              <w:rPr>
                <w:sz w:val="20"/>
                <w:szCs w:val="20"/>
              </w:rPr>
            </w:pPr>
            <w:r w:rsidRPr="00A43F90">
              <w:rPr>
                <w:sz w:val="20"/>
                <w:szCs w:val="20"/>
              </w:rPr>
              <w:t>Предоставлено</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91861" w:rsidRPr="00A43F90" w:rsidRDefault="00191861" w:rsidP="00191861">
            <w:pPr>
              <w:jc w:val="center"/>
              <w:rPr>
                <w:sz w:val="20"/>
                <w:szCs w:val="20"/>
              </w:rPr>
            </w:pPr>
            <w:r w:rsidRPr="00A43F90">
              <w:rPr>
                <w:sz w:val="20"/>
                <w:szCs w:val="20"/>
              </w:rPr>
              <w:t>Погашено</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191861" w:rsidRPr="00A43F90" w:rsidRDefault="00191861" w:rsidP="00191861">
            <w:pPr>
              <w:jc w:val="center"/>
              <w:rPr>
                <w:sz w:val="20"/>
                <w:szCs w:val="20"/>
              </w:rPr>
            </w:pPr>
            <w:r w:rsidRPr="00A43F90">
              <w:rPr>
                <w:sz w:val="20"/>
                <w:szCs w:val="20"/>
              </w:rPr>
              <w:t>Остаток на 01.04.2022 г.</w:t>
            </w:r>
          </w:p>
        </w:tc>
      </w:tr>
      <w:tr w:rsidR="00467F9C" w:rsidRPr="00A43F90" w:rsidTr="00A43F90">
        <w:trPr>
          <w:trHeight w:val="232"/>
          <w:tblHeader/>
        </w:trPr>
        <w:tc>
          <w:tcPr>
            <w:tcW w:w="3315"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jc w:val="center"/>
              <w:rPr>
                <w:sz w:val="20"/>
                <w:szCs w:val="20"/>
              </w:rPr>
            </w:pPr>
            <w:r w:rsidRPr="00A43F90">
              <w:rPr>
                <w:sz w:val="20"/>
                <w:szCs w:val="20"/>
              </w:rPr>
              <w:t>1</w:t>
            </w:r>
          </w:p>
        </w:tc>
        <w:tc>
          <w:tcPr>
            <w:tcW w:w="1647"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center"/>
              <w:rPr>
                <w:sz w:val="20"/>
                <w:szCs w:val="20"/>
              </w:rPr>
            </w:pPr>
            <w:r w:rsidRPr="00A43F90">
              <w:rPr>
                <w:sz w:val="20"/>
                <w:szCs w:val="20"/>
              </w:rPr>
              <w:t>2</w:t>
            </w:r>
          </w:p>
        </w:tc>
        <w:tc>
          <w:tcPr>
            <w:tcW w:w="155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center"/>
              <w:rPr>
                <w:sz w:val="20"/>
                <w:szCs w:val="20"/>
              </w:rPr>
            </w:pPr>
            <w:r w:rsidRPr="00A43F90">
              <w:rPr>
                <w:sz w:val="20"/>
                <w:szCs w:val="20"/>
              </w:rPr>
              <w:t>3</w:t>
            </w:r>
          </w:p>
        </w:tc>
        <w:tc>
          <w:tcPr>
            <w:tcW w:w="1560"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center"/>
              <w:rPr>
                <w:sz w:val="20"/>
                <w:szCs w:val="20"/>
              </w:rPr>
            </w:pPr>
            <w:r w:rsidRPr="00A43F90">
              <w:rPr>
                <w:sz w:val="20"/>
                <w:szCs w:val="20"/>
              </w:rPr>
              <w:t>4</w:t>
            </w:r>
          </w:p>
        </w:tc>
        <w:tc>
          <w:tcPr>
            <w:tcW w:w="155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center"/>
              <w:rPr>
                <w:sz w:val="20"/>
                <w:szCs w:val="20"/>
              </w:rPr>
            </w:pPr>
            <w:r w:rsidRPr="00A43F90">
              <w:rPr>
                <w:sz w:val="20"/>
                <w:szCs w:val="20"/>
              </w:rPr>
              <w:t>5</w:t>
            </w:r>
          </w:p>
        </w:tc>
      </w:tr>
      <w:tr w:rsidR="00467F9C" w:rsidRPr="00A43F90" w:rsidTr="00A43F90">
        <w:trPr>
          <w:trHeight w:val="339"/>
          <w:tblHeader/>
        </w:trPr>
        <w:tc>
          <w:tcPr>
            <w:tcW w:w="3315"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rPr>
                <w:b/>
                <w:bCs/>
                <w:sz w:val="20"/>
                <w:szCs w:val="20"/>
              </w:rPr>
            </w:pPr>
            <w:r w:rsidRPr="00A43F90">
              <w:rPr>
                <w:b/>
                <w:bCs/>
                <w:sz w:val="20"/>
                <w:szCs w:val="20"/>
              </w:rPr>
              <w:t>Всего бюджетных кредитов</w:t>
            </w:r>
          </w:p>
        </w:tc>
        <w:tc>
          <w:tcPr>
            <w:tcW w:w="1647"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b/>
                <w:bCs/>
                <w:sz w:val="20"/>
                <w:szCs w:val="20"/>
              </w:rPr>
            </w:pPr>
            <w:r w:rsidRPr="00A43F90">
              <w:rPr>
                <w:b/>
                <w:bCs/>
                <w:sz w:val="20"/>
                <w:szCs w:val="20"/>
              </w:rPr>
              <w:t>214 500,0</w:t>
            </w:r>
          </w:p>
        </w:tc>
        <w:tc>
          <w:tcPr>
            <w:tcW w:w="155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b/>
                <w:bCs/>
                <w:sz w:val="20"/>
                <w:szCs w:val="20"/>
              </w:rPr>
            </w:pPr>
            <w:r w:rsidRPr="00A43F90">
              <w:rPr>
                <w:b/>
                <w:bCs/>
                <w:sz w:val="20"/>
                <w:szCs w:val="20"/>
              </w:rPr>
              <w:t>50 000,0</w:t>
            </w:r>
          </w:p>
        </w:tc>
        <w:tc>
          <w:tcPr>
            <w:tcW w:w="1560"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b/>
                <w:bCs/>
                <w:sz w:val="20"/>
                <w:szCs w:val="20"/>
              </w:rPr>
            </w:pPr>
            <w:r w:rsidRPr="00A43F90">
              <w:rPr>
                <w:b/>
                <w:bCs/>
                <w:sz w:val="20"/>
                <w:szCs w:val="20"/>
              </w:rPr>
              <w:t>37 000,0</w:t>
            </w:r>
          </w:p>
        </w:tc>
        <w:tc>
          <w:tcPr>
            <w:tcW w:w="155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b/>
                <w:bCs/>
                <w:sz w:val="20"/>
                <w:szCs w:val="20"/>
              </w:rPr>
            </w:pPr>
            <w:r w:rsidRPr="00A43F90">
              <w:rPr>
                <w:b/>
                <w:bCs/>
                <w:sz w:val="20"/>
                <w:szCs w:val="20"/>
              </w:rPr>
              <w:t>227 500,0</w:t>
            </w:r>
          </w:p>
        </w:tc>
      </w:tr>
      <w:tr w:rsidR="00467F9C" w:rsidRPr="00A43F90" w:rsidTr="00A43F90">
        <w:trPr>
          <w:trHeight w:val="20"/>
          <w:tblHeader/>
        </w:trPr>
        <w:tc>
          <w:tcPr>
            <w:tcW w:w="3315"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rPr>
                <w:sz w:val="20"/>
                <w:szCs w:val="20"/>
              </w:rPr>
            </w:pPr>
            <w:r w:rsidRPr="00A43F90">
              <w:rPr>
                <w:sz w:val="20"/>
                <w:szCs w:val="20"/>
              </w:rPr>
              <w:t>ГО Анадырь</w:t>
            </w:r>
          </w:p>
        </w:tc>
        <w:tc>
          <w:tcPr>
            <w:tcW w:w="1647"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 xml:space="preserve">53 430,0   </w:t>
            </w:r>
          </w:p>
        </w:tc>
        <w:tc>
          <w:tcPr>
            <w:tcW w:w="155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b/>
                <w:bCs/>
                <w:sz w:val="20"/>
                <w:szCs w:val="20"/>
              </w:rPr>
            </w:pPr>
            <w:r w:rsidRPr="00A43F90">
              <w:rPr>
                <w:b/>
                <w:bCs/>
                <w:sz w:val="20"/>
                <w:szCs w:val="20"/>
              </w:rPr>
              <w:t xml:space="preserve"> -    </w:t>
            </w:r>
          </w:p>
        </w:tc>
        <w:tc>
          <w:tcPr>
            <w:tcW w:w="1560"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 xml:space="preserve">53 430,0   </w:t>
            </w:r>
          </w:p>
        </w:tc>
      </w:tr>
      <w:tr w:rsidR="00467F9C" w:rsidRPr="00A43F90" w:rsidTr="00A43F90">
        <w:trPr>
          <w:trHeight w:val="20"/>
          <w:tblHeader/>
        </w:trPr>
        <w:tc>
          <w:tcPr>
            <w:tcW w:w="3315"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rPr>
                <w:sz w:val="20"/>
                <w:szCs w:val="20"/>
              </w:rPr>
            </w:pPr>
            <w:r w:rsidRPr="00A43F90">
              <w:rPr>
                <w:sz w:val="20"/>
                <w:szCs w:val="20"/>
              </w:rPr>
              <w:t xml:space="preserve">ГО </w:t>
            </w:r>
            <w:proofErr w:type="spellStart"/>
            <w:r w:rsidRPr="00A43F90">
              <w:rPr>
                <w:sz w:val="20"/>
                <w:szCs w:val="20"/>
              </w:rPr>
              <w:t>Певек</w:t>
            </w:r>
            <w:proofErr w:type="spellEnd"/>
          </w:p>
        </w:tc>
        <w:tc>
          <w:tcPr>
            <w:tcW w:w="1647"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 xml:space="preserve">97 000,0   </w:t>
            </w:r>
          </w:p>
        </w:tc>
        <w:tc>
          <w:tcPr>
            <w:tcW w:w="155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b/>
                <w:bCs/>
                <w:sz w:val="20"/>
                <w:szCs w:val="20"/>
              </w:rPr>
            </w:pPr>
            <w:r w:rsidRPr="00A43F90">
              <w:rPr>
                <w:b/>
                <w:bCs/>
                <w:sz w:val="20"/>
                <w:szCs w:val="20"/>
              </w:rPr>
              <w:t xml:space="preserve"> -    </w:t>
            </w:r>
          </w:p>
        </w:tc>
        <w:tc>
          <w:tcPr>
            <w:tcW w:w="1560"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 xml:space="preserve">97 000,0   </w:t>
            </w:r>
          </w:p>
        </w:tc>
      </w:tr>
      <w:tr w:rsidR="00467F9C" w:rsidRPr="00A43F90" w:rsidTr="00A43F90">
        <w:trPr>
          <w:trHeight w:val="20"/>
          <w:tblHeader/>
        </w:trPr>
        <w:tc>
          <w:tcPr>
            <w:tcW w:w="3315"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rPr>
                <w:sz w:val="20"/>
                <w:szCs w:val="20"/>
              </w:rPr>
            </w:pPr>
            <w:r w:rsidRPr="00A43F90">
              <w:rPr>
                <w:sz w:val="20"/>
                <w:szCs w:val="20"/>
              </w:rPr>
              <w:t>Анадырский МР</w:t>
            </w:r>
          </w:p>
        </w:tc>
        <w:tc>
          <w:tcPr>
            <w:tcW w:w="1647"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 xml:space="preserve">31 570,0   </w:t>
            </w:r>
          </w:p>
        </w:tc>
        <w:tc>
          <w:tcPr>
            <w:tcW w:w="155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b/>
                <w:bCs/>
                <w:sz w:val="20"/>
                <w:szCs w:val="20"/>
              </w:rPr>
            </w:pPr>
            <w:r w:rsidRPr="00A43F90">
              <w:rPr>
                <w:b/>
                <w:bCs/>
                <w:sz w:val="20"/>
                <w:szCs w:val="20"/>
              </w:rPr>
              <w:t xml:space="preserve"> -    </w:t>
            </w:r>
          </w:p>
        </w:tc>
        <w:tc>
          <w:tcPr>
            <w:tcW w:w="1560"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 xml:space="preserve">17 500,0   </w:t>
            </w:r>
          </w:p>
        </w:tc>
        <w:tc>
          <w:tcPr>
            <w:tcW w:w="155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 xml:space="preserve">14 070,0   </w:t>
            </w:r>
          </w:p>
        </w:tc>
      </w:tr>
      <w:tr w:rsidR="00467F9C" w:rsidRPr="00A43F90" w:rsidTr="00A43F90">
        <w:trPr>
          <w:trHeight w:val="20"/>
          <w:tblHeader/>
        </w:trPr>
        <w:tc>
          <w:tcPr>
            <w:tcW w:w="3315"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rPr>
                <w:sz w:val="20"/>
                <w:szCs w:val="20"/>
              </w:rPr>
            </w:pPr>
            <w:proofErr w:type="spellStart"/>
            <w:r w:rsidRPr="00A43F90">
              <w:rPr>
                <w:sz w:val="20"/>
                <w:szCs w:val="20"/>
              </w:rPr>
              <w:t>Билибинский</w:t>
            </w:r>
            <w:proofErr w:type="spellEnd"/>
            <w:r w:rsidRPr="00A43F90">
              <w:rPr>
                <w:sz w:val="20"/>
                <w:szCs w:val="20"/>
              </w:rPr>
              <w:t xml:space="preserve"> МР</w:t>
            </w:r>
          </w:p>
        </w:tc>
        <w:tc>
          <w:tcPr>
            <w:tcW w:w="1647"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 xml:space="preserve">50 000,0   </w:t>
            </w:r>
          </w:p>
        </w:tc>
        <w:tc>
          <w:tcPr>
            <w:tcW w:w="1560"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 xml:space="preserve">50 000,0   </w:t>
            </w:r>
          </w:p>
        </w:tc>
      </w:tr>
      <w:tr w:rsidR="00467F9C" w:rsidRPr="00A43F90" w:rsidTr="00A43F90">
        <w:trPr>
          <w:trHeight w:val="20"/>
          <w:tblHeader/>
        </w:trPr>
        <w:tc>
          <w:tcPr>
            <w:tcW w:w="3315"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rPr>
                <w:sz w:val="20"/>
                <w:szCs w:val="20"/>
              </w:rPr>
            </w:pPr>
            <w:r w:rsidRPr="00A43F90">
              <w:rPr>
                <w:sz w:val="20"/>
                <w:szCs w:val="20"/>
              </w:rPr>
              <w:t xml:space="preserve">ГО </w:t>
            </w:r>
            <w:proofErr w:type="spellStart"/>
            <w:r w:rsidRPr="00A43F90">
              <w:rPr>
                <w:sz w:val="20"/>
                <w:szCs w:val="20"/>
              </w:rPr>
              <w:t>Провиденский</w:t>
            </w:r>
            <w:proofErr w:type="spellEnd"/>
          </w:p>
        </w:tc>
        <w:tc>
          <w:tcPr>
            <w:tcW w:w="1647"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 xml:space="preserve">4 500,0   </w:t>
            </w:r>
          </w:p>
        </w:tc>
        <w:tc>
          <w:tcPr>
            <w:tcW w:w="155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b/>
                <w:bCs/>
                <w:sz w:val="20"/>
                <w:szCs w:val="20"/>
              </w:rPr>
            </w:pPr>
            <w:r w:rsidRPr="00A43F90">
              <w:rPr>
                <w:b/>
                <w:bCs/>
                <w:sz w:val="20"/>
                <w:szCs w:val="20"/>
              </w:rPr>
              <w:t xml:space="preserve"> -    </w:t>
            </w:r>
          </w:p>
        </w:tc>
        <w:tc>
          <w:tcPr>
            <w:tcW w:w="1560"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 xml:space="preserve">4 500,0   </w:t>
            </w:r>
          </w:p>
        </w:tc>
      </w:tr>
      <w:tr w:rsidR="00467F9C" w:rsidRPr="00A43F90" w:rsidTr="00A43F90">
        <w:trPr>
          <w:trHeight w:val="20"/>
          <w:tblHeader/>
        </w:trPr>
        <w:tc>
          <w:tcPr>
            <w:tcW w:w="3315"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rPr>
                <w:sz w:val="20"/>
                <w:szCs w:val="20"/>
              </w:rPr>
            </w:pPr>
            <w:r w:rsidRPr="00A43F90">
              <w:rPr>
                <w:sz w:val="20"/>
                <w:szCs w:val="20"/>
              </w:rPr>
              <w:t xml:space="preserve">ГО </w:t>
            </w:r>
            <w:proofErr w:type="spellStart"/>
            <w:r w:rsidRPr="00A43F90">
              <w:rPr>
                <w:sz w:val="20"/>
                <w:szCs w:val="20"/>
              </w:rPr>
              <w:t>Эгвекинот</w:t>
            </w:r>
            <w:proofErr w:type="spellEnd"/>
          </w:p>
        </w:tc>
        <w:tc>
          <w:tcPr>
            <w:tcW w:w="1647"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 xml:space="preserve">28 000,0   </w:t>
            </w:r>
          </w:p>
        </w:tc>
        <w:tc>
          <w:tcPr>
            <w:tcW w:w="155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b/>
                <w:bCs/>
                <w:sz w:val="20"/>
                <w:szCs w:val="20"/>
              </w:rPr>
            </w:pPr>
            <w:r w:rsidRPr="00A43F90">
              <w:rPr>
                <w:b/>
                <w:bCs/>
                <w:sz w:val="20"/>
                <w:szCs w:val="20"/>
              </w:rPr>
              <w:t xml:space="preserve"> -    </w:t>
            </w:r>
          </w:p>
        </w:tc>
        <w:tc>
          <w:tcPr>
            <w:tcW w:w="1560"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 xml:space="preserve">19 500,0   </w:t>
            </w:r>
          </w:p>
        </w:tc>
        <w:tc>
          <w:tcPr>
            <w:tcW w:w="155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 xml:space="preserve">8 500,0   </w:t>
            </w:r>
          </w:p>
        </w:tc>
      </w:tr>
    </w:tbl>
    <w:p w:rsidR="00191861" w:rsidRPr="00467F9C" w:rsidRDefault="00191861" w:rsidP="00191861">
      <w:pPr>
        <w:widowControl w:val="0"/>
        <w:autoSpaceDE w:val="0"/>
        <w:autoSpaceDN w:val="0"/>
        <w:adjustRightInd w:val="0"/>
        <w:spacing w:before="120"/>
        <w:ind w:right="-2" w:firstLine="709"/>
        <w:jc w:val="both"/>
        <w:rPr>
          <w:sz w:val="28"/>
          <w:szCs w:val="28"/>
        </w:rPr>
      </w:pPr>
      <w:r w:rsidRPr="00467F9C">
        <w:rPr>
          <w:sz w:val="28"/>
          <w:szCs w:val="28"/>
        </w:rPr>
        <w:t>Задолженность муниципалитетов перед окружным бюджетом по кредитам на 1 апреля 2022 года составила 227 500,0 тыс. рублей. Просроченная задолженность отсутствует. В отчетном периоде представлен бюджетный кредит на сумму 50 000,0 тыс. рублей (</w:t>
      </w:r>
      <w:proofErr w:type="spellStart"/>
      <w:r w:rsidRPr="00467F9C">
        <w:rPr>
          <w:sz w:val="28"/>
          <w:szCs w:val="28"/>
        </w:rPr>
        <w:t>Билибинский</w:t>
      </w:r>
      <w:proofErr w:type="spellEnd"/>
      <w:r w:rsidRPr="00467F9C">
        <w:rPr>
          <w:sz w:val="28"/>
          <w:szCs w:val="28"/>
        </w:rPr>
        <w:t xml:space="preserve"> муниципальный район).</w:t>
      </w:r>
    </w:p>
    <w:p w:rsidR="00191861" w:rsidRPr="00467F9C" w:rsidRDefault="00191861" w:rsidP="00191861">
      <w:pPr>
        <w:widowControl w:val="0"/>
        <w:autoSpaceDE w:val="0"/>
        <w:autoSpaceDN w:val="0"/>
        <w:adjustRightInd w:val="0"/>
        <w:ind w:right="-2" w:firstLine="709"/>
        <w:jc w:val="both"/>
        <w:rPr>
          <w:sz w:val="28"/>
          <w:szCs w:val="28"/>
        </w:rPr>
      </w:pPr>
      <w:r w:rsidRPr="00467F9C">
        <w:rPr>
          <w:sz w:val="28"/>
          <w:szCs w:val="28"/>
        </w:rPr>
        <w:t>Информация о бюджетных кредитах, выданных юридическим лицам, представлена в таблице №15.</w:t>
      </w:r>
    </w:p>
    <w:p w:rsidR="00191861" w:rsidRPr="00467F9C" w:rsidRDefault="00191861" w:rsidP="00191861">
      <w:pPr>
        <w:widowControl w:val="0"/>
        <w:autoSpaceDE w:val="0"/>
        <w:autoSpaceDN w:val="0"/>
        <w:adjustRightInd w:val="0"/>
        <w:ind w:firstLine="709"/>
        <w:jc w:val="right"/>
        <w:rPr>
          <w:sz w:val="28"/>
          <w:szCs w:val="28"/>
        </w:rPr>
      </w:pPr>
      <w:r w:rsidRPr="00467F9C">
        <w:rPr>
          <w:sz w:val="28"/>
          <w:szCs w:val="28"/>
        </w:rPr>
        <w:t>Таблица №15</w:t>
      </w:r>
    </w:p>
    <w:p w:rsidR="00191861" w:rsidRPr="00467F9C" w:rsidRDefault="00191861" w:rsidP="00191861">
      <w:pPr>
        <w:widowControl w:val="0"/>
        <w:autoSpaceDE w:val="0"/>
        <w:autoSpaceDN w:val="0"/>
        <w:adjustRightInd w:val="0"/>
        <w:ind w:firstLine="709"/>
        <w:jc w:val="right"/>
        <w:rPr>
          <w:sz w:val="28"/>
          <w:szCs w:val="28"/>
        </w:rPr>
      </w:pPr>
      <w:r w:rsidRPr="00467F9C">
        <w:rPr>
          <w:sz w:val="28"/>
          <w:szCs w:val="28"/>
        </w:rPr>
        <w:t>(тыс. рублей)</w:t>
      </w:r>
    </w:p>
    <w:tbl>
      <w:tblPr>
        <w:tblW w:w="9673" w:type="dxa"/>
        <w:tblInd w:w="-5" w:type="dxa"/>
        <w:tblLook w:val="04A0" w:firstRow="1" w:lastRow="0" w:firstColumn="1" w:lastColumn="0" w:noHBand="0" w:noVBand="1"/>
      </w:tblPr>
      <w:tblGrid>
        <w:gridCol w:w="3619"/>
        <w:gridCol w:w="1695"/>
        <w:gridCol w:w="1506"/>
        <w:gridCol w:w="1260"/>
        <w:gridCol w:w="1593"/>
      </w:tblGrid>
      <w:tr w:rsidR="00467F9C" w:rsidRPr="00A43F90" w:rsidTr="00A43F90">
        <w:trPr>
          <w:trHeight w:val="561"/>
          <w:tblHeader/>
        </w:trPr>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jc w:val="center"/>
              <w:rPr>
                <w:sz w:val="20"/>
                <w:szCs w:val="20"/>
              </w:rPr>
            </w:pPr>
            <w:r w:rsidRPr="00A43F90">
              <w:rPr>
                <w:sz w:val="20"/>
                <w:szCs w:val="20"/>
              </w:rPr>
              <w:t>Получатель бюджетного кредита (юридические лица)</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191861" w:rsidRPr="00A43F90" w:rsidRDefault="00191861" w:rsidP="00191861">
            <w:pPr>
              <w:jc w:val="center"/>
              <w:rPr>
                <w:sz w:val="20"/>
                <w:szCs w:val="20"/>
              </w:rPr>
            </w:pPr>
            <w:r w:rsidRPr="00A43F90">
              <w:rPr>
                <w:sz w:val="20"/>
                <w:szCs w:val="20"/>
              </w:rPr>
              <w:t>Остаток на 01.01.2022г.</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rsidR="00191861" w:rsidRPr="00A43F90" w:rsidRDefault="00191861" w:rsidP="00191861">
            <w:pPr>
              <w:jc w:val="center"/>
              <w:rPr>
                <w:sz w:val="20"/>
                <w:szCs w:val="20"/>
              </w:rPr>
            </w:pPr>
            <w:r w:rsidRPr="00A43F90">
              <w:rPr>
                <w:sz w:val="20"/>
                <w:szCs w:val="20"/>
              </w:rPr>
              <w:t>Предоставлено</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91861" w:rsidRPr="00A43F90" w:rsidRDefault="00191861" w:rsidP="00191861">
            <w:pPr>
              <w:jc w:val="center"/>
              <w:rPr>
                <w:sz w:val="20"/>
                <w:szCs w:val="20"/>
              </w:rPr>
            </w:pPr>
            <w:r w:rsidRPr="00A43F90">
              <w:rPr>
                <w:sz w:val="20"/>
                <w:szCs w:val="20"/>
              </w:rPr>
              <w:t>Погашено</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191861" w:rsidRPr="00A43F90" w:rsidRDefault="00191861" w:rsidP="00191861">
            <w:pPr>
              <w:jc w:val="center"/>
              <w:rPr>
                <w:sz w:val="20"/>
                <w:szCs w:val="20"/>
              </w:rPr>
            </w:pPr>
            <w:r w:rsidRPr="00A43F90">
              <w:rPr>
                <w:sz w:val="20"/>
                <w:szCs w:val="20"/>
              </w:rPr>
              <w:t>Остаток на 01.04.2022 г.</w:t>
            </w:r>
          </w:p>
        </w:tc>
      </w:tr>
      <w:tr w:rsidR="00467F9C" w:rsidRPr="00A43F90" w:rsidTr="00A43F90">
        <w:trPr>
          <w:trHeight w:val="20"/>
          <w:tblHeader/>
        </w:trPr>
        <w:tc>
          <w:tcPr>
            <w:tcW w:w="3619"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jc w:val="center"/>
              <w:rPr>
                <w:sz w:val="20"/>
                <w:szCs w:val="20"/>
              </w:rPr>
            </w:pPr>
            <w:r w:rsidRPr="00A43F90">
              <w:rPr>
                <w:sz w:val="20"/>
                <w:szCs w:val="20"/>
              </w:rPr>
              <w:t>1</w:t>
            </w:r>
          </w:p>
        </w:tc>
        <w:tc>
          <w:tcPr>
            <w:tcW w:w="1695"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center"/>
              <w:rPr>
                <w:sz w:val="20"/>
                <w:szCs w:val="20"/>
              </w:rPr>
            </w:pPr>
            <w:r w:rsidRPr="00A43F90">
              <w:rPr>
                <w:sz w:val="20"/>
                <w:szCs w:val="20"/>
              </w:rPr>
              <w:t>2</w:t>
            </w:r>
          </w:p>
        </w:tc>
        <w:tc>
          <w:tcPr>
            <w:tcW w:w="1506"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center"/>
              <w:rPr>
                <w:sz w:val="20"/>
                <w:szCs w:val="20"/>
              </w:rPr>
            </w:pPr>
            <w:r w:rsidRPr="00A43F90">
              <w:rPr>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center"/>
              <w:rPr>
                <w:sz w:val="20"/>
                <w:szCs w:val="20"/>
              </w:rPr>
            </w:pPr>
            <w:r w:rsidRPr="00A43F90">
              <w:rPr>
                <w:sz w:val="20"/>
                <w:szCs w:val="20"/>
              </w:rPr>
              <w:t>4</w:t>
            </w:r>
          </w:p>
        </w:tc>
        <w:tc>
          <w:tcPr>
            <w:tcW w:w="1593"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center"/>
              <w:rPr>
                <w:sz w:val="20"/>
                <w:szCs w:val="20"/>
              </w:rPr>
            </w:pPr>
            <w:r w:rsidRPr="00A43F90">
              <w:rPr>
                <w:sz w:val="20"/>
                <w:szCs w:val="20"/>
              </w:rPr>
              <w:t>5</w:t>
            </w:r>
          </w:p>
        </w:tc>
      </w:tr>
      <w:tr w:rsidR="00467F9C" w:rsidRPr="00A43F90" w:rsidTr="00A43F90">
        <w:trPr>
          <w:trHeight w:val="20"/>
          <w:tblHeader/>
        </w:trPr>
        <w:tc>
          <w:tcPr>
            <w:tcW w:w="3619"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rPr>
                <w:b/>
                <w:bCs/>
                <w:sz w:val="20"/>
                <w:szCs w:val="20"/>
              </w:rPr>
            </w:pPr>
            <w:r w:rsidRPr="00A43F90">
              <w:rPr>
                <w:b/>
                <w:bCs/>
                <w:sz w:val="20"/>
                <w:szCs w:val="20"/>
              </w:rPr>
              <w:t>Всего бюджетных кредитов</w:t>
            </w:r>
          </w:p>
        </w:tc>
        <w:tc>
          <w:tcPr>
            <w:tcW w:w="1695"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b/>
                <w:bCs/>
                <w:sz w:val="20"/>
                <w:szCs w:val="20"/>
              </w:rPr>
            </w:pPr>
            <w:r w:rsidRPr="00A43F90">
              <w:rPr>
                <w:b/>
                <w:bCs/>
                <w:sz w:val="20"/>
                <w:szCs w:val="20"/>
              </w:rPr>
              <w:t>723 773,0</w:t>
            </w:r>
          </w:p>
        </w:tc>
        <w:tc>
          <w:tcPr>
            <w:tcW w:w="1506"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b/>
                <w:bCs/>
                <w:sz w:val="20"/>
                <w:szCs w:val="20"/>
              </w:rPr>
            </w:pPr>
            <w:r w:rsidRPr="00A43F90">
              <w:rPr>
                <w:b/>
                <w:bCs/>
                <w:sz w:val="20"/>
                <w:szCs w:val="20"/>
              </w:rPr>
              <w:t>-</w:t>
            </w:r>
          </w:p>
        </w:tc>
        <w:tc>
          <w:tcPr>
            <w:tcW w:w="1260"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b/>
                <w:bCs/>
                <w:sz w:val="20"/>
                <w:szCs w:val="20"/>
              </w:rPr>
            </w:pPr>
            <w:r w:rsidRPr="00A43F90">
              <w:rPr>
                <w:b/>
                <w:bCs/>
                <w:sz w:val="20"/>
                <w:szCs w:val="20"/>
              </w:rPr>
              <w:t>26 500,0</w:t>
            </w:r>
          </w:p>
        </w:tc>
        <w:tc>
          <w:tcPr>
            <w:tcW w:w="1593"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b/>
                <w:bCs/>
                <w:sz w:val="20"/>
                <w:szCs w:val="20"/>
              </w:rPr>
            </w:pPr>
            <w:bookmarkStart w:id="70" w:name="RANGE!E3"/>
            <w:r w:rsidRPr="00A43F90">
              <w:rPr>
                <w:b/>
                <w:bCs/>
                <w:sz w:val="20"/>
                <w:szCs w:val="20"/>
              </w:rPr>
              <w:t>697 273,0</w:t>
            </w:r>
            <w:bookmarkEnd w:id="70"/>
          </w:p>
        </w:tc>
      </w:tr>
      <w:tr w:rsidR="00467F9C" w:rsidRPr="00A43F90" w:rsidTr="00A43F90">
        <w:trPr>
          <w:trHeight w:val="20"/>
          <w:tblHeader/>
        </w:trPr>
        <w:tc>
          <w:tcPr>
            <w:tcW w:w="3619"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rPr>
                <w:sz w:val="20"/>
                <w:szCs w:val="20"/>
              </w:rPr>
            </w:pPr>
            <w:r w:rsidRPr="00A43F90">
              <w:rPr>
                <w:sz w:val="20"/>
                <w:szCs w:val="20"/>
              </w:rPr>
              <w:t>ООО «Тепло-</w:t>
            </w:r>
            <w:proofErr w:type="spellStart"/>
            <w:r w:rsidRPr="00A43F90">
              <w:rPr>
                <w:sz w:val="20"/>
                <w:szCs w:val="20"/>
              </w:rPr>
              <w:t>Лорино</w:t>
            </w:r>
            <w:proofErr w:type="spellEnd"/>
            <w:r w:rsidRPr="00A43F90">
              <w:rPr>
                <w:sz w:val="20"/>
                <w:szCs w:val="20"/>
              </w:rPr>
              <w:t>»</w:t>
            </w:r>
          </w:p>
        </w:tc>
        <w:tc>
          <w:tcPr>
            <w:tcW w:w="1695"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46 522,3</w:t>
            </w:r>
          </w:p>
        </w:tc>
        <w:tc>
          <w:tcPr>
            <w:tcW w:w="1506"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w:t>
            </w:r>
          </w:p>
        </w:tc>
        <w:tc>
          <w:tcPr>
            <w:tcW w:w="1260"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w:t>
            </w:r>
          </w:p>
        </w:tc>
        <w:tc>
          <w:tcPr>
            <w:tcW w:w="1593"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46 522,3</w:t>
            </w:r>
          </w:p>
        </w:tc>
      </w:tr>
      <w:tr w:rsidR="00467F9C" w:rsidRPr="00A43F90" w:rsidTr="00A43F90">
        <w:trPr>
          <w:trHeight w:val="20"/>
          <w:tblHeader/>
        </w:trPr>
        <w:tc>
          <w:tcPr>
            <w:tcW w:w="3619"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rPr>
                <w:sz w:val="20"/>
                <w:szCs w:val="20"/>
              </w:rPr>
            </w:pPr>
            <w:r w:rsidRPr="00A43F90">
              <w:rPr>
                <w:sz w:val="20"/>
                <w:szCs w:val="20"/>
              </w:rPr>
              <w:t>ООО «Тепло-Уэлен»</w:t>
            </w:r>
          </w:p>
        </w:tc>
        <w:tc>
          <w:tcPr>
            <w:tcW w:w="1695"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14 500,0</w:t>
            </w:r>
          </w:p>
        </w:tc>
        <w:tc>
          <w:tcPr>
            <w:tcW w:w="1506"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w:t>
            </w:r>
          </w:p>
        </w:tc>
        <w:tc>
          <w:tcPr>
            <w:tcW w:w="1260"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1 500,0</w:t>
            </w:r>
          </w:p>
        </w:tc>
        <w:tc>
          <w:tcPr>
            <w:tcW w:w="1593"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13 000,0</w:t>
            </w:r>
          </w:p>
        </w:tc>
      </w:tr>
      <w:tr w:rsidR="00467F9C" w:rsidRPr="00A43F90" w:rsidTr="00A43F90">
        <w:trPr>
          <w:trHeight w:val="20"/>
          <w:tblHeader/>
        </w:trPr>
        <w:tc>
          <w:tcPr>
            <w:tcW w:w="3619"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rPr>
                <w:sz w:val="20"/>
                <w:szCs w:val="20"/>
              </w:rPr>
            </w:pPr>
            <w:r w:rsidRPr="00A43F90">
              <w:rPr>
                <w:sz w:val="20"/>
                <w:szCs w:val="20"/>
              </w:rPr>
              <w:t>ООО «Тепло-</w:t>
            </w:r>
            <w:proofErr w:type="spellStart"/>
            <w:r w:rsidRPr="00A43F90">
              <w:rPr>
                <w:sz w:val="20"/>
                <w:szCs w:val="20"/>
              </w:rPr>
              <w:t>Энурмино</w:t>
            </w:r>
            <w:proofErr w:type="spellEnd"/>
            <w:r w:rsidRPr="00A43F90">
              <w:rPr>
                <w:sz w:val="20"/>
                <w:szCs w:val="20"/>
              </w:rPr>
              <w:t>»</w:t>
            </w:r>
          </w:p>
        </w:tc>
        <w:tc>
          <w:tcPr>
            <w:tcW w:w="1695"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5 000,0</w:t>
            </w:r>
          </w:p>
        </w:tc>
        <w:tc>
          <w:tcPr>
            <w:tcW w:w="1506"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w:t>
            </w:r>
          </w:p>
        </w:tc>
        <w:tc>
          <w:tcPr>
            <w:tcW w:w="1260"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w:t>
            </w:r>
          </w:p>
        </w:tc>
        <w:tc>
          <w:tcPr>
            <w:tcW w:w="1593"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5 000,0</w:t>
            </w:r>
          </w:p>
        </w:tc>
      </w:tr>
      <w:tr w:rsidR="00467F9C" w:rsidRPr="00A43F90" w:rsidTr="00A43F90">
        <w:trPr>
          <w:trHeight w:val="20"/>
          <w:tblHeader/>
        </w:trPr>
        <w:tc>
          <w:tcPr>
            <w:tcW w:w="3619"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rPr>
                <w:sz w:val="20"/>
                <w:szCs w:val="20"/>
              </w:rPr>
            </w:pPr>
            <w:r w:rsidRPr="00A43F90">
              <w:rPr>
                <w:sz w:val="20"/>
                <w:szCs w:val="20"/>
              </w:rPr>
              <w:t>ООО «Тепло-</w:t>
            </w:r>
            <w:proofErr w:type="spellStart"/>
            <w:r w:rsidRPr="00A43F90">
              <w:rPr>
                <w:sz w:val="20"/>
                <w:szCs w:val="20"/>
              </w:rPr>
              <w:t>Рыркайпий</w:t>
            </w:r>
            <w:proofErr w:type="spellEnd"/>
            <w:r w:rsidRPr="00A43F90">
              <w:rPr>
                <w:sz w:val="20"/>
                <w:szCs w:val="20"/>
              </w:rPr>
              <w:t>»</w:t>
            </w:r>
          </w:p>
        </w:tc>
        <w:tc>
          <w:tcPr>
            <w:tcW w:w="1695"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30 000,0</w:t>
            </w:r>
          </w:p>
        </w:tc>
        <w:tc>
          <w:tcPr>
            <w:tcW w:w="1506"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w:t>
            </w:r>
          </w:p>
        </w:tc>
        <w:tc>
          <w:tcPr>
            <w:tcW w:w="1260"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25 000,0</w:t>
            </w:r>
          </w:p>
        </w:tc>
        <w:tc>
          <w:tcPr>
            <w:tcW w:w="1593"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5 000,0</w:t>
            </w:r>
          </w:p>
        </w:tc>
      </w:tr>
      <w:tr w:rsidR="00467F9C" w:rsidRPr="00A43F90" w:rsidTr="00A43F90">
        <w:trPr>
          <w:trHeight w:val="20"/>
          <w:tblHeader/>
        </w:trPr>
        <w:tc>
          <w:tcPr>
            <w:tcW w:w="3619"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rPr>
                <w:sz w:val="20"/>
                <w:szCs w:val="20"/>
              </w:rPr>
            </w:pPr>
            <w:r w:rsidRPr="00A43F90">
              <w:rPr>
                <w:sz w:val="20"/>
                <w:szCs w:val="20"/>
              </w:rPr>
              <w:t>НАО «ЧТК»</w:t>
            </w:r>
          </w:p>
        </w:tc>
        <w:tc>
          <w:tcPr>
            <w:tcW w:w="1695"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627 750,7</w:t>
            </w:r>
          </w:p>
        </w:tc>
        <w:tc>
          <w:tcPr>
            <w:tcW w:w="1506"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w:t>
            </w:r>
          </w:p>
        </w:tc>
        <w:tc>
          <w:tcPr>
            <w:tcW w:w="1260"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w:t>
            </w:r>
          </w:p>
        </w:tc>
        <w:tc>
          <w:tcPr>
            <w:tcW w:w="1593"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627 750,7</w:t>
            </w:r>
          </w:p>
        </w:tc>
      </w:tr>
    </w:tbl>
    <w:p w:rsidR="00191861" w:rsidRPr="00467F9C" w:rsidRDefault="00191861" w:rsidP="00191861">
      <w:pPr>
        <w:widowControl w:val="0"/>
        <w:autoSpaceDE w:val="0"/>
        <w:autoSpaceDN w:val="0"/>
        <w:adjustRightInd w:val="0"/>
        <w:spacing w:before="120"/>
        <w:ind w:right="-2" w:firstLine="709"/>
        <w:jc w:val="both"/>
        <w:rPr>
          <w:sz w:val="28"/>
          <w:szCs w:val="28"/>
        </w:rPr>
      </w:pPr>
      <w:r w:rsidRPr="00467F9C">
        <w:rPr>
          <w:sz w:val="28"/>
          <w:szCs w:val="28"/>
        </w:rPr>
        <w:t>Задолженность юридических лиц перед окружным бюджетом по кредитам на 1 апреля 2022 года составила 697 273,0 тыс. рублей. В отчетном периоде бюджетные кредиты юридическим лицам не предоставлялись.</w:t>
      </w:r>
    </w:p>
    <w:p w:rsidR="00191861" w:rsidRPr="00467F9C" w:rsidRDefault="00191861" w:rsidP="00191861">
      <w:pPr>
        <w:autoSpaceDE w:val="0"/>
        <w:autoSpaceDN w:val="0"/>
        <w:adjustRightInd w:val="0"/>
        <w:spacing w:before="240" w:after="120"/>
        <w:ind w:firstLine="709"/>
        <w:jc w:val="center"/>
        <w:rPr>
          <w:rFonts w:eastAsia="Calibri"/>
          <w:b/>
          <w:sz w:val="28"/>
          <w:szCs w:val="28"/>
          <w:lang w:eastAsia="en-US"/>
        </w:rPr>
      </w:pPr>
      <w:r w:rsidRPr="00467F9C">
        <w:rPr>
          <w:rFonts w:eastAsia="Calibri"/>
          <w:b/>
          <w:sz w:val="28"/>
          <w:szCs w:val="28"/>
          <w:lang w:eastAsia="en-US"/>
        </w:rPr>
        <w:t>Государственный долг Чукотского автономного округа</w:t>
      </w:r>
    </w:p>
    <w:p w:rsidR="00191861" w:rsidRPr="00467F9C" w:rsidRDefault="00191861" w:rsidP="00191861">
      <w:pPr>
        <w:autoSpaceDE w:val="0"/>
        <w:autoSpaceDN w:val="0"/>
        <w:adjustRightInd w:val="0"/>
        <w:ind w:firstLine="709"/>
        <w:jc w:val="both"/>
        <w:rPr>
          <w:sz w:val="28"/>
          <w:szCs w:val="28"/>
        </w:rPr>
      </w:pPr>
      <w:r w:rsidRPr="00467F9C">
        <w:rPr>
          <w:sz w:val="28"/>
          <w:szCs w:val="28"/>
        </w:rPr>
        <w:t xml:space="preserve">Верхний предел государственного внутреннего долга Чукотского автономного округа на 1 января 2023 года установлен Законом об окружном бюджете в сумме 8 478 097,3 тыс. рублей, в том числе по государственным гарантиям Чукотского автономного округа в сумме 1 750 000,0 тыс. рублей. </w:t>
      </w:r>
    </w:p>
    <w:p w:rsidR="00191861" w:rsidRPr="00467F9C" w:rsidRDefault="00191861" w:rsidP="00191861">
      <w:pPr>
        <w:ind w:firstLine="709"/>
        <w:jc w:val="both"/>
        <w:rPr>
          <w:sz w:val="28"/>
          <w:szCs w:val="28"/>
        </w:rPr>
      </w:pPr>
      <w:r w:rsidRPr="00467F9C">
        <w:rPr>
          <w:sz w:val="28"/>
          <w:szCs w:val="28"/>
        </w:rPr>
        <w:t>Согласно данным государственной долговой книги Чукотского автономного округа, государственный долг Чукотского автономного округа на 1 апреля 2022 года составил 12 591 727,5 тыс. рублей, в том числе:</w:t>
      </w:r>
    </w:p>
    <w:p w:rsidR="00191861" w:rsidRPr="00467F9C" w:rsidRDefault="00191861" w:rsidP="00191861">
      <w:pPr>
        <w:ind w:firstLine="709"/>
        <w:jc w:val="both"/>
        <w:rPr>
          <w:sz w:val="28"/>
          <w:szCs w:val="28"/>
        </w:rPr>
      </w:pPr>
      <w:r w:rsidRPr="00467F9C">
        <w:rPr>
          <w:sz w:val="28"/>
          <w:szCs w:val="28"/>
        </w:rPr>
        <w:t>- 8 199 727,5 тыс. рублей – основной долг по кредитам, полученным из федерального бюджета;</w:t>
      </w:r>
    </w:p>
    <w:p w:rsidR="00191861" w:rsidRPr="00467F9C" w:rsidRDefault="00191861" w:rsidP="00191861">
      <w:pPr>
        <w:ind w:firstLine="709"/>
        <w:jc w:val="both"/>
        <w:rPr>
          <w:sz w:val="28"/>
          <w:szCs w:val="28"/>
        </w:rPr>
      </w:pPr>
      <w:r w:rsidRPr="00467F9C">
        <w:rPr>
          <w:sz w:val="28"/>
          <w:szCs w:val="28"/>
        </w:rPr>
        <w:lastRenderedPageBreak/>
        <w:t>- 4 392 000,0 тыс. рублей – обязательства на обеспечение государственных гарантий, предоставленных Правительством Чукотского автономного округа.</w:t>
      </w:r>
    </w:p>
    <w:p w:rsidR="00191861" w:rsidRPr="00467F9C" w:rsidRDefault="00191861" w:rsidP="00191861">
      <w:pPr>
        <w:ind w:firstLine="709"/>
        <w:jc w:val="both"/>
        <w:rPr>
          <w:sz w:val="28"/>
          <w:szCs w:val="28"/>
        </w:rPr>
      </w:pPr>
      <w:r w:rsidRPr="00467F9C">
        <w:rPr>
          <w:sz w:val="28"/>
          <w:szCs w:val="28"/>
        </w:rPr>
        <w:t xml:space="preserve">Объем долговых обязательств Чукотского автономного округа </w:t>
      </w:r>
      <w:r w:rsidRPr="00467F9C">
        <w:rPr>
          <w:sz w:val="28"/>
          <w:szCs w:val="28"/>
        </w:rPr>
        <w:br/>
        <w:t>в анализируемом периоде не изменился и по состоянию на 1 апреля 2022 года составил 12 591 727,5 тыс. рублей. Просроченная задолженность по бюджетным кредитам, полученным из федерального бюджета, отсутствует.</w:t>
      </w:r>
    </w:p>
    <w:p w:rsidR="00191861" w:rsidRPr="00467F9C" w:rsidRDefault="00191861" w:rsidP="00191861">
      <w:pPr>
        <w:ind w:firstLine="709"/>
        <w:jc w:val="both"/>
        <w:rPr>
          <w:sz w:val="28"/>
          <w:szCs w:val="28"/>
        </w:rPr>
      </w:pPr>
      <w:r w:rsidRPr="00467F9C">
        <w:rPr>
          <w:sz w:val="28"/>
          <w:szCs w:val="28"/>
        </w:rPr>
        <w:t>Расходы на обслуживание государственного долга Чукотского автономного округа в анализируемом периоде не осуществлялись.</w:t>
      </w:r>
    </w:p>
    <w:p w:rsidR="00191861" w:rsidRPr="00467F9C" w:rsidRDefault="00191861" w:rsidP="00191861">
      <w:pPr>
        <w:ind w:firstLine="709"/>
        <w:jc w:val="both"/>
        <w:rPr>
          <w:sz w:val="28"/>
          <w:szCs w:val="28"/>
        </w:rPr>
      </w:pPr>
      <w:r w:rsidRPr="00467F9C">
        <w:rPr>
          <w:sz w:val="28"/>
          <w:szCs w:val="28"/>
        </w:rPr>
        <w:t xml:space="preserve">Информация о государственных гарантиях, предоставленных Правительством Чукотского автономного округа в 1 квартале 2022 года </w:t>
      </w:r>
      <w:r w:rsidRPr="00467F9C">
        <w:rPr>
          <w:rFonts w:eastAsia="Calibri"/>
          <w:sz w:val="28"/>
          <w:szCs w:val="28"/>
        </w:rPr>
        <w:t xml:space="preserve">для обеспечения исполнения обязательств по кредитам, отражена </w:t>
      </w:r>
      <w:r w:rsidRPr="00467F9C">
        <w:rPr>
          <w:sz w:val="28"/>
          <w:szCs w:val="28"/>
        </w:rPr>
        <w:t>в таблице №16.</w:t>
      </w:r>
    </w:p>
    <w:p w:rsidR="00191861" w:rsidRPr="00467F9C" w:rsidRDefault="00191861" w:rsidP="00191861">
      <w:pPr>
        <w:ind w:firstLine="709"/>
        <w:jc w:val="right"/>
        <w:rPr>
          <w:sz w:val="28"/>
          <w:szCs w:val="28"/>
        </w:rPr>
      </w:pPr>
      <w:r w:rsidRPr="00467F9C">
        <w:rPr>
          <w:sz w:val="28"/>
          <w:szCs w:val="28"/>
        </w:rPr>
        <w:t>Таблица №16</w:t>
      </w:r>
    </w:p>
    <w:p w:rsidR="00191861" w:rsidRPr="00467F9C" w:rsidRDefault="00191861" w:rsidP="00191861">
      <w:pPr>
        <w:ind w:firstLine="709"/>
        <w:jc w:val="right"/>
        <w:rPr>
          <w:sz w:val="28"/>
          <w:szCs w:val="28"/>
        </w:rPr>
      </w:pPr>
      <w:r w:rsidRPr="00467F9C">
        <w:rPr>
          <w:sz w:val="28"/>
          <w:szCs w:val="28"/>
        </w:rPr>
        <w:t>(тыс. рублей)</w:t>
      </w:r>
    </w:p>
    <w:tbl>
      <w:tblPr>
        <w:tblW w:w="9639" w:type="dxa"/>
        <w:tblInd w:w="-5" w:type="dxa"/>
        <w:tblLook w:val="04A0" w:firstRow="1" w:lastRow="0" w:firstColumn="1" w:lastColumn="0" w:noHBand="0" w:noVBand="1"/>
      </w:tblPr>
      <w:tblGrid>
        <w:gridCol w:w="3402"/>
        <w:gridCol w:w="1560"/>
        <w:gridCol w:w="1275"/>
        <w:gridCol w:w="1843"/>
        <w:gridCol w:w="1559"/>
      </w:tblGrid>
      <w:tr w:rsidR="00467F9C" w:rsidRPr="00A43F90" w:rsidTr="00A43F90">
        <w:trPr>
          <w:trHeight w:val="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jc w:val="center"/>
              <w:rPr>
                <w:sz w:val="20"/>
                <w:szCs w:val="20"/>
              </w:rPr>
            </w:pPr>
            <w:r w:rsidRPr="00A43F90">
              <w:rPr>
                <w:sz w:val="20"/>
                <w:szCs w:val="20"/>
              </w:rPr>
              <w:t>Наименование заемщика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91861" w:rsidRPr="00A43F90" w:rsidRDefault="00191861" w:rsidP="00191861">
            <w:pPr>
              <w:jc w:val="center"/>
              <w:rPr>
                <w:sz w:val="20"/>
                <w:szCs w:val="20"/>
              </w:rPr>
            </w:pPr>
            <w:r w:rsidRPr="00A43F90">
              <w:rPr>
                <w:sz w:val="20"/>
                <w:szCs w:val="20"/>
              </w:rPr>
              <w:t>Остаток на 01.01.2022 г.</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91861" w:rsidRPr="00A43F90" w:rsidRDefault="00191861" w:rsidP="00191861">
            <w:pPr>
              <w:jc w:val="center"/>
              <w:rPr>
                <w:sz w:val="20"/>
                <w:szCs w:val="20"/>
              </w:rPr>
            </w:pPr>
            <w:r w:rsidRPr="00A43F90">
              <w:rPr>
                <w:sz w:val="20"/>
                <w:szCs w:val="20"/>
              </w:rPr>
              <w:t>Выдано</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91861" w:rsidRPr="00A43F90" w:rsidRDefault="00191861" w:rsidP="00191861">
            <w:pPr>
              <w:jc w:val="center"/>
              <w:rPr>
                <w:sz w:val="20"/>
                <w:szCs w:val="20"/>
              </w:rPr>
            </w:pPr>
            <w:r w:rsidRPr="00A43F90">
              <w:rPr>
                <w:sz w:val="20"/>
                <w:szCs w:val="20"/>
              </w:rPr>
              <w:t>Погашено/списано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91861" w:rsidRPr="00A43F90" w:rsidRDefault="00191861" w:rsidP="00191861">
            <w:pPr>
              <w:jc w:val="center"/>
              <w:rPr>
                <w:sz w:val="20"/>
                <w:szCs w:val="20"/>
              </w:rPr>
            </w:pPr>
            <w:r w:rsidRPr="00A43F90">
              <w:rPr>
                <w:sz w:val="20"/>
                <w:szCs w:val="20"/>
              </w:rPr>
              <w:t>Остаток на 01.04.2022 г.</w:t>
            </w:r>
          </w:p>
        </w:tc>
      </w:tr>
      <w:tr w:rsidR="00467F9C" w:rsidRPr="00A43F90" w:rsidTr="00A43F90">
        <w:trPr>
          <w:trHeight w:val="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jc w:val="center"/>
              <w:rPr>
                <w:sz w:val="20"/>
                <w:szCs w:val="20"/>
              </w:rPr>
            </w:pPr>
            <w:r w:rsidRPr="00A43F90">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rsidR="00191861" w:rsidRPr="00A43F90" w:rsidRDefault="00191861" w:rsidP="00191861">
            <w:pPr>
              <w:jc w:val="center"/>
              <w:rPr>
                <w:sz w:val="20"/>
                <w:szCs w:val="20"/>
              </w:rPr>
            </w:pPr>
            <w:r w:rsidRPr="00A43F90">
              <w:rPr>
                <w:sz w:val="20"/>
                <w:szCs w:val="20"/>
              </w:rPr>
              <w:t>3</w:t>
            </w:r>
          </w:p>
        </w:tc>
        <w:tc>
          <w:tcPr>
            <w:tcW w:w="1275"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center"/>
              <w:rPr>
                <w:sz w:val="20"/>
                <w:szCs w:val="20"/>
              </w:rPr>
            </w:pPr>
            <w:r w:rsidRPr="00A43F90">
              <w:rPr>
                <w:sz w:val="20"/>
                <w:szCs w:val="20"/>
              </w:rPr>
              <w:t>4</w:t>
            </w:r>
          </w:p>
        </w:tc>
        <w:tc>
          <w:tcPr>
            <w:tcW w:w="1843"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center"/>
              <w:rPr>
                <w:sz w:val="20"/>
                <w:szCs w:val="20"/>
              </w:rPr>
            </w:pPr>
            <w:r w:rsidRPr="00A43F90">
              <w:rPr>
                <w:sz w:val="20"/>
                <w:szCs w:val="20"/>
              </w:rPr>
              <w:t>5</w:t>
            </w:r>
          </w:p>
        </w:tc>
        <w:tc>
          <w:tcPr>
            <w:tcW w:w="155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center"/>
              <w:rPr>
                <w:sz w:val="20"/>
                <w:szCs w:val="20"/>
              </w:rPr>
            </w:pPr>
            <w:r w:rsidRPr="00A43F90">
              <w:rPr>
                <w:sz w:val="20"/>
                <w:szCs w:val="20"/>
              </w:rPr>
              <w:t>6</w:t>
            </w:r>
          </w:p>
        </w:tc>
      </w:tr>
      <w:tr w:rsidR="00467F9C" w:rsidRPr="00A43F90" w:rsidTr="00A43F90">
        <w:trPr>
          <w:trHeight w:val="272"/>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rPr>
                <w:b/>
                <w:bCs/>
                <w:sz w:val="20"/>
                <w:szCs w:val="20"/>
              </w:rPr>
            </w:pPr>
            <w:r w:rsidRPr="00A43F90">
              <w:rPr>
                <w:b/>
                <w:bCs/>
                <w:sz w:val="20"/>
                <w:szCs w:val="20"/>
              </w:rPr>
              <w:t>Всего</w:t>
            </w:r>
          </w:p>
        </w:tc>
        <w:tc>
          <w:tcPr>
            <w:tcW w:w="1560"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b/>
                <w:bCs/>
                <w:sz w:val="20"/>
                <w:szCs w:val="20"/>
              </w:rPr>
            </w:pPr>
            <w:r w:rsidRPr="00A43F90">
              <w:rPr>
                <w:b/>
                <w:bCs/>
                <w:sz w:val="20"/>
                <w:szCs w:val="20"/>
              </w:rPr>
              <w:t>1 750 000,0</w:t>
            </w:r>
          </w:p>
        </w:tc>
        <w:tc>
          <w:tcPr>
            <w:tcW w:w="1275"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b/>
                <w:bCs/>
                <w:sz w:val="20"/>
                <w:szCs w:val="20"/>
              </w:rPr>
            </w:pPr>
            <w:r w:rsidRPr="00A43F90">
              <w:rPr>
                <w:b/>
                <w:bCs/>
                <w:sz w:val="20"/>
                <w:szCs w:val="20"/>
              </w:rPr>
              <w:t>2 700 000,0</w:t>
            </w:r>
          </w:p>
        </w:tc>
        <w:tc>
          <w:tcPr>
            <w:tcW w:w="1843"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b/>
                <w:bCs/>
                <w:sz w:val="20"/>
                <w:szCs w:val="20"/>
              </w:rPr>
            </w:pPr>
            <w:r w:rsidRPr="00A43F90">
              <w:rPr>
                <w:b/>
                <w:bCs/>
                <w:sz w:val="20"/>
                <w:szCs w:val="20"/>
              </w:rPr>
              <w:t>58 000,0</w:t>
            </w:r>
          </w:p>
        </w:tc>
        <w:tc>
          <w:tcPr>
            <w:tcW w:w="155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b/>
                <w:bCs/>
                <w:sz w:val="20"/>
                <w:szCs w:val="20"/>
              </w:rPr>
            </w:pPr>
            <w:r w:rsidRPr="00A43F90">
              <w:rPr>
                <w:b/>
                <w:bCs/>
                <w:sz w:val="20"/>
                <w:szCs w:val="20"/>
              </w:rPr>
              <w:t>4 392 000,0</w:t>
            </w:r>
          </w:p>
        </w:tc>
      </w:tr>
      <w:tr w:rsidR="00467F9C" w:rsidRPr="00A43F90" w:rsidTr="00A43F90">
        <w:trPr>
          <w:trHeight w:val="261"/>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rPr>
                <w:sz w:val="20"/>
                <w:szCs w:val="20"/>
              </w:rPr>
            </w:pPr>
            <w:r w:rsidRPr="00A43F90">
              <w:rPr>
                <w:sz w:val="20"/>
                <w:szCs w:val="20"/>
              </w:rPr>
              <w:t>НАО «ЧТК»</w:t>
            </w:r>
          </w:p>
        </w:tc>
        <w:tc>
          <w:tcPr>
            <w:tcW w:w="1560"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1 750 000,0</w:t>
            </w:r>
          </w:p>
        </w:tc>
        <w:tc>
          <w:tcPr>
            <w:tcW w:w="1275"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w:t>
            </w:r>
          </w:p>
        </w:tc>
        <w:tc>
          <w:tcPr>
            <w:tcW w:w="155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1 750 000,0</w:t>
            </w:r>
          </w:p>
        </w:tc>
      </w:tr>
      <w:tr w:rsidR="00467F9C" w:rsidRPr="00A43F90" w:rsidTr="00A43F90">
        <w:trPr>
          <w:trHeight w:val="279"/>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rPr>
                <w:sz w:val="20"/>
                <w:szCs w:val="20"/>
              </w:rPr>
            </w:pPr>
            <w:r w:rsidRPr="00A43F90">
              <w:rPr>
                <w:sz w:val="20"/>
                <w:szCs w:val="20"/>
              </w:rPr>
              <w:t xml:space="preserve">ООО «ТЦ </w:t>
            </w:r>
            <w:proofErr w:type="spellStart"/>
            <w:r w:rsidRPr="00A43F90">
              <w:rPr>
                <w:sz w:val="20"/>
                <w:szCs w:val="20"/>
              </w:rPr>
              <w:t>Новомариинский</w:t>
            </w:r>
            <w:proofErr w:type="spellEnd"/>
            <w:r w:rsidRPr="00A43F90">
              <w:rPr>
                <w:sz w:val="20"/>
                <w:szCs w:val="20"/>
              </w:rPr>
              <w:t>»</w:t>
            </w:r>
          </w:p>
        </w:tc>
        <w:tc>
          <w:tcPr>
            <w:tcW w:w="1560"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w:t>
            </w:r>
          </w:p>
        </w:tc>
        <w:tc>
          <w:tcPr>
            <w:tcW w:w="1275"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100 000,0</w:t>
            </w:r>
          </w:p>
        </w:tc>
        <w:tc>
          <w:tcPr>
            <w:tcW w:w="1843"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58 000,0</w:t>
            </w:r>
          </w:p>
        </w:tc>
        <w:tc>
          <w:tcPr>
            <w:tcW w:w="155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42 000,0</w:t>
            </w:r>
          </w:p>
        </w:tc>
      </w:tr>
      <w:tr w:rsidR="00467F9C" w:rsidRPr="00A43F90" w:rsidTr="00A43F90">
        <w:trPr>
          <w:trHeight w:val="28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rPr>
                <w:sz w:val="20"/>
                <w:szCs w:val="20"/>
              </w:rPr>
            </w:pPr>
            <w:r w:rsidRPr="00A43F90">
              <w:rPr>
                <w:sz w:val="20"/>
                <w:szCs w:val="20"/>
              </w:rPr>
              <w:t>АО «</w:t>
            </w:r>
            <w:proofErr w:type="spellStart"/>
            <w:r w:rsidRPr="00A43F90">
              <w:rPr>
                <w:sz w:val="20"/>
                <w:szCs w:val="20"/>
              </w:rPr>
              <w:t>Чукотснаб</w:t>
            </w:r>
            <w:proofErr w:type="spellEnd"/>
            <w:r w:rsidRPr="00A43F90">
              <w:rPr>
                <w:sz w:val="20"/>
                <w:szCs w:val="20"/>
              </w:rPr>
              <w:t>»</w:t>
            </w:r>
          </w:p>
        </w:tc>
        <w:tc>
          <w:tcPr>
            <w:tcW w:w="1560"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w:t>
            </w:r>
          </w:p>
        </w:tc>
        <w:tc>
          <w:tcPr>
            <w:tcW w:w="1275"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2 600 000,0</w:t>
            </w:r>
          </w:p>
        </w:tc>
        <w:tc>
          <w:tcPr>
            <w:tcW w:w="1843"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jc w:val="right"/>
              <w:rPr>
                <w:sz w:val="20"/>
                <w:szCs w:val="20"/>
              </w:rPr>
            </w:pPr>
            <w:r w:rsidRPr="00A43F90">
              <w:rPr>
                <w:sz w:val="20"/>
                <w:szCs w:val="20"/>
              </w:rPr>
              <w:t>2 600 000,0</w:t>
            </w:r>
          </w:p>
        </w:tc>
      </w:tr>
    </w:tbl>
    <w:p w:rsidR="00191861" w:rsidRPr="00467F9C" w:rsidRDefault="00191861" w:rsidP="00191861">
      <w:pPr>
        <w:spacing w:before="120"/>
        <w:ind w:firstLine="709"/>
        <w:jc w:val="both"/>
        <w:rPr>
          <w:rFonts w:eastAsia="Calibri"/>
          <w:sz w:val="22"/>
          <w:szCs w:val="22"/>
          <w:lang w:eastAsia="en-US"/>
        </w:rPr>
      </w:pPr>
      <w:r w:rsidRPr="00467F9C">
        <w:rPr>
          <w:sz w:val="28"/>
          <w:szCs w:val="28"/>
        </w:rPr>
        <w:t>В отчетном периоде выдано государственных гарантий на сумму 2 700 000,0 тыс. рублей, погашено 58 000,0 тыс. рублей. Размер предоставленных государственных гарантий по состоянию на 1 апреля текущего года составил 4 392 000,0 тыс. рублей.</w:t>
      </w:r>
    </w:p>
    <w:p w:rsidR="00191861" w:rsidRPr="00467F9C" w:rsidRDefault="00191861" w:rsidP="00191861">
      <w:pPr>
        <w:spacing w:before="240" w:after="120"/>
        <w:jc w:val="center"/>
        <w:rPr>
          <w:b/>
          <w:sz w:val="28"/>
          <w:szCs w:val="28"/>
        </w:rPr>
      </w:pPr>
      <w:r w:rsidRPr="00467F9C">
        <w:rPr>
          <w:b/>
          <w:sz w:val="28"/>
          <w:szCs w:val="28"/>
        </w:rPr>
        <w:t>Выводы</w:t>
      </w:r>
    </w:p>
    <w:p w:rsidR="00191861" w:rsidRPr="00467F9C" w:rsidRDefault="00191861" w:rsidP="00191861">
      <w:pPr>
        <w:tabs>
          <w:tab w:val="left" w:pos="851"/>
        </w:tabs>
        <w:ind w:firstLine="709"/>
        <w:jc w:val="both"/>
        <w:rPr>
          <w:sz w:val="28"/>
          <w:szCs w:val="28"/>
        </w:rPr>
      </w:pPr>
      <w:r w:rsidRPr="00467F9C">
        <w:rPr>
          <w:sz w:val="28"/>
          <w:szCs w:val="28"/>
        </w:rPr>
        <w:t>1. Социально-экономическое положение Чукотского автономного округа в отчетном периоде в сравнении с аналогичным периодом прошлого года характеризуется снижением индекса промышленного производства. Объем отгруженных товаров собственного производства, выполненных работ и услуг собственными силами за январь-март 2022 года составил 27 429,3 млн рублей. По всем видам товаров и услуг отмечается рост индекса цен.</w:t>
      </w:r>
      <w:r w:rsidRPr="00467F9C">
        <w:rPr>
          <w:b/>
          <w:sz w:val="28"/>
          <w:szCs w:val="28"/>
        </w:rPr>
        <w:t xml:space="preserve"> </w:t>
      </w:r>
      <w:r w:rsidRPr="00467F9C">
        <w:rPr>
          <w:sz w:val="28"/>
          <w:szCs w:val="28"/>
        </w:rPr>
        <w:t>Среднемесячная начисленная заработная плата</w:t>
      </w:r>
      <w:r w:rsidRPr="00467F9C">
        <w:rPr>
          <w:b/>
          <w:sz w:val="28"/>
          <w:szCs w:val="28"/>
        </w:rPr>
        <w:t xml:space="preserve"> </w:t>
      </w:r>
      <w:r w:rsidRPr="00467F9C">
        <w:rPr>
          <w:sz w:val="28"/>
          <w:szCs w:val="28"/>
        </w:rPr>
        <w:t xml:space="preserve">за январь-февраль 2022 года по Чукотскому автономному округу выросла на 2,2% и составила – 125 837,5 рублей. Демографическая и миграционная ситуация характеризуется приростом населения – 11 человек и 98 человек соответственно. </w:t>
      </w:r>
    </w:p>
    <w:p w:rsidR="00191861" w:rsidRPr="00467F9C" w:rsidRDefault="00191861" w:rsidP="00191861">
      <w:pPr>
        <w:widowControl w:val="0"/>
        <w:shd w:val="clear" w:color="auto" w:fill="FFFFFF"/>
        <w:suppressAutoHyphens/>
        <w:spacing w:before="120"/>
        <w:ind w:firstLine="709"/>
        <w:jc w:val="both"/>
        <w:rPr>
          <w:sz w:val="28"/>
          <w:szCs w:val="28"/>
        </w:rPr>
      </w:pPr>
      <w:r w:rsidRPr="00467F9C">
        <w:rPr>
          <w:sz w:val="28"/>
          <w:szCs w:val="28"/>
        </w:rPr>
        <w:t>2.</w:t>
      </w:r>
      <w:r w:rsidRPr="00467F9C">
        <w:rPr>
          <w:sz w:val="28"/>
          <w:szCs w:val="28"/>
          <w:lang w:val="en-US"/>
        </w:rPr>
        <w:t> </w:t>
      </w:r>
      <w:r w:rsidRPr="00467F9C">
        <w:rPr>
          <w:sz w:val="28"/>
          <w:szCs w:val="28"/>
        </w:rPr>
        <w:t xml:space="preserve">В 1 квартале 2022 года общий объем </w:t>
      </w:r>
      <w:r w:rsidRPr="00467F9C">
        <w:rPr>
          <w:bCs/>
          <w:sz w:val="28"/>
          <w:szCs w:val="28"/>
        </w:rPr>
        <w:t xml:space="preserve">доходов окружного </w:t>
      </w:r>
      <w:r w:rsidRPr="00467F9C">
        <w:rPr>
          <w:sz w:val="28"/>
          <w:szCs w:val="28"/>
        </w:rPr>
        <w:t xml:space="preserve">бюджета составил 11 744 665,2 тыс. рублей или 24% прогнозируемого общего объема доходов. Объем поступлений налоговых и неналоговых доходов составил 6 130 842,9 тыс. рублей или 35,1% утвержденных назначений (17 483 511,1 тыс. рублей), безвозмездных поступлений – 5 613 822,3 тыс. рублей или 17,9% (31 407 438,6 тыс. рублей). </w:t>
      </w:r>
    </w:p>
    <w:p w:rsidR="00191861" w:rsidRPr="00467F9C" w:rsidRDefault="00191861" w:rsidP="00191861">
      <w:pPr>
        <w:spacing w:before="120"/>
        <w:ind w:firstLine="709"/>
        <w:jc w:val="both"/>
        <w:rPr>
          <w:sz w:val="28"/>
          <w:szCs w:val="28"/>
        </w:rPr>
      </w:pPr>
      <w:r w:rsidRPr="00467F9C">
        <w:rPr>
          <w:sz w:val="28"/>
          <w:szCs w:val="28"/>
        </w:rPr>
        <w:lastRenderedPageBreak/>
        <w:t>3. </w:t>
      </w:r>
      <w:r w:rsidRPr="00467F9C">
        <w:rPr>
          <w:sz w:val="28"/>
          <w:szCs w:val="20"/>
        </w:rPr>
        <w:t xml:space="preserve">В </w:t>
      </w:r>
      <w:r w:rsidRPr="00467F9C">
        <w:rPr>
          <w:sz w:val="28"/>
          <w:szCs w:val="28"/>
        </w:rPr>
        <w:t>отчетном периоде окружной бюджет по расходам исполнен в объеме 8 700 921,1 тыс. рублей или 16,3% утвержденных сводной бюджетной росписью ассигнований (53 392 845,2 тыс. рублей).</w:t>
      </w:r>
    </w:p>
    <w:p w:rsidR="00191861" w:rsidRPr="00467F9C" w:rsidRDefault="00191861" w:rsidP="00191861">
      <w:pPr>
        <w:pStyle w:val="29"/>
        <w:shd w:val="clear" w:color="auto" w:fill="FFFFFF"/>
        <w:spacing w:before="120" w:after="0" w:line="240" w:lineRule="auto"/>
        <w:ind w:firstLine="709"/>
        <w:jc w:val="both"/>
        <w:rPr>
          <w:rFonts w:ascii="Times New Roman" w:hAnsi="Times New Roman" w:cs="Times New Roman"/>
          <w:sz w:val="28"/>
          <w:szCs w:val="28"/>
        </w:rPr>
      </w:pPr>
      <w:r w:rsidRPr="00467F9C">
        <w:rPr>
          <w:rFonts w:ascii="Times New Roman" w:hAnsi="Times New Roman" w:cs="Times New Roman"/>
          <w:sz w:val="28"/>
          <w:szCs w:val="28"/>
        </w:rPr>
        <w:t>4. Финансирование мероприятий государственных программ Чукотского автономного округа за отчетный период составило 8 272 615,6 тыс. рублей (16,2% уточненных бюджетных назначений). Доля в общем объеме исполненных расходов – 95,1%. Наибольший удельный вес в структуре исполненных расходов составляют мероприятия государственной программы Чукотского автономного округа «Развитие энергетики Чукотского автономного округа» – 22,3% (1 847 699,8 тыс. рублей).</w:t>
      </w:r>
    </w:p>
    <w:p w:rsidR="00191861" w:rsidRPr="00467F9C" w:rsidRDefault="00191861" w:rsidP="00191861">
      <w:pPr>
        <w:pStyle w:val="29"/>
        <w:shd w:val="clear" w:color="auto" w:fill="FFFFFF"/>
        <w:spacing w:before="120" w:after="0" w:line="240" w:lineRule="auto"/>
        <w:ind w:firstLine="709"/>
        <w:jc w:val="both"/>
        <w:rPr>
          <w:rFonts w:ascii="Times New Roman" w:hAnsi="Times New Roman" w:cs="Times New Roman"/>
          <w:sz w:val="28"/>
          <w:szCs w:val="28"/>
        </w:rPr>
      </w:pPr>
      <w:r w:rsidRPr="00467F9C">
        <w:rPr>
          <w:rFonts w:ascii="Times New Roman" w:hAnsi="Times New Roman" w:cs="Times New Roman"/>
          <w:sz w:val="28"/>
          <w:szCs w:val="28"/>
        </w:rPr>
        <w:t>5. </w:t>
      </w:r>
      <w:r w:rsidRPr="00467F9C">
        <w:rPr>
          <w:rFonts w:ascii="Times New Roman" w:eastAsia="Calibri" w:hAnsi="Times New Roman" w:cs="Times New Roman"/>
          <w:sz w:val="28"/>
          <w:szCs w:val="28"/>
          <w:lang w:eastAsia="en-US"/>
        </w:rPr>
        <w:t xml:space="preserve"> Финансирование мероприятий непрограммных направлений деятельности составило 428 305,5 тыс. рублей или 19% плановых назначений.</w:t>
      </w:r>
      <w:r w:rsidRPr="00467F9C">
        <w:rPr>
          <w:rFonts w:ascii="Times New Roman" w:hAnsi="Times New Roman" w:cs="Times New Roman"/>
          <w:sz w:val="28"/>
          <w:szCs w:val="28"/>
        </w:rPr>
        <w:t xml:space="preserve"> </w:t>
      </w:r>
    </w:p>
    <w:p w:rsidR="00191861" w:rsidRPr="00467F9C" w:rsidRDefault="00191861" w:rsidP="00191861">
      <w:pPr>
        <w:pStyle w:val="aff4"/>
        <w:spacing w:before="120"/>
        <w:ind w:firstLine="709"/>
        <w:jc w:val="both"/>
        <w:rPr>
          <w:rFonts w:ascii="Times New Roman" w:hAnsi="Times New Roman" w:cs="Times New Roman"/>
        </w:rPr>
      </w:pPr>
      <w:r w:rsidRPr="00467F9C">
        <w:rPr>
          <w:rFonts w:ascii="Times New Roman" w:hAnsi="Times New Roman" w:cs="Times New Roman"/>
          <w:sz w:val="28"/>
          <w:szCs w:val="28"/>
        </w:rPr>
        <w:t>6. Средства Резервного фонда Правительства Чукотского автономного округа распределены между главными распорядителями средств окружного бюджета в сумме 119 098,6 тыс. рублей, профинансировано 112 581,9 тыс. рублей или 94,5%, расходы составили 112 581,9 тыс. рублей.</w:t>
      </w:r>
    </w:p>
    <w:p w:rsidR="00191861" w:rsidRPr="00467F9C" w:rsidRDefault="00191861" w:rsidP="00191861">
      <w:pPr>
        <w:pStyle w:val="29"/>
        <w:shd w:val="clear" w:color="auto" w:fill="FFFFFF"/>
        <w:spacing w:before="120" w:after="0" w:line="240" w:lineRule="auto"/>
        <w:ind w:firstLine="709"/>
        <w:jc w:val="both"/>
        <w:rPr>
          <w:rFonts w:ascii="Times New Roman" w:hAnsi="Times New Roman" w:cs="Times New Roman"/>
          <w:sz w:val="28"/>
          <w:szCs w:val="28"/>
        </w:rPr>
      </w:pPr>
      <w:r w:rsidRPr="00467F9C">
        <w:rPr>
          <w:rFonts w:ascii="Times New Roman" w:hAnsi="Times New Roman" w:cs="Times New Roman"/>
          <w:sz w:val="28"/>
          <w:szCs w:val="28"/>
        </w:rPr>
        <w:t>7.</w:t>
      </w:r>
      <w:r w:rsidRPr="00467F9C">
        <w:rPr>
          <w:rFonts w:ascii="Times New Roman" w:hAnsi="Times New Roman" w:cs="Times New Roman"/>
          <w:sz w:val="28"/>
          <w:szCs w:val="28"/>
          <w:lang w:val="en-US"/>
        </w:rPr>
        <w:t> </w:t>
      </w:r>
      <w:r w:rsidRPr="00467F9C">
        <w:rPr>
          <w:rFonts w:ascii="Times New Roman" w:hAnsi="Times New Roman" w:cs="Times New Roman"/>
          <w:sz w:val="28"/>
          <w:szCs w:val="28"/>
        </w:rPr>
        <w:t>Окружной бюджет за 1 квартал 2022 года исполнен с профицитом в размере 3 043 734,1 тыс. рублей.</w:t>
      </w:r>
    </w:p>
    <w:p w:rsidR="00191861" w:rsidRPr="00467F9C" w:rsidRDefault="00191861" w:rsidP="00191861">
      <w:pPr>
        <w:widowControl w:val="0"/>
        <w:autoSpaceDE w:val="0"/>
        <w:autoSpaceDN w:val="0"/>
        <w:adjustRightInd w:val="0"/>
        <w:spacing w:before="120"/>
        <w:ind w:right="-2" w:firstLine="709"/>
        <w:jc w:val="both"/>
        <w:rPr>
          <w:sz w:val="28"/>
          <w:szCs w:val="28"/>
        </w:rPr>
      </w:pPr>
      <w:r w:rsidRPr="00467F9C">
        <w:rPr>
          <w:sz w:val="28"/>
          <w:szCs w:val="28"/>
        </w:rPr>
        <w:t>8. По состоянию на 1 апреля 2022 года задолженность по выданным из окружного бюджета кредитам муниципальным образованиям и юридическим лицам составила 924 773,0 тыс. рублей. Просроченная задолженность отсутствует.</w:t>
      </w:r>
    </w:p>
    <w:p w:rsidR="00191861" w:rsidRPr="00467F9C" w:rsidRDefault="00191861" w:rsidP="00191861">
      <w:pPr>
        <w:pStyle w:val="29"/>
        <w:shd w:val="clear" w:color="auto" w:fill="FFFFFF"/>
        <w:spacing w:before="120" w:after="0" w:line="240" w:lineRule="auto"/>
        <w:ind w:firstLine="709"/>
        <w:jc w:val="both"/>
        <w:rPr>
          <w:rFonts w:ascii="Times New Roman" w:hAnsi="Times New Roman" w:cs="Times New Roman"/>
          <w:sz w:val="28"/>
          <w:szCs w:val="28"/>
        </w:rPr>
      </w:pPr>
      <w:r w:rsidRPr="00467F9C">
        <w:rPr>
          <w:rFonts w:ascii="Times New Roman" w:hAnsi="Times New Roman" w:cs="Times New Roman"/>
          <w:sz w:val="28"/>
          <w:szCs w:val="28"/>
        </w:rPr>
        <w:t>9. Государственный долг Чукотского автономного округа на 1 апреля 2022 года составил 12 591 727,5 тыс. рублей, из них 4 392 000,0 тыс. рублей – обязательства на обеспечение государственных гарантий, предоставленных Правительством Чукотского автономного округа.</w:t>
      </w:r>
    </w:p>
    <w:p w:rsidR="00191861" w:rsidRPr="00467F9C" w:rsidRDefault="00191861" w:rsidP="00191861">
      <w:pPr>
        <w:ind w:firstLine="709"/>
        <w:jc w:val="both"/>
        <w:rPr>
          <w:sz w:val="28"/>
          <w:szCs w:val="28"/>
        </w:rPr>
      </w:pPr>
    </w:p>
    <w:p w:rsidR="00191861" w:rsidRPr="00467F9C" w:rsidRDefault="00191861" w:rsidP="00191861">
      <w:pPr>
        <w:ind w:firstLine="709"/>
        <w:jc w:val="both"/>
        <w:rPr>
          <w:sz w:val="28"/>
          <w:szCs w:val="28"/>
        </w:rPr>
      </w:pPr>
    </w:p>
    <w:p w:rsidR="00191861" w:rsidRPr="00467F9C" w:rsidRDefault="00191861" w:rsidP="00191861">
      <w:pPr>
        <w:ind w:firstLine="709"/>
        <w:jc w:val="both"/>
        <w:rPr>
          <w:sz w:val="28"/>
          <w:szCs w:val="28"/>
          <w:highlight w:val="yellow"/>
        </w:rPr>
      </w:pPr>
    </w:p>
    <w:p w:rsidR="00191861" w:rsidRPr="00467F9C" w:rsidRDefault="00191861" w:rsidP="00191861">
      <w:pPr>
        <w:widowControl w:val="0"/>
        <w:jc w:val="both"/>
        <w:rPr>
          <w:sz w:val="28"/>
          <w:szCs w:val="28"/>
        </w:rPr>
      </w:pPr>
      <w:r w:rsidRPr="00467F9C">
        <w:rPr>
          <w:sz w:val="28"/>
          <w:szCs w:val="28"/>
        </w:rPr>
        <w:t xml:space="preserve">Аудитор Счетной палаты </w:t>
      </w:r>
    </w:p>
    <w:p w:rsidR="00191861" w:rsidRPr="00467F9C" w:rsidRDefault="00191861" w:rsidP="00191861">
      <w:pPr>
        <w:widowControl w:val="0"/>
        <w:jc w:val="both"/>
        <w:rPr>
          <w:sz w:val="28"/>
          <w:szCs w:val="28"/>
        </w:rPr>
      </w:pPr>
      <w:r w:rsidRPr="00467F9C">
        <w:rPr>
          <w:sz w:val="28"/>
          <w:szCs w:val="28"/>
        </w:rPr>
        <w:t>Чукотского автономного округа</w:t>
      </w:r>
      <w:r w:rsidRPr="00467F9C">
        <w:rPr>
          <w:sz w:val="28"/>
          <w:szCs w:val="28"/>
        </w:rPr>
        <w:tab/>
      </w:r>
      <w:r w:rsidRPr="00467F9C">
        <w:rPr>
          <w:sz w:val="28"/>
          <w:szCs w:val="28"/>
        </w:rPr>
        <w:tab/>
      </w:r>
      <w:r w:rsidRPr="00467F9C">
        <w:rPr>
          <w:sz w:val="28"/>
          <w:szCs w:val="28"/>
        </w:rPr>
        <w:tab/>
      </w:r>
      <w:r w:rsidRPr="00467F9C">
        <w:rPr>
          <w:sz w:val="28"/>
          <w:szCs w:val="28"/>
        </w:rPr>
        <w:tab/>
        <w:t xml:space="preserve">            И.В. Бондаренко</w:t>
      </w:r>
    </w:p>
    <w:p w:rsidR="00191861" w:rsidRPr="00467F9C" w:rsidRDefault="00191861" w:rsidP="00191861">
      <w:pPr>
        <w:spacing w:after="200"/>
        <w:rPr>
          <w:sz w:val="28"/>
          <w:szCs w:val="28"/>
        </w:rPr>
      </w:pPr>
      <w:r w:rsidRPr="00467F9C">
        <w:rPr>
          <w:sz w:val="28"/>
          <w:szCs w:val="28"/>
        </w:rPr>
        <w:br w:type="page"/>
      </w:r>
    </w:p>
    <w:p w:rsidR="00191861" w:rsidRPr="00467F9C" w:rsidRDefault="00191861" w:rsidP="00191861">
      <w:pPr>
        <w:tabs>
          <w:tab w:val="left" w:pos="709"/>
        </w:tabs>
        <w:jc w:val="center"/>
        <w:rPr>
          <w:b/>
          <w:sz w:val="28"/>
          <w:szCs w:val="28"/>
        </w:rPr>
      </w:pPr>
      <w:r w:rsidRPr="00467F9C">
        <w:rPr>
          <w:b/>
          <w:sz w:val="28"/>
          <w:szCs w:val="28"/>
        </w:rPr>
        <w:lastRenderedPageBreak/>
        <w:t>ОТЧЕТ</w:t>
      </w:r>
    </w:p>
    <w:p w:rsidR="00191861" w:rsidRPr="00467F9C" w:rsidRDefault="00191861" w:rsidP="00191861">
      <w:pPr>
        <w:tabs>
          <w:tab w:val="left" w:pos="709"/>
        </w:tabs>
        <w:jc w:val="center"/>
        <w:rPr>
          <w:b/>
          <w:bCs/>
          <w:sz w:val="28"/>
          <w:szCs w:val="28"/>
        </w:rPr>
      </w:pPr>
      <w:r w:rsidRPr="00467F9C">
        <w:rPr>
          <w:b/>
          <w:sz w:val="28"/>
          <w:szCs w:val="28"/>
        </w:rPr>
        <w:t>по результатам э</w:t>
      </w:r>
      <w:r w:rsidRPr="00467F9C">
        <w:rPr>
          <w:b/>
          <w:bCs/>
          <w:sz w:val="28"/>
          <w:szCs w:val="28"/>
        </w:rPr>
        <w:t>кспертно-аналитического мероприятия</w:t>
      </w:r>
    </w:p>
    <w:p w:rsidR="00191861" w:rsidRPr="00467F9C" w:rsidRDefault="00191861" w:rsidP="00191861">
      <w:pPr>
        <w:tabs>
          <w:tab w:val="left" w:pos="709"/>
        </w:tabs>
        <w:jc w:val="center"/>
        <w:rPr>
          <w:b/>
          <w:sz w:val="28"/>
          <w:szCs w:val="28"/>
        </w:rPr>
      </w:pPr>
      <w:r w:rsidRPr="00467F9C">
        <w:rPr>
          <w:b/>
          <w:bCs/>
          <w:sz w:val="28"/>
          <w:szCs w:val="28"/>
        </w:rPr>
        <w:t xml:space="preserve"> </w:t>
      </w:r>
      <w:r w:rsidRPr="00467F9C">
        <w:rPr>
          <w:b/>
          <w:sz w:val="28"/>
          <w:szCs w:val="28"/>
        </w:rPr>
        <w:t>«</w:t>
      </w:r>
      <w:r w:rsidRPr="00467F9C">
        <w:rPr>
          <w:b/>
          <w:iCs/>
          <w:sz w:val="28"/>
          <w:szCs w:val="28"/>
        </w:rPr>
        <w:t>Анализ и оценка сводного отчета о ходе реализации государственных программ Чукотского автономного округа за I квартал 2022 года</w:t>
      </w:r>
      <w:r w:rsidRPr="00467F9C">
        <w:rPr>
          <w:b/>
          <w:sz w:val="28"/>
          <w:szCs w:val="28"/>
        </w:rPr>
        <w:t>»</w:t>
      </w:r>
    </w:p>
    <w:p w:rsidR="00191861" w:rsidRPr="00467F9C" w:rsidRDefault="00191861" w:rsidP="00191861">
      <w:pPr>
        <w:tabs>
          <w:tab w:val="left" w:pos="709"/>
        </w:tabs>
        <w:jc w:val="center"/>
        <w:rPr>
          <w:b/>
          <w:sz w:val="28"/>
          <w:szCs w:val="28"/>
        </w:rPr>
      </w:pPr>
    </w:p>
    <w:p w:rsidR="00191861" w:rsidRPr="00467F9C" w:rsidRDefault="00191861" w:rsidP="00191861">
      <w:pPr>
        <w:jc w:val="both"/>
        <w:rPr>
          <w:sz w:val="28"/>
          <w:szCs w:val="28"/>
        </w:rPr>
      </w:pPr>
      <w:r w:rsidRPr="00467F9C">
        <w:rPr>
          <w:sz w:val="28"/>
          <w:szCs w:val="28"/>
        </w:rPr>
        <w:t xml:space="preserve">23 мая 2022 года </w:t>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r>
      <w:r w:rsidRPr="00467F9C">
        <w:rPr>
          <w:sz w:val="28"/>
          <w:szCs w:val="28"/>
        </w:rPr>
        <w:tab/>
        <w:t xml:space="preserve">       г. Анадырь</w:t>
      </w:r>
    </w:p>
    <w:p w:rsidR="00191861" w:rsidRPr="00467F9C" w:rsidRDefault="00191861" w:rsidP="00191861">
      <w:pPr>
        <w:pStyle w:val="ac"/>
        <w:tabs>
          <w:tab w:val="left" w:pos="709"/>
        </w:tabs>
        <w:spacing w:before="80"/>
        <w:ind w:firstLine="709"/>
        <w:rPr>
          <w:rFonts w:ascii="Times New Roman" w:hAnsi="Times New Roman" w:cs="Times New Roman"/>
          <w:b/>
          <w:sz w:val="16"/>
          <w:szCs w:val="16"/>
        </w:rPr>
      </w:pPr>
      <w:r w:rsidRPr="00467F9C">
        <w:rPr>
          <w:rFonts w:ascii="Times New Roman" w:hAnsi="Times New Roman" w:cs="Times New Roman"/>
          <w:b/>
          <w:sz w:val="28"/>
          <w:szCs w:val="28"/>
        </w:rPr>
        <w:t xml:space="preserve">1. Основание для проведения экспертно-аналитического мероприятия: </w:t>
      </w:r>
      <w:r w:rsidRPr="00467F9C">
        <w:rPr>
          <w:rFonts w:ascii="Times New Roman" w:hAnsi="Times New Roman" w:cs="Times New Roman"/>
          <w:sz w:val="28"/>
          <w:szCs w:val="28"/>
        </w:rPr>
        <w:t>пункт 2.9. Плана работы Счетной палаты Чукотского автономного округа на 2022 год.</w:t>
      </w:r>
    </w:p>
    <w:p w:rsidR="00191861" w:rsidRPr="00467F9C" w:rsidRDefault="00191861" w:rsidP="00191861">
      <w:pPr>
        <w:pStyle w:val="ConsPlusNonformat"/>
        <w:tabs>
          <w:tab w:val="left" w:pos="709"/>
        </w:tabs>
        <w:spacing w:before="80"/>
        <w:ind w:firstLine="709"/>
        <w:jc w:val="both"/>
        <w:rPr>
          <w:rFonts w:ascii="Times New Roman" w:hAnsi="Times New Roman" w:cs="Times New Roman"/>
          <w:b/>
          <w:bCs/>
          <w:sz w:val="16"/>
          <w:szCs w:val="16"/>
        </w:rPr>
      </w:pPr>
      <w:r w:rsidRPr="00467F9C">
        <w:rPr>
          <w:rFonts w:ascii="Times New Roman" w:hAnsi="Times New Roman" w:cs="Times New Roman"/>
          <w:b/>
          <w:sz w:val="28"/>
          <w:szCs w:val="28"/>
        </w:rPr>
        <w:t>2. Предмет экспертно-аналитического мероприятия</w:t>
      </w:r>
      <w:r w:rsidRPr="00467F9C">
        <w:rPr>
          <w:rFonts w:ascii="Times New Roman" w:hAnsi="Times New Roman" w:cs="Times New Roman"/>
          <w:b/>
        </w:rPr>
        <w:t>:</w:t>
      </w:r>
      <w:r w:rsidRPr="00467F9C">
        <w:rPr>
          <w:rFonts w:ascii="Times New Roman" w:hAnsi="Times New Roman" w:cs="Times New Roman"/>
        </w:rPr>
        <w:t xml:space="preserve"> </w:t>
      </w:r>
      <w:r w:rsidRPr="00467F9C">
        <w:rPr>
          <w:rFonts w:ascii="Times New Roman" w:hAnsi="Times New Roman" w:cs="Times New Roman"/>
          <w:sz w:val="28"/>
          <w:szCs w:val="28"/>
        </w:rPr>
        <w:t>деятельность органов исполнительной власти Чукотского автономного округа по реализации государственных программ Чукотского автономного округа (далее – государственные программы, госпрограммы).</w:t>
      </w:r>
    </w:p>
    <w:p w:rsidR="00191861" w:rsidRPr="00467F9C" w:rsidRDefault="00191861" w:rsidP="00191861">
      <w:pPr>
        <w:spacing w:before="80"/>
        <w:ind w:firstLine="709"/>
        <w:jc w:val="both"/>
        <w:rPr>
          <w:bCs/>
          <w:sz w:val="28"/>
          <w:szCs w:val="28"/>
        </w:rPr>
      </w:pPr>
      <w:r w:rsidRPr="00467F9C">
        <w:rPr>
          <w:b/>
          <w:bCs/>
          <w:sz w:val="28"/>
          <w:szCs w:val="28"/>
        </w:rPr>
        <w:t xml:space="preserve">3. Цель экспертно-аналитического мероприятия: </w:t>
      </w:r>
      <w:r w:rsidRPr="00467F9C">
        <w:rPr>
          <w:sz w:val="28"/>
          <w:szCs w:val="28"/>
        </w:rPr>
        <w:t>анализ</w:t>
      </w:r>
      <w:r w:rsidRPr="00467F9C">
        <w:rPr>
          <w:iCs/>
          <w:sz w:val="28"/>
          <w:szCs w:val="28"/>
        </w:rPr>
        <w:t xml:space="preserve"> хода реализации государственных программ Чукотского автономного округа за </w:t>
      </w:r>
      <w:r w:rsidRPr="00467F9C">
        <w:rPr>
          <w:iCs/>
          <w:sz w:val="28"/>
          <w:szCs w:val="28"/>
          <w:lang w:val="en-US"/>
        </w:rPr>
        <w:t>I</w:t>
      </w:r>
      <w:r w:rsidRPr="00467F9C">
        <w:rPr>
          <w:iCs/>
          <w:sz w:val="28"/>
          <w:szCs w:val="28"/>
        </w:rPr>
        <w:t> квартал 2022 года.</w:t>
      </w:r>
      <w:r w:rsidRPr="00467F9C">
        <w:rPr>
          <w:bCs/>
          <w:sz w:val="28"/>
          <w:szCs w:val="28"/>
        </w:rPr>
        <w:t xml:space="preserve"> </w:t>
      </w:r>
    </w:p>
    <w:p w:rsidR="00191861" w:rsidRPr="00467F9C" w:rsidRDefault="00191861" w:rsidP="00191861">
      <w:pPr>
        <w:ind w:firstLine="709"/>
        <w:jc w:val="both"/>
        <w:rPr>
          <w:b/>
          <w:sz w:val="10"/>
          <w:szCs w:val="16"/>
        </w:rPr>
      </w:pPr>
    </w:p>
    <w:p w:rsidR="00191861" w:rsidRPr="00467F9C" w:rsidRDefault="00191861" w:rsidP="00191861">
      <w:pPr>
        <w:ind w:firstLine="709"/>
        <w:jc w:val="both"/>
        <w:rPr>
          <w:b/>
          <w:sz w:val="28"/>
          <w:szCs w:val="28"/>
        </w:rPr>
      </w:pPr>
      <w:r w:rsidRPr="00467F9C">
        <w:rPr>
          <w:b/>
          <w:sz w:val="28"/>
          <w:szCs w:val="28"/>
        </w:rPr>
        <w:t>4. Вопросы:</w:t>
      </w:r>
    </w:p>
    <w:p w:rsidR="00191861" w:rsidRPr="00467F9C" w:rsidRDefault="00191861" w:rsidP="00191861">
      <w:pPr>
        <w:pStyle w:val="19"/>
        <w:spacing w:before="80"/>
        <w:ind w:firstLine="709"/>
        <w:rPr>
          <w:color w:val="auto"/>
        </w:rPr>
      </w:pPr>
      <w:r w:rsidRPr="00467F9C">
        <w:rPr>
          <w:bCs/>
          <w:color w:val="auto"/>
        </w:rPr>
        <w:t>4.1. </w:t>
      </w:r>
      <w:r w:rsidRPr="00467F9C">
        <w:rPr>
          <w:color w:val="auto"/>
        </w:rPr>
        <w:t xml:space="preserve">Анализ исполнения государственных программ Чукотского автономного округа </w:t>
      </w:r>
      <w:r w:rsidRPr="00467F9C">
        <w:rPr>
          <w:iCs/>
          <w:color w:val="auto"/>
        </w:rPr>
        <w:t xml:space="preserve">за </w:t>
      </w:r>
      <w:r w:rsidRPr="00467F9C">
        <w:rPr>
          <w:iCs/>
          <w:color w:val="auto"/>
          <w:lang w:val="en-US"/>
        </w:rPr>
        <w:t>I</w:t>
      </w:r>
      <w:r w:rsidRPr="00467F9C">
        <w:rPr>
          <w:iCs/>
          <w:color w:val="auto"/>
        </w:rPr>
        <w:t> квартал 2022 года</w:t>
      </w:r>
      <w:r w:rsidRPr="00467F9C">
        <w:rPr>
          <w:color w:val="auto"/>
        </w:rPr>
        <w:t>.</w:t>
      </w:r>
    </w:p>
    <w:p w:rsidR="00191861" w:rsidRPr="00467F9C" w:rsidRDefault="00191861" w:rsidP="00191861">
      <w:pPr>
        <w:pStyle w:val="19"/>
        <w:spacing w:before="80"/>
        <w:ind w:firstLine="709"/>
        <w:rPr>
          <w:color w:val="auto"/>
        </w:rPr>
      </w:pPr>
      <w:r w:rsidRPr="00467F9C">
        <w:rPr>
          <w:color w:val="auto"/>
        </w:rPr>
        <w:t>4.2. Анализ реализации государственных контрактов, заключенных в рамках государственных программ для обеспечения государственных нужд на срок, не превышающий срок действия утвержденных лимитов бюджетных обязательств (до двух лет с момента заключения), и на срок, превышающий срок действия утвержденных лимитов бюджетных обязательств (свыше двух лет с момента заключения).</w:t>
      </w:r>
    </w:p>
    <w:p w:rsidR="00191861" w:rsidRPr="00467F9C" w:rsidRDefault="00191861" w:rsidP="00191861">
      <w:pPr>
        <w:autoSpaceDE w:val="0"/>
        <w:autoSpaceDN w:val="0"/>
        <w:adjustRightInd w:val="0"/>
        <w:spacing w:before="80" w:after="80"/>
        <w:ind w:firstLine="709"/>
        <w:jc w:val="both"/>
        <w:rPr>
          <w:b/>
          <w:bCs/>
          <w:sz w:val="28"/>
          <w:szCs w:val="28"/>
        </w:rPr>
      </w:pPr>
      <w:r w:rsidRPr="00467F9C">
        <w:rPr>
          <w:b/>
          <w:bCs/>
          <w:sz w:val="28"/>
          <w:szCs w:val="28"/>
        </w:rPr>
        <w:t>5. Объекты экспертно-аналитического мероприятия: </w:t>
      </w:r>
    </w:p>
    <w:p w:rsidR="00191861" w:rsidRPr="00467F9C" w:rsidRDefault="00191861" w:rsidP="00191861">
      <w:pPr>
        <w:widowControl w:val="0"/>
        <w:ind w:firstLine="709"/>
        <w:jc w:val="both"/>
        <w:rPr>
          <w:sz w:val="28"/>
          <w:szCs w:val="28"/>
        </w:rPr>
      </w:pPr>
      <w:r w:rsidRPr="00467F9C">
        <w:rPr>
          <w:sz w:val="28"/>
          <w:szCs w:val="28"/>
        </w:rPr>
        <w:t>- Департамент финансов, экономики и имущественных отношений Чукотского автономного округа (далее – Департамент финансов);</w:t>
      </w:r>
    </w:p>
    <w:p w:rsidR="00191861" w:rsidRPr="00467F9C" w:rsidRDefault="00191861" w:rsidP="00191861">
      <w:pPr>
        <w:widowControl w:val="0"/>
        <w:ind w:firstLine="709"/>
        <w:jc w:val="both"/>
        <w:rPr>
          <w:sz w:val="28"/>
          <w:szCs w:val="28"/>
        </w:rPr>
      </w:pPr>
      <w:r w:rsidRPr="00467F9C">
        <w:rPr>
          <w:sz w:val="28"/>
          <w:szCs w:val="28"/>
        </w:rPr>
        <w:t>- главные распорядители средств окружного бюджета – ответственные исполнители государственных программ Чукотского автономного округа (по запросам).</w:t>
      </w:r>
    </w:p>
    <w:p w:rsidR="00191861" w:rsidRPr="00467F9C" w:rsidRDefault="00191861" w:rsidP="00191861">
      <w:pPr>
        <w:pStyle w:val="ConsPlusNonformat"/>
        <w:tabs>
          <w:tab w:val="left" w:pos="709"/>
        </w:tabs>
        <w:spacing w:before="80" w:after="80"/>
        <w:ind w:firstLine="709"/>
        <w:jc w:val="both"/>
        <w:rPr>
          <w:rFonts w:ascii="Times New Roman" w:hAnsi="Times New Roman" w:cs="Times New Roman"/>
          <w:sz w:val="28"/>
          <w:szCs w:val="28"/>
        </w:rPr>
      </w:pPr>
      <w:r w:rsidRPr="00467F9C">
        <w:rPr>
          <w:rFonts w:ascii="Times New Roman" w:hAnsi="Times New Roman" w:cs="Times New Roman"/>
          <w:b/>
          <w:sz w:val="28"/>
          <w:szCs w:val="28"/>
        </w:rPr>
        <w:t>6. Исследуемый период:</w:t>
      </w:r>
      <w:r w:rsidRPr="00467F9C">
        <w:rPr>
          <w:rFonts w:ascii="Times New Roman" w:hAnsi="Times New Roman" w:cs="Times New Roman"/>
        </w:rPr>
        <w:t xml:space="preserve"> </w:t>
      </w:r>
      <w:r w:rsidRPr="00467F9C">
        <w:rPr>
          <w:rFonts w:ascii="Times New Roman" w:hAnsi="Times New Roman" w:cs="Times New Roman"/>
          <w:sz w:val="28"/>
          <w:szCs w:val="28"/>
        </w:rPr>
        <w:t>январь – март 2022 года.</w:t>
      </w:r>
    </w:p>
    <w:p w:rsidR="00191861" w:rsidRPr="00467F9C" w:rsidRDefault="00191861" w:rsidP="00191861">
      <w:pPr>
        <w:ind w:firstLine="709"/>
        <w:jc w:val="both"/>
        <w:rPr>
          <w:sz w:val="28"/>
          <w:szCs w:val="28"/>
        </w:rPr>
      </w:pPr>
      <w:r w:rsidRPr="00467F9C">
        <w:rPr>
          <w:b/>
          <w:sz w:val="28"/>
          <w:szCs w:val="28"/>
        </w:rPr>
        <w:t xml:space="preserve">7. Сроки проведения экспертно-аналитического мероприятия: </w:t>
      </w:r>
      <w:r w:rsidRPr="00467F9C">
        <w:rPr>
          <w:sz w:val="28"/>
          <w:szCs w:val="28"/>
        </w:rPr>
        <w:t xml:space="preserve">с 4 по 20 мая 2022 года. </w:t>
      </w:r>
    </w:p>
    <w:p w:rsidR="00191861" w:rsidRPr="00467F9C" w:rsidRDefault="00191861" w:rsidP="00191861">
      <w:pPr>
        <w:ind w:firstLine="709"/>
        <w:jc w:val="both"/>
        <w:rPr>
          <w:sz w:val="6"/>
          <w:szCs w:val="6"/>
        </w:rPr>
      </w:pPr>
    </w:p>
    <w:p w:rsidR="00191861" w:rsidRPr="00467F9C" w:rsidRDefault="00191861" w:rsidP="00191861">
      <w:pPr>
        <w:tabs>
          <w:tab w:val="left" w:pos="709"/>
        </w:tabs>
        <w:ind w:firstLine="709"/>
        <w:jc w:val="both"/>
        <w:rPr>
          <w:sz w:val="28"/>
          <w:szCs w:val="28"/>
        </w:rPr>
      </w:pPr>
      <w:r w:rsidRPr="00467F9C">
        <w:rPr>
          <w:bCs/>
          <w:sz w:val="28"/>
          <w:szCs w:val="28"/>
        </w:rPr>
        <w:t xml:space="preserve">Отчет подготовлен на основании норм действующего бюджетного законодательства, </w:t>
      </w:r>
      <w:r w:rsidRPr="00467F9C">
        <w:rPr>
          <w:sz w:val="28"/>
          <w:szCs w:val="28"/>
        </w:rPr>
        <w:t xml:space="preserve">нормативных правовых актов Чукотского автономного округа, регулирующих вопросы разработки, реализации и оценки эффективности государственных программ Чукотского автономного округа, информации об исполнении государственных программ за I квартал 2022 года, </w:t>
      </w:r>
      <w:r w:rsidRPr="00467F9C">
        <w:rPr>
          <w:iCs/>
          <w:sz w:val="28"/>
          <w:szCs w:val="28"/>
        </w:rPr>
        <w:t xml:space="preserve">сводного отчета о ходе реализации государственных программ Чукотского автономного округа за </w:t>
      </w:r>
      <w:r w:rsidRPr="00467F9C">
        <w:rPr>
          <w:iCs/>
          <w:sz w:val="28"/>
          <w:szCs w:val="28"/>
          <w:lang w:val="en-US"/>
        </w:rPr>
        <w:t>I</w:t>
      </w:r>
      <w:r w:rsidRPr="00467F9C">
        <w:rPr>
          <w:iCs/>
          <w:sz w:val="28"/>
          <w:szCs w:val="28"/>
        </w:rPr>
        <w:t xml:space="preserve"> квартал 2022 года, представленного Департаментом финансов</w:t>
      </w:r>
      <w:r w:rsidRPr="00467F9C">
        <w:rPr>
          <w:sz w:val="28"/>
          <w:szCs w:val="28"/>
        </w:rPr>
        <w:t>.</w:t>
      </w:r>
    </w:p>
    <w:p w:rsidR="00191861" w:rsidRPr="00467F9C" w:rsidRDefault="00191861" w:rsidP="00191861">
      <w:pPr>
        <w:ind w:firstLine="709"/>
        <w:jc w:val="both"/>
        <w:rPr>
          <w:sz w:val="28"/>
          <w:szCs w:val="28"/>
        </w:rPr>
      </w:pPr>
      <w:r w:rsidRPr="00467F9C">
        <w:rPr>
          <w:sz w:val="28"/>
          <w:szCs w:val="28"/>
        </w:rPr>
        <w:lastRenderedPageBreak/>
        <w:t>В ходе экспертно-аналитического мероприятия установлено следующее.</w:t>
      </w:r>
    </w:p>
    <w:p w:rsidR="00191861" w:rsidRPr="00467F9C" w:rsidRDefault="00191861" w:rsidP="00191861">
      <w:pPr>
        <w:pStyle w:val="41"/>
        <w:rPr>
          <w:b/>
          <w:color w:val="auto"/>
        </w:rPr>
      </w:pPr>
      <w:r w:rsidRPr="00467F9C">
        <w:rPr>
          <w:b/>
          <w:color w:val="auto"/>
        </w:rPr>
        <w:t>8. Общие положения</w:t>
      </w:r>
    </w:p>
    <w:p w:rsidR="00191861" w:rsidRPr="00467F9C" w:rsidRDefault="00191861" w:rsidP="00191861">
      <w:pPr>
        <w:pStyle w:val="41"/>
        <w:ind w:right="0"/>
        <w:rPr>
          <w:color w:val="auto"/>
        </w:rPr>
      </w:pPr>
      <w:r w:rsidRPr="00467F9C">
        <w:rPr>
          <w:color w:val="auto"/>
        </w:rPr>
        <w:t>Государственная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Чукотского автономного округа.</w:t>
      </w:r>
    </w:p>
    <w:p w:rsidR="00191861" w:rsidRPr="00467F9C" w:rsidRDefault="00191861" w:rsidP="00191861">
      <w:pPr>
        <w:pStyle w:val="41"/>
        <w:ind w:right="0"/>
        <w:rPr>
          <w:color w:val="auto"/>
        </w:rPr>
      </w:pPr>
      <w:r w:rsidRPr="00467F9C">
        <w:rPr>
          <w:color w:val="auto"/>
        </w:rPr>
        <w:t>Перечень действующих в Чукотском автономном округе государственных программ утвержден Распоряжением Правительства Чукотского автономного округа от 13 сентября 2013 года №338-рп, в соответствии с которым на территории округа в 2022 году реализуется девятнадцать государственных программ. Шестнадцатью государственными программами осуществляется реализация региональных проектов в рамках национальных проектов. В рамках трёх государственных программ реализуются одиннадцать ведомственных целевых программ.</w:t>
      </w:r>
    </w:p>
    <w:p w:rsidR="00191861" w:rsidRPr="00467F9C" w:rsidRDefault="00191861" w:rsidP="00191861">
      <w:pPr>
        <w:pStyle w:val="41"/>
        <w:rPr>
          <w:color w:val="auto"/>
        </w:rPr>
      </w:pPr>
      <w:r w:rsidRPr="00467F9C">
        <w:rPr>
          <w:color w:val="auto"/>
        </w:rPr>
        <w:t xml:space="preserve">Сводный отчет </w:t>
      </w:r>
      <w:r w:rsidRPr="00467F9C">
        <w:rPr>
          <w:iCs/>
          <w:color w:val="auto"/>
        </w:rPr>
        <w:t xml:space="preserve">о ходе реализации государственных программ Чукотского автономного округа за </w:t>
      </w:r>
      <w:r w:rsidRPr="00467F9C">
        <w:rPr>
          <w:iCs/>
          <w:color w:val="auto"/>
          <w:lang w:val="en-US"/>
        </w:rPr>
        <w:t>I</w:t>
      </w:r>
      <w:r w:rsidRPr="00467F9C">
        <w:rPr>
          <w:iCs/>
          <w:color w:val="auto"/>
        </w:rPr>
        <w:t xml:space="preserve"> квартал 2022 года</w:t>
      </w:r>
      <w:r w:rsidRPr="00467F9C">
        <w:rPr>
          <w:color w:val="auto"/>
        </w:rPr>
        <w:t xml:space="preserve"> (далее – Отчет, государственные программы, госпрограммы) представлен в Счетную палату Департаментом финансов и размещен на официальном сайте Чукотского автономного округа в информационно-телекоммуникационной сети «Интернет» в разделе «Открытый бюджет» в сроки, установленные пунктом 5.4. Порядка разработки, реализации и оценки эффективности государственных программ Чукотского автономного округа, утвержденного Постановлением Правительства Чукотского автономного округа от 10 сентября 2013 года №359. </w:t>
      </w:r>
    </w:p>
    <w:p w:rsidR="00191861" w:rsidRPr="00467F9C" w:rsidRDefault="00191861" w:rsidP="00191861">
      <w:pPr>
        <w:pStyle w:val="41"/>
        <w:rPr>
          <w:color w:val="auto"/>
          <w:sz w:val="6"/>
          <w:szCs w:val="6"/>
        </w:rPr>
      </w:pPr>
    </w:p>
    <w:p w:rsidR="00191861" w:rsidRPr="00467F9C" w:rsidRDefault="00191861" w:rsidP="00191861">
      <w:pPr>
        <w:pStyle w:val="41"/>
        <w:spacing w:before="120" w:after="120"/>
        <w:ind w:right="0"/>
        <w:rPr>
          <w:b/>
          <w:color w:val="auto"/>
        </w:rPr>
      </w:pPr>
      <w:r w:rsidRPr="00467F9C">
        <w:rPr>
          <w:b/>
          <w:color w:val="auto"/>
        </w:rPr>
        <w:t>9. Результаты экспертно-аналитического мероприятия</w:t>
      </w:r>
    </w:p>
    <w:p w:rsidR="00191861" w:rsidRPr="00467F9C" w:rsidRDefault="00191861" w:rsidP="00191861">
      <w:pPr>
        <w:tabs>
          <w:tab w:val="left" w:pos="709"/>
        </w:tabs>
        <w:jc w:val="both"/>
        <w:rPr>
          <w:b/>
          <w:sz w:val="28"/>
          <w:szCs w:val="28"/>
        </w:rPr>
      </w:pPr>
      <w:r w:rsidRPr="00467F9C">
        <w:rPr>
          <w:b/>
          <w:sz w:val="28"/>
          <w:szCs w:val="28"/>
        </w:rPr>
        <w:tab/>
        <w:t xml:space="preserve">9.1. Анализ исполнения государственных программ Чукотского автономного округа за </w:t>
      </w:r>
      <w:r w:rsidRPr="00467F9C">
        <w:rPr>
          <w:b/>
          <w:sz w:val="28"/>
          <w:szCs w:val="28"/>
          <w:lang w:val="en-US"/>
        </w:rPr>
        <w:t>I</w:t>
      </w:r>
      <w:r w:rsidRPr="00467F9C">
        <w:rPr>
          <w:b/>
          <w:sz w:val="28"/>
          <w:szCs w:val="28"/>
        </w:rPr>
        <w:t xml:space="preserve"> квартал 2022 года</w:t>
      </w:r>
    </w:p>
    <w:p w:rsidR="00191861" w:rsidRPr="00467F9C" w:rsidRDefault="00191861" w:rsidP="00191861">
      <w:pPr>
        <w:pStyle w:val="af8"/>
        <w:tabs>
          <w:tab w:val="left" w:pos="709"/>
        </w:tabs>
        <w:ind w:firstLine="709"/>
        <w:jc w:val="both"/>
        <w:rPr>
          <w:sz w:val="28"/>
          <w:szCs w:val="28"/>
        </w:rPr>
      </w:pPr>
      <w:r w:rsidRPr="00467F9C">
        <w:rPr>
          <w:sz w:val="28"/>
          <w:szCs w:val="28"/>
        </w:rPr>
        <w:t xml:space="preserve">Объем финансовых ресурсов, предусмотренный паспортами государственных программ на их реализацию в 2022 году, составил 49 642 354,8 тыс. рублей, в том числе: </w:t>
      </w:r>
    </w:p>
    <w:p w:rsidR="00191861" w:rsidRPr="00467F9C" w:rsidRDefault="00191861" w:rsidP="00191861">
      <w:pPr>
        <w:pStyle w:val="19"/>
        <w:tabs>
          <w:tab w:val="left" w:pos="709"/>
        </w:tabs>
        <w:ind w:firstLine="709"/>
        <w:rPr>
          <w:color w:val="auto"/>
        </w:rPr>
      </w:pPr>
      <w:r w:rsidRPr="00467F9C">
        <w:rPr>
          <w:color w:val="auto"/>
        </w:rPr>
        <w:t>- за счет средств федерального бюджета – 8 500 324,0 тыс. рублей;</w:t>
      </w:r>
    </w:p>
    <w:p w:rsidR="00191861" w:rsidRPr="00467F9C" w:rsidRDefault="00191861" w:rsidP="00191861">
      <w:pPr>
        <w:pStyle w:val="19"/>
        <w:tabs>
          <w:tab w:val="left" w:pos="709"/>
        </w:tabs>
        <w:ind w:firstLine="709"/>
        <w:rPr>
          <w:color w:val="auto"/>
        </w:rPr>
      </w:pPr>
      <w:r w:rsidRPr="00467F9C">
        <w:rPr>
          <w:color w:val="auto"/>
        </w:rPr>
        <w:t>- за счет средств окружного бюджета – 31 371 965,2 тыс. рублей;</w:t>
      </w:r>
    </w:p>
    <w:p w:rsidR="00191861" w:rsidRPr="00467F9C" w:rsidRDefault="00191861" w:rsidP="00191861">
      <w:pPr>
        <w:pStyle w:val="19"/>
        <w:tabs>
          <w:tab w:val="left" w:pos="709"/>
        </w:tabs>
        <w:ind w:firstLine="709"/>
        <w:rPr>
          <w:color w:val="auto"/>
        </w:rPr>
      </w:pPr>
      <w:r w:rsidRPr="00467F9C">
        <w:rPr>
          <w:color w:val="auto"/>
        </w:rPr>
        <w:t>- за счет средств бюджетов государственных внебюджетных фондов – 1 969 107,2 тыс. рублей (1 939 504,4 тыс. рублей – средства Федерального фонда ОМС, 29 602,8 тыс. рублей – средства Фонда социального страхования);</w:t>
      </w:r>
    </w:p>
    <w:p w:rsidR="00191861" w:rsidRPr="00467F9C" w:rsidRDefault="00191861" w:rsidP="00191861">
      <w:pPr>
        <w:pStyle w:val="19"/>
        <w:tabs>
          <w:tab w:val="left" w:pos="709"/>
        </w:tabs>
        <w:ind w:firstLine="709"/>
        <w:rPr>
          <w:color w:val="auto"/>
        </w:rPr>
      </w:pPr>
      <w:r w:rsidRPr="00467F9C">
        <w:rPr>
          <w:color w:val="auto"/>
        </w:rPr>
        <w:t>- за счет средств государственных корпораций и безвозмездных поступлений от юридических лиц – 7 151 283,3 тыс. рублей;</w:t>
      </w:r>
    </w:p>
    <w:p w:rsidR="00191861" w:rsidRPr="00467F9C" w:rsidRDefault="00191861" w:rsidP="00191861">
      <w:pPr>
        <w:pStyle w:val="19"/>
        <w:tabs>
          <w:tab w:val="left" w:pos="709"/>
        </w:tabs>
        <w:ind w:firstLine="709"/>
        <w:rPr>
          <w:color w:val="auto"/>
        </w:rPr>
      </w:pPr>
      <w:r w:rsidRPr="00467F9C">
        <w:rPr>
          <w:color w:val="auto"/>
        </w:rPr>
        <w:t xml:space="preserve">- за счет прочих внебюджетных источников – 649 675,1 тыс. рублей. </w:t>
      </w:r>
    </w:p>
    <w:p w:rsidR="00191861" w:rsidRPr="00467F9C" w:rsidRDefault="00191861" w:rsidP="00191861">
      <w:pPr>
        <w:widowControl w:val="0"/>
        <w:tabs>
          <w:tab w:val="left" w:pos="709"/>
        </w:tabs>
        <w:spacing w:after="120"/>
        <w:ind w:firstLine="709"/>
        <w:contextualSpacing/>
        <w:jc w:val="both"/>
        <w:rPr>
          <w:bCs/>
          <w:sz w:val="28"/>
          <w:szCs w:val="28"/>
        </w:rPr>
      </w:pPr>
      <w:r w:rsidRPr="00467F9C">
        <w:rPr>
          <w:bCs/>
          <w:sz w:val="28"/>
          <w:szCs w:val="28"/>
        </w:rPr>
        <w:t>С целью внесения изменений в параметры государственных программ 2022 года Правительством Чукотского автономного округа с начала 2022 года принято 28</w:t>
      </w:r>
      <w:r w:rsidRPr="00467F9C">
        <w:rPr>
          <w:sz w:val="28"/>
          <w:szCs w:val="28"/>
        </w:rPr>
        <w:t> </w:t>
      </w:r>
      <w:r w:rsidRPr="00467F9C">
        <w:rPr>
          <w:bCs/>
          <w:sz w:val="28"/>
          <w:szCs w:val="28"/>
        </w:rPr>
        <w:t xml:space="preserve">постановлений. </w:t>
      </w:r>
    </w:p>
    <w:p w:rsidR="00191861" w:rsidRPr="00467F9C" w:rsidRDefault="00191861" w:rsidP="00191861">
      <w:pPr>
        <w:widowControl w:val="0"/>
        <w:tabs>
          <w:tab w:val="left" w:pos="709"/>
        </w:tabs>
        <w:spacing w:after="120"/>
        <w:ind w:firstLine="709"/>
        <w:contextualSpacing/>
        <w:jc w:val="both"/>
        <w:rPr>
          <w:sz w:val="28"/>
          <w:szCs w:val="28"/>
        </w:rPr>
      </w:pPr>
      <w:r w:rsidRPr="00467F9C">
        <w:rPr>
          <w:bCs/>
          <w:sz w:val="28"/>
          <w:szCs w:val="28"/>
        </w:rPr>
        <w:lastRenderedPageBreak/>
        <w:t>Законом об окружном бюджете на 2022 год</w:t>
      </w:r>
      <w:r w:rsidRPr="00467F9C">
        <w:rPr>
          <w:rStyle w:val="ab"/>
          <w:bCs/>
          <w:sz w:val="28"/>
          <w:szCs w:val="28"/>
        </w:rPr>
        <w:footnoteReference w:id="135"/>
      </w:r>
      <w:r w:rsidRPr="00467F9C">
        <w:rPr>
          <w:bCs/>
          <w:sz w:val="28"/>
          <w:szCs w:val="28"/>
        </w:rPr>
        <w:t xml:space="preserve"> финансирование государственных программ на 2022 год предусмотрено с общим объемом ассигнований </w:t>
      </w:r>
      <w:r w:rsidRPr="00467F9C">
        <w:rPr>
          <w:sz w:val="28"/>
          <w:szCs w:val="28"/>
        </w:rPr>
        <w:t xml:space="preserve">50 952 603,0 </w:t>
      </w:r>
      <w:r w:rsidRPr="00467F9C">
        <w:rPr>
          <w:bCs/>
          <w:sz w:val="28"/>
          <w:szCs w:val="28"/>
        </w:rPr>
        <w:t xml:space="preserve">тыс. рублей. </w:t>
      </w:r>
      <w:r w:rsidRPr="00467F9C">
        <w:rPr>
          <w:sz w:val="28"/>
          <w:szCs w:val="28"/>
        </w:rPr>
        <w:t>Доля ассигнований, утвержденных на реализацию госпрограмм, в общих расходах окружного бюджета на 2022 год составила 95,5%.</w:t>
      </w:r>
    </w:p>
    <w:p w:rsidR="00191861" w:rsidRPr="00467F9C" w:rsidRDefault="00191861" w:rsidP="00191861">
      <w:pPr>
        <w:tabs>
          <w:tab w:val="left" w:pos="709"/>
        </w:tabs>
        <w:ind w:firstLine="709"/>
        <w:jc w:val="both"/>
        <w:rPr>
          <w:sz w:val="28"/>
          <w:szCs w:val="28"/>
        </w:rPr>
      </w:pPr>
      <w:r w:rsidRPr="00467F9C">
        <w:rPr>
          <w:sz w:val="28"/>
          <w:szCs w:val="28"/>
        </w:rPr>
        <w:t xml:space="preserve">Сводной бюджетной росписью (далее – СБР) по состоянию на 1 апреля 2022 года на реализацию госпрограмм утвержден объем ассигнований в общей сумме 51 137 588,1 тыс. рублей. Объемы ассигнований, предусмотренные СБР, не соответствуют объемам, утвержденным Законом об окружном бюджете на 2022 год (больше на 184 985,1 тыс. рублей), в связи с тем, что в отчетном периоде финансовым органом увеличение бюджетных ассигнований осуществлялось путем внесения изменений в СБР окружного бюджета без внесения изменений в Закон об окружном бюджете на 2022 год в соответствии с нормами статьи 217 Бюджетного кодекса Российской Федерации.  </w:t>
      </w:r>
    </w:p>
    <w:p w:rsidR="00191861" w:rsidRPr="00467F9C" w:rsidRDefault="00191861" w:rsidP="00191861">
      <w:pPr>
        <w:tabs>
          <w:tab w:val="left" w:pos="709"/>
        </w:tabs>
        <w:ind w:firstLine="709"/>
        <w:jc w:val="both"/>
        <w:rPr>
          <w:sz w:val="28"/>
          <w:szCs w:val="28"/>
        </w:rPr>
      </w:pPr>
      <w:r w:rsidRPr="00467F9C">
        <w:rPr>
          <w:sz w:val="28"/>
          <w:szCs w:val="28"/>
        </w:rPr>
        <w:t>Информация об исполнении государственных программ по состоянию на 1 апреля 2022 года отражена на рисунке 1.</w:t>
      </w:r>
      <w:r w:rsidRPr="00467F9C">
        <w:rPr>
          <w:sz w:val="28"/>
          <w:szCs w:val="28"/>
        </w:rPr>
        <w:tab/>
        <w:t xml:space="preserve">                                                                                                            </w:t>
      </w:r>
    </w:p>
    <w:p w:rsidR="00191861" w:rsidRPr="00467F9C" w:rsidRDefault="00191861" w:rsidP="00191861">
      <w:pPr>
        <w:widowControl w:val="0"/>
        <w:spacing w:before="120"/>
        <w:contextualSpacing/>
        <w:jc w:val="both"/>
      </w:pPr>
      <w:r w:rsidRPr="00467F9C">
        <w:rPr>
          <w:noProof/>
        </w:rPr>
        <w:drawing>
          <wp:inline distT="0" distB="0" distL="0" distR="0" wp14:anchorId="292C3FD2" wp14:editId="21991BA8">
            <wp:extent cx="6069330" cy="1073150"/>
            <wp:effectExtent l="0" t="0" r="7620" b="12700"/>
            <wp:docPr id="6" name="Диаграмма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5851448-A2AC-4E3B-88A8-532E1BDC97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467F9C">
        <w:rPr>
          <w:noProof/>
        </w:rPr>
        <w:t xml:space="preserve"> </w:t>
      </w:r>
    </w:p>
    <w:p w:rsidR="00191861" w:rsidRPr="00467F9C" w:rsidRDefault="00191861" w:rsidP="00191861">
      <w:pPr>
        <w:pStyle w:val="19"/>
        <w:ind w:firstLine="709"/>
        <w:jc w:val="center"/>
        <w:rPr>
          <w:color w:val="auto"/>
          <w:sz w:val="6"/>
          <w:szCs w:val="6"/>
        </w:rPr>
      </w:pPr>
    </w:p>
    <w:p w:rsidR="00191861" w:rsidRPr="00467F9C" w:rsidRDefault="00191861" w:rsidP="00191861">
      <w:pPr>
        <w:pStyle w:val="19"/>
        <w:ind w:firstLine="709"/>
        <w:jc w:val="center"/>
        <w:rPr>
          <w:color w:val="auto"/>
          <w:sz w:val="24"/>
          <w:szCs w:val="24"/>
        </w:rPr>
      </w:pPr>
      <w:r w:rsidRPr="00467F9C">
        <w:rPr>
          <w:color w:val="auto"/>
          <w:sz w:val="24"/>
          <w:szCs w:val="24"/>
        </w:rPr>
        <w:t>Рис 1.</w:t>
      </w:r>
      <w:r w:rsidRPr="00467F9C">
        <w:rPr>
          <w:color w:val="auto"/>
        </w:rPr>
        <w:t xml:space="preserve"> </w:t>
      </w:r>
      <w:r w:rsidRPr="00467F9C">
        <w:rPr>
          <w:color w:val="auto"/>
          <w:sz w:val="24"/>
          <w:szCs w:val="24"/>
        </w:rPr>
        <w:t>(тыс. рублей)</w:t>
      </w:r>
    </w:p>
    <w:p w:rsidR="00191861" w:rsidRPr="00467F9C" w:rsidRDefault="00191861" w:rsidP="00191861">
      <w:pPr>
        <w:pStyle w:val="19"/>
        <w:spacing w:before="240"/>
        <w:ind w:firstLine="709"/>
        <w:rPr>
          <w:color w:val="auto"/>
        </w:rPr>
      </w:pPr>
      <w:r w:rsidRPr="00467F9C">
        <w:rPr>
          <w:color w:val="auto"/>
        </w:rPr>
        <w:t xml:space="preserve">Государственные программы реализуются девятью ответственными исполнителями – главными распорядителями средств окружного бюджета, из них Департаментом промышленной политики Чукотского автономного округа исполняются 8 госпрограмм, на которые СБР на 2022 год утверждены бюджетные ассигнования в объеме 25 806 722,5 тыс. рублей или 50,5% от объема бюджетных ассигнований, предусмотренных на реализацию госпрограмм.  </w:t>
      </w:r>
    </w:p>
    <w:p w:rsidR="00191861" w:rsidRPr="00467F9C" w:rsidRDefault="00191861" w:rsidP="00191861">
      <w:pPr>
        <w:pStyle w:val="af8"/>
        <w:ind w:firstLine="709"/>
        <w:jc w:val="both"/>
        <w:rPr>
          <w:sz w:val="28"/>
          <w:szCs w:val="28"/>
        </w:rPr>
      </w:pPr>
      <w:r w:rsidRPr="00467F9C">
        <w:rPr>
          <w:sz w:val="28"/>
          <w:szCs w:val="28"/>
        </w:rPr>
        <w:t>В I квартале 2022 года на реализацию госпрограмм из окружного бюджета направлено 8 272 615,5 тыс. рублей или 16,2% от утвержденных СБР бюджетных ассигнований.</w:t>
      </w:r>
    </w:p>
    <w:p w:rsidR="00191861" w:rsidRPr="00467F9C" w:rsidRDefault="00191861" w:rsidP="00191861">
      <w:pPr>
        <w:pStyle w:val="af8"/>
        <w:ind w:firstLine="709"/>
        <w:jc w:val="both"/>
        <w:rPr>
          <w:sz w:val="28"/>
          <w:szCs w:val="28"/>
        </w:rPr>
      </w:pPr>
      <w:r w:rsidRPr="00467F9C">
        <w:rPr>
          <w:sz w:val="28"/>
          <w:szCs w:val="28"/>
        </w:rPr>
        <w:t xml:space="preserve">Информация о направленных из окружного бюджета ассигнованиях на реализацию государственных программ Чукотского автономного округа в                          </w:t>
      </w:r>
      <w:r w:rsidRPr="00467F9C">
        <w:rPr>
          <w:sz w:val="28"/>
          <w:szCs w:val="28"/>
          <w:lang w:val="en-US"/>
        </w:rPr>
        <w:t>I</w:t>
      </w:r>
      <w:r w:rsidRPr="00467F9C">
        <w:rPr>
          <w:sz w:val="28"/>
          <w:szCs w:val="28"/>
        </w:rPr>
        <w:t xml:space="preserve"> квартале 2022 года приведена в таблице №1.</w:t>
      </w:r>
    </w:p>
    <w:p w:rsidR="00191861" w:rsidRPr="00467F9C" w:rsidRDefault="00191861" w:rsidP="00191861">
      <w:pPr>
        <w:pStyle w:val="af8"/>
        <w:ind w:firstLine="709"/>
        <w:jc w:val="right"/>
        <w:rPr>
          <w:sz w:val="28"/>
          <w:szCs w:val="28"/>
        </w:rPr>
      </w:pPr>
      <w:r w:rsidRPr="00467F9C">
        <w:rPr>
          <w:sz w:val="28"/>
          <w:szCs w:val="28"/>
        </w:rPr>
        <w:t>Таблица №1</w:t>
      </w:r>
    </w:p>
    <w:p w:rsidR="00191861" w:rsidRPr="00467F9C" w:rsidRDefault="00191861" w:rsidP="00191861">
      <w:pPr>
        <w:pStyle w:val="19"/>
        <w:ind w:firstLine="709"/>
        <w:jc w:val="right"/>
        <w:rPr>
          <w:color w:val="auto"/>
          <w:sz w:val="16"/>
          <w:szCs w:val="16"/>
        </w:rPr>
      </w:pPr>
      <w:r w:rsidRPr="00467F9C">
        <w:rPr>
          <w:color w:val="auto"/>
        </w:rPr>
        <w:t>(тыс. рублей)</w:t>
      </w:r>
    </w:p>
    <w:tbl>
      <w:tblPr>
        <w:tblW w:w="9761" w:type="dxa"/>
        <w:jc w:val="center"/>
        <w:tblLook w:val="04A0" w:firstRow="1" w:lastRow="0" w:firstColumn="1" w:lastColumn="0" w:noHBand="0" w:noVBand="1"/>
      </w:tblPr>
      <w:tblGrid>
        <w:gridCol w:w="364"/>
        <w:gridCol w:w="5868"/>
        <w:gridCol w:w="1118"/>
        <w:gridCol w:w="1239"/>
        <w:gridCol w:w="1172"/>
      </w:tblGrid>
      <w:tr w:rsidR="00467F9C" w:rsidRPr="00A43F90" w:rsidTr="00A43F90">
        <w:trPr>
          <w:trHeight w:val="720"/>
          <w:tblHeader/>
          <w:jc w:val="center"/>
        </w:trPr>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1861" w:rsidRPr="00A43F90" w:rsidRDefault="00191861" w:rsidP="00191861">
            <w:pPr>
              <w:ind w:left="-110" w:right="-92"/>
              <w:jc w:val="center"/>
              <w:rPr>
                <w:b/>
                <w:bCs/>
                <w:sz w:val="18"/>
                <w:szCs w:val="18"/>
              </w:rPr>
            </w:pPr>
            <w:bookmarkStart w:id="71" w:name="RANGE!A1:E31"/>
            <w:r w:rsidRPr="00A43F90">
              <w:rPr>
                <w:b/>
                <w:bCs/>
                <w:sz w:val="18"/>
                <w:szCs w:val="18"/>
              </w:rPr>
              <w:t>п/п</w:t>
            </w:r>
            <w:bookmarkEnd w:id="71"/>
          </w:p>
        </w:tc>
        <w:tc>
          <w:tcPr>
            <w:tcW w:w="5868" w:type="dxa"/>
            <w:tcBorders>
              <w:top w:val="single" w:sz="4" w:space="0" w:color="auto"/>
              <w:left w:val="nil"/>
              <w:bottom w:val="single" w:sz="4" w:space="0" w:color="auto"/>
              <w:right w:val="single" w:sz="4" w:space="0" w:color="auto"/>
            </w:tcBorders>
            <w:shd w:val="clear" w:color="auto" w:fill="auto"/>
            <w:vAlign w:val="center"/>
            <w:hideMark/>
          </w:tcPr>
          <w:p w:rsidR="00191861" w:rsidRPr="00A43F90" w:rsidRDefault="00191861" w:rsidP="00191861">
            <w:pPr>
              <w:jc w:val="center"/>
              <w:rPr>
                <w:b/>
                <w:bCs/>
                <w:sz w:val="18"/>
                <w:szCs w:val="18"/>
              </w:rPr>
            </w:pPr>
            <w:r w:rsidRPr="00A43F90">
              <w:rPr>
                <w:b/>
                <w:bCs/>
                <w:sz w:val="18"/>
                <w:szCs w:val="18"/>
              </w:rPr>
              <w:t>ГАБС - ответственный исполнитель госпрограммы / наименование государственной программы</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rsidR="00191861" w:rsidRPr="00A43F90" w:rsidRDefault="00191861" w:rsidP="00191861">
            <w:pPr>
              <w:ind w:left="-122" w:right="-110"/>
              <w:jc w:val="center"/>
              <w:rPr>
                <w:b/>
                <w:bCs/>
                <w:sz w:val="18"/>
                <w:szCs w:val="18"/>
              </w:rPr>
            </w:pPr>
            <w:r w:rsidRPr="00A43F90">
              <w:rPr>
                <w:b/>
                <w:bCs/>
                <w:sz w:val="18"/>
                <w:szCs w:val="18"/>
              </w:rPr>
              <w:t>Утверждено СБР</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b/>
                <w:bCs/>
                <w:sz w:val="18"/>
                <w:szCs w:val="18"/>
              </w:rPr>
            </w:pPr>
            <w:r w:rsidRPr="00A43F90">
              <w:rPr>
                <w:b/>
                <w:bCs/>
                <w:sz w:val="18"/>
                <w:szCs w:val="18"/>
              </w:rPr>
              <w:t>Направлено бюджетных ассигнований (ф.0503117)</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b/>
                <w:bCs/>
                <w:sz w:val="18"/>
                <w:szCs w:val="18"/>
              </w:rPr>
            </w:pPr>
            <w:r w:rsidRPr="00A43F90">
              <w:rPr>
                <w:b/>
                <w:bCs/>
                <w:sz w:val="18"/>
                <w:szCs w:val="18"/>
              </w:rPr>
              <w:t>% к годовым назначениям</w:t>
            </w:r>
          </w:p>
        </w:tc>
      </w:tr>
      <w:tr w:rsidR="00467F9C" w:rsidRPr="00A43F90" w:rsidTr="00A43F90">
        <w:trPr>
          <w:trHeight w:val="225"/>
          <w:tblHeader/>
          <w:jc w:val="center"/>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191861" w:rsidRPr="00A43F90" w:rsidRDefault="00191861" w:rsidP="00191861">
            <w:pPr>
              <w:ind w:left="-110" w:right="-92"/>
              <w:jc w:val="center"/>
              <w:rPr>
                <w:sz w:val="20"/>
                <w:szCs w:val="20"/>
              </w:rPr>
            </w:pPr>
            <w:r w:rsidRPr="00A43F90">
              <w:rPr>
                <w:sz w:val="20"/>
                <w:szCs w:val="20"/>
              </w:rPr>
              <w:t>1</w:t>
            </w:r>
          </w:p>
        </w:tc>
        <w:tc>
          <w:tcPr>
            <w:tcW w:w="5868" w:type="dxa"/>
            <w:tcBorders>
              <w:top w:val="nil"/>
              <w:left w:val="nil"/>
              <w:bottom w:val="single" w:sz="4" w:space="0" w:color="auto"/>
              <w:right w:val="single" w:sz="4" w:space="0" w:color="auto"/>
            </w:tcBorders>
            <w:shd w:val="clear" w:color="auto" w:fill="auto"/>
            <w:noWrap/>
            <w:vAlign w:val="bottom"/>
            <w:hideMark/>
          </w:tcPr>
          <w:p w:rsidR="00191861" w:rsidRPr="00A43F90" w:rsidRDefault="00191861" w:rsidP="00191861">
            <w:pPr>
              <w:jc w:val="center"/>
              <w:rPr>
                <w:sz w:val="20"/>
                <w:szCs w:val="20"/>
              </w:rPr>
            </w:pPr>
            <w:r w:rsidRPr="00A43F90">
              <w:rPr>
                <w:sz w:val="20"/>
                <w:szCs w:val="20"/>
              </w:rPr>
              <w:t>2</w:t>
            </w:r>
          </w:p>
        </w:tc>
        <w:tc>
          <w:tcPr>
            <w:tcW w:w="1118" w:type="dxa"/>
            <w:tcBorders>
              <w:top w:val="nil"/>
              <w:left w:val="nil"/>
              <w:bottom w:val="single" w:sz="4" w:space="0" w:color="auto"/>
              <w:right w:val="single" w:sz="4" w:space="0" w:color="auto"/>
            </w:tcBorders>
            <w:shd w:val="clear" w:color="auto" w:fill="auto"/>
            <w:noWrap/>
            <w:vAlign w:val="bottom"/>
            <w:hideMark/>
          </w:tcPr>
          <w:p w:rsidR="00191861" w:rsidRPr="00A43F90" w:rsidRDefault="00191861" w:rsidP="00191861">
            <w:pPr>
              <w:ind w:left="-122" w:right="-110"/>
              <w:jc w:val="center"/>
              <w:rPr>
                <w:sz w:val="20"/>
                <w:szCs w:val="20"/>
              </w:rPr>
            </w:pPr>
            <w:r w:rsidRPr="00A43F90">
              <w:rPr>
                <w:sz w:val="20"/>
                <w:szCs w:val="20"/>
              </w:rPr>
              <w:t>3</w:t>
            </w:r>
          </w:p>
        </w:tc>
        <w:tc>
          <w:tcPr>
            <w:tcW w:w="1239" w:type="dxa"/>
            <w:tcBorders>
              <w:top w:val="nil"/>
              <w:left w:val="nil"/>
              <w:bottom w:val="single" w:sz="4" w:space="0" w:color="auto"/>
              <w:right w:val="single" w:sz="4" w:space="0" w:color="auto"/>
            </w:tcBorders>
            <w:shd w:val="clear" w:color="auto" w:fill="auto"/>
            <w:noWrap/>
            <w:vAlign w:val="bottom"/>
            <w:hideMark/>
          </w:tcPr>
          <w:p w:rsidR="00191861" w:rsidRPr="00A43F90" w:rsidRDefault="00191861" w:rsidP="00191861">
            <w:pPr>
              <w:ind w:left="-105" w:right="-152"/>
              <w:jc w:val="center"/>
              <w:rPr>
                <w:sz w:val="20"/>
                <w:szCs w:val="20"/>
              </w:rPr>
            </w:pPr>
            <w:r w:rsidRPr="00A43F90">
              <w:rPr>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rsidR="00191861" w:rsidRPr="00A43F90" w:rsidRDefault="00191861" w:rsidP="00191861">
            <w:pPr>
              <w:ind w:left="-113" w:right="-75"/>
              <w:jc w:val="center"/>
              <w:rPr>
                <w:sz w:val="20"/>
                <w:szCs w:val="20"/>
              </w:rPr>
            </w:pPr>
            <w:r w:rsidRPr="00A43F90">
              <w:rPr>
                <w:sz w:val="20"/>
                <w:szCs w:val="20"/>
              </w:rPr>
              <w:t>5</w:t>
            </w:r>
          </w:p>
        </w:tc>
      </w:tr>
      <w:tr w:rsidR="00467F9C" w:rsidRPr="00A43F90" w:rsidTr="00A43F90">
        <w:trPr>
          <w:trHeight w:val="342"/>
          <w:jc w:val="center"/>
        </w:trPr>
        <w:tc>
          <w:tcPr>
            <w:tcW w:w="364" w:type="dxa"/>
            <w:tcBorders>
              <w:top w:val="nil"/>
              <w:left w:val="single" w:sz="4" w:space="0" w:color="auto"/>
              <w:bottom w:val="single" w:sz="4" w:space="0" w:color="auto"/>
              <w:right w:val="single" w:sz="4" w:space="0" w:color="auto"/>
            </w:tcBorders>
            <w:shd w:val="clear" w:color="auto" w:fill="auto"/>
            <w:vAlign w:val="bottom"/>
            <w:hideMark/>
          </w:tcPr>
          <w:p w:rsidR="00191861" w:rsidRPr="00A43F90" w:rsidRDefault="00191861" w:rsidP="00191861">
            <w:pPr>
              <w:ind w:left="-110" w:right="-92"/>
              <w:jc w:val="center"/>
              <w:rPr>
                <w:sz w:val="20"/>
                <w:szCs w:val="20"/>
              </w:rPr>
            </w:pPr>
            <w:r w:rsidRPr="00A43F90">
              <w:rPr>
                <w:sz w:val="20"/>
                <w:szCs w:val="20"/>
              </w:rPr>
              <w:t> </w:t>
            </w:r>
          </w:p>
        </w:tc>
        <w:tc>
          <w:tcPr>
            <w:tcW w:w="586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right="-72"/>
              <w:rPr>
                <w:b/>
                <w:bCs/>
                <w:sz w:val="20"/>
                <w:szCs w:val="20"/>
              </w:rPr>
            </w:pPr>
            <w:r w:rsidRPr="00A43F90">
              <w:rPr>
                <w:b/>
                <w:bCs/>
                <w:sz w:val="20"/>
                <w:szCs w:val="20"/>
              </w:rPr>
              <w:t>Расходы по ГП, всего</w:t>
            </w:r>
          </w:p>
        </w:tc>
        <w:tc>
          <w:tcPr>
            <w:tcW w:w="111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22" w:right="-110"/>
              <w:jc w:val="center"/>
              <w:rPr>
                <w:b/>
                <w:bCs/>
                <w:sz w:val="20"/>
                <w:szCs w:val="20"/>
              </w:rPr>
            </w:pPr>
            <w:r w:rsidRPr="00A43F90">
              <w:rPr>
                <w:b/>
                <w:bCs/>
                <w:sz w:val="20"/>
                <w:szCs w:val="20"/>
              </w:rPr>
              <w:t>51 137 588,1</w:t>
            </w:r>
          </w:p>
        </w:tc>
        <w:tc>
          <w:tcPr>
            <w:tcW w:w="123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b/>
                <w:bCs/>
                <w:sz w:val="20"/>
                <w:szCs w:val="20"/>
              </w:rPr>
            </w:pPr>
            <w:r w:rsidRPr="00A43F90">
              <w:rPr>
                <w:b/>
                <w:bCs/>
                <w:sz w:val="20"/>
                <w:szCs w:val="20"/>
              </w:rPr>
              <w:t>8 272 615,5</w:t>
            </w:r>
          </w:p>
        </w:tc>
        <w:tc>
          <w:tcPr>
            <w:tcW w:w="1172"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b/>
                <w:bCs/>
                <w:sz w:val="20"/>
                <w:szCs w:val="20"/>
              </w:rPr>
            </w:pPr>
            <w:r w:rsidRPr="00A43F90">
              <w:rPr>
                <w:b/>
                <w:bCs/>
                <w:sz w:val="20"/>
                <w:szCs w:val="20"/>
              </w:rPr>
              <w:t>16,2</w:t>
            </w:r>
          </w:p>
        </w:tc>
      </w:tr>
      <w:tr w:rsidR="00467F9C" w:rsidRPr="00A43F90" w:rsidTr="00A43F90">
        <w:trPr>
          <w:trHeight w:val="149"/>
          <w:jc w:val="center"/>
        </w:trPr>
        <w:tc>
          <w:tcPr>
            <w:tcW w:w="364" w:type="dxa"/>
            <w:tcBorders>
              <w:top w:val="nil"/>
              <w:left w:val="single" w:sz="4" w:space="0" w:color="auto"/>
              <w:bottom w:val="single" w:sz="4" w:space="0" w:color="auto"/>
              <w:right w:val="single" w:sz="4" w:space="0" w:color="auto"/>
            </w:tcBorders>
            <w:shd w:val="clear" w:color="auto" w:fill="auto"/>
            <w:vAlign w:val="bottom"/>
            <w:hideMark/>
          </w:tcPr>
          <w:p w:rsidR="00191861" w:rsidRPr="00A43F90" w:rsidRDefault="00191861" w:rsidP="00191861">
            <w:pPr>
              <w:ind w:left="-110" w:right="-92"/>
              <w:jc w:val="center"/>
              <w:rPr>
                <w:sz w:val="20"/>
                <w:szCs w:val="20"/>
              </w:rPr>
            </w:pPr>
            <w:r w:rsidRPr="00A43F90">
              <w:rPr>
                <w:sz w:val="20"/>
                <w:szCs w:val="20"/>
              </w:rPr>
              <w:t> </w:t>
            </w:r>
          </w:p>
        </w:tc>
        <w:tc>
          <w:tcPr>
            <w:tcW w:w="586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right="-72"/>
              <w:rPr>
                <w:b/>
                <w:bCs/>
                <w:sz w:val="20"/>
                <w:szCs w:val="20"/>
              </w:rPr>
            </w:pPr>
            <w:r w:rsidRPr="00A43F90">
              <w:rPr>
                <w:b/>
                <w:bCs/>
                <w:sz w:val="20"/>
                <w:szCs w:val="20"/>
              </w:rPr>
              <w:t>Департамент промышленной политики Чукотского АО</w:t>
            </w:r>
          </w:p>
        </w:tc>
        <w:tc>
          <w:tcPr>
            <w:tcW w:w="111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22" w:right="-110"/>
              <w:jc w:val="center"/>
              <w:rPr>
                <w:b/>
                <w:bCs/>
                <w:sz w:val="20"/>
                <w:szCs w:val="20"/>
              </w:rPr>
            </w:pPr>
            <w:r w:rsidRPr="00A43F90">
              <w:rPr>
                <w:b/>
                <w:bCs/>
                <w:sz w:val="20"/>
                <w:szCs w:val="20"/>
              </w:rPr>
              <w:t>25 806 722,5</w:t>
            </w:r>
          </w:p>
        </w:tc>
        <w:tc>
          <w:tcPr>
            <w:tcW w:w="123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b/>
                <w:bCs/>
                <w:sz w:val="20"/>
                <w:szCs w:val="20"/>
              </w:rPr>
            </w:pPr>
            <w:r w:rsidRPr="00A43F90">
              <w:rPr>
                <w:b/>
                <w:bCs/>
                <w:sz w:val="20"/>
                <w:szCs w:val="20"/>
              </w:rPr>
              <w:t>3 728 099,6</w:t>
            </w:r>
          </w:p>
        </w:tc>
        <w:tc>
          <w:tcPr>
            <w:tcW w:w="1172"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b/>
                <w:bCs/>
                <w:sz w:val="20"/>
                <w:szCs w:val="20"/>
              </w:rPr>
            </w:pPr>
            <w:r w:rsidRPr="00A43F90">
              <w:rPr>
                <w:b/>
                <w:bCs/>
                <w:sz w:val="20"/>
                <w:szCs w:val="20"/>
              </w:rPr>
              <w:t>14,4</w:t>
            </w:r>
          </w:p>
        </w:tc>
      </w:tr>
      <w:tr w:rsidR="00467F9C" w:rsidRPr="00A43F90" w:rsidTr="00A43F90">
        <w:trPr>
          <w:trHeight w:val="33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ind w:left="-110" w:right="-92"/>
              <w:jc w:val="center"/>
              <w:rPr>
                <w:sz w:val="20"/>
                <w:szCs w:val="20"/>
              </w:rPr>
            </w:pPr>
            <w:r w:rsidRPr="00A43F90">
              <w:rPr>
                <w:sz w:val="20"/>
                <w:szCs w:val="20"/>
              </w:rPr>
              <w:lastRenderedPageBreak/>
              <w:t>1</w:t>
            </w:r>
          </w:p>
        </w:tc>
        <w:tc>
          <w:tcPr>
            <w:tcW w:w="586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right="-72"/>
              <w:rPr>
                <w:sz w:val="20"/>
                <w:szCs w:val="20"/>
              </w:rPr>
            </w:pPr>
            <w:r w:rsidRPr="00A43F90">
              <w:rPr>
                <w:sz w:val="20"/>
                <w:szCs w:val="20"/>
              </w:rPr>
              <w:t>Информационное общество Чукотского автономного округа</w:t>
            </w:r>
          </w:p>
        </w:tc>
        <w:tc>
          <w:tcPr>
            <w:tcW w:w="111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22" w:right="-110"/>
              <w:jc w:val="center"/>
              <w:rPr>
                <w:sz w:val="20"/>
                <w:szCs w:val="20"/>
              </w:rPr>
            </w:pPr>
            <w:r w:rsidRPr="00A43F90">
              <w:rPr>
                <w:sz w:val="20"/>
                <w:szCs w:val="20"/>
              </w:rPr>
              <w:t>687 400,9</w:t>
            </w:r>
          </w:p>
        </w:tc>
        <w:tc>
          <w:tcPr>
            <w:tcW w:w="123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sz w:val="20"/>
                <w:szCs w:val="20"/>
              </w:rPr>
            </w:pPr>
            <w:r w:rsidRPr="00A43F90">
              <w:rPr>
                <w:sz w:val="20"/>
                <w:szCs w:val="20"/>
              </w:rPr>
              <w:t>85 260,3</w:t>
            </w:r>
          </w:p>
        </w:tc>
        <w:tc>
          <w:tcPr>
            <w:tcW w:w="1172"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sz w:val="20"/>
                <w:szCs w:val="20"/>
              </w:rPr>
            </w:pPr>
            <w:r w:rsidRPr="00A43F90">
              <w:rPr>
                <w:sz w:val="20"/>
                <w:szCs w:val="20"/>
              </w:rPr>
              <w:t>12,4</w:t>
            </w:r>
          </w:p>
        </w:tc>
      </w:tr>
      <w:tr w:rsidR="00467F9C" w:rsidRPr="00A43F90" w:rsidTr="00A43F90">
        <w:trPr>
          <w:trHeight w:val="313"/>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ind w:left="-110" w:right="-92"/>
              <w:jc w:val="center"/>
              <w:rPr>
                <w:sz w:val="20"/>
                <w:szCs w:val="20"/>
              </w:rPr>
            </w:pPr>
            <w:r w:rsidRPr="00A43F90">
              <w:rPr>
                <w:sz w:val="20"/>
                <w:szCs w:val="20"/>
              </w:rPr>
              <w:t>2</w:t>
            </w:r>
          </w:p>
        </w:tc>
        <w:tc>
          <w:tcPr>
            <w:tcW w:w="586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right="-72"/>
              <w:rPr>
                <w:sz w:val="20"/>
                <w:szCs w:val="20"/>
              </w:rPr>
            </w:pPr>
            <w:r w:rsidRPr="00A43F90">
              <w:rPr>
                <w:sz w:val="20"/>
                <w:szCs w:val="20"/>
              </w:rPr>
              <w:t>Развитие жилищно-коммунального хозяйства и водохозяйственного комплекса Чукотского автономного округа</w:t>
            </w:r>
          </w:p>
        </w:tc>
        <w:tc>
          <w:tcPr>
            <w:tcW w:w="111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22" w:right="-110"/>
              <w:jc w:val="center"/>
              <w:rPr>
                <w:sz w:val="20"/>
                <w:szCs w:val="20"/>
              </w:rPr>
            </w:pPr>
            <w:r w:rsidRPr="00A43F90">
              <w:rPr>
                <w:sz w:val="20"/>
                <w:szCs w:val="20"/>
              </w:rPr>
              <w:t>6 660 989,8</w:t>
            </w:r>
          </w:p>
        </w:tc>
        <w:tc>
          <w:tcPr>
            <w:tcW w:w="123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sz w:val="20"/>
                <w:szCs w:val="20"/>
              </w:rPr>
            </w:pPr>
            <w:r w:rsidRPr="00A43F90">
              <w:rPr>
                <w:sz w:val="20"/>
                <w:szCs w:val="20"/>
              </w:rPr>
              <w:t>1 476 324,5</w:t>
            </w:r>
          </w:p>
        </w:tc>
        <w:tc>
          <w:tcPr>
            <w:tcW w:w="1172"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sz w:val="20"/>
                <w:szCs w:val="20"/>
              </w:rPr>
            </w:pPr>
            <w:r w:rsidRPr="00A43F90">
              <w:rPr>
                <w:sz w:val="20"/>
                <w:szCs w:val="20"/>
              </w:rPr>
              <w:t>22,2</w:t>
            </w:r>
          </w:p>
        </w:tc>
      </w:tr>
      <w:tr w:rsidR="00467F9C" w:rsidRPr="00A43F90" w:rsidTr="00A43F90">
        <w:trPr>
          <w:trHeight w:val="380"/>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ind w:left="-110" w:right="-92"/>
              <w:jc w:val="center"/>
              <w:rPr>
                <w:sz w:val="20"/>
                <w:szCs w:val="20"/>
              </w:rPr>
            </w:pPr>
            <w:r w:rsidRPr="00A43F90">
              <w:rPr>
                <w:sz w:val="20"/>
                <w:szCs w:val="20"/>
              </w:rPr>
              <w:t>3</w:t>
            </w:r>
          </w:p>
        </w:tc>
        <w:tc>
          <w:tcPr>
            <w:tcW w:w="586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right="-72"/>
              <w:rPr>
                <w:sz w:val="20"/>
                <w:szCs w:val="20"/>
              </w:rPr>
            </w:pPr>
            <w:r w:rsidRPr="00A43F90">
              <w:rPr>
                <w:sz w:val="20"/>
                <w:szCs w:val="20"/>
              </w:rPr>
              <w:t>Развитие транспортной инфраструктуры Чукотского автономного округа</w:t>
            </w:r>
          </w:p>
        </w:tc>
        <w:tc>
          <w:tcPr>
            <w:tcW w:w="111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22" w:right="-110"/>
              <w:jc w:val="center"/>
              <w:rPr>
                <w:sz w:val="20"/>
                <w:szCs w:val="20"/>
              </w:rPr>
            </w:pPr>
            <w:r w:rsidRPr="00A43F90">
              <w:rPr>
                <w:sz w:val="20"/>
                <w:szCs w:val="20"/>
              </w:rPr>
              <w:t>6 935 561,7</w:t>
            </w:r>
          </w:p>
        </w:tc>
        <w:tc>
          <w:tcPr>
            <w:tcW w:w="123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sz w:val="20"/>
                <w:szCs w:val="20"/>
              </w:rPr>
            </w:pPr>
            <w:r w:rsidRPr="00A43F90">
              <w:rPr>
                <w:sz w:val="20"/>
                <w:szCs w:val="20"/>
              </w:rPr>
              <w:t>240 059,9</w:t>
            </w:r>
          </w:p>
        </w:tc>
        <w:tc>
          <w:tcPr>
            <w:tcW w:w="1172"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sz w:val="20"/>
                <w:szCs w:val="20"/>
              </w:rPr>
            </w:pPr>
            <w:r w:rsidRPr="00A43F90">
              <w:rPr>
                <w:sz w:val="20"/>
                <w:szCs w:val="20"/>
              </w:rPr>
              <w:t>3,5</w:t>
            </w:r>
          </w:p>
        </w:tc>
      </w:tr>
      <w:tr w:rsidR="00467F9C" w:rsidRPr="00A43F90" w:rsidTr="00A43F90">
        <w:trPr>
          <w:trHeight w:val="285"/>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ind w:left="-110" w:right="-92"/>
              <w:jc w:val="center"/>
              <w:rPr>
                <w:sz w:val="20"/>
                <w:szCs w:val="20"/>
              </w:rPr>
            </w:pPr>
            <w:r w:rsidRPr="00A43F90">
              <w:rPr>
                <w:sz w:val="20"/>
                <w:szCs w:val="20"/>
              </w:rPr>
              <w:t>4</w:t>
            </w:r>
          </w:p>
        </w:tc>
        <w:tc>
          <w:tcPr>
            <w:tcW w:w="586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right="-72"/>
              <w:rPr>
                <w:sz w:val="20"/>
                <w:szCs w:val="20"/>
              </w:rPr>
            </w:pPr>
            <w:r w:rsidRPr="00A43F90">
              <w:rPr>
                <w:sz w:val="20"/>
                <w:szCs w:val="20"/>
              </w:rPr>
              <w:t>Развитие жилищного строительства в Чукотском автономном округе</w:t>
            </w:r>
          </w:p>
        </w:tc>
        <w:tc>
          <w:tcPr>
            <w:tcW w:w="111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22" w:right="-110"/>
              <w:jc w:val="center"/>
              <w:rPr>
                <w:sz w:val="20"/>
                <w:szCs w:val="20"/>
              </w:rPr>
            </w:pPr>
            <w:r w:rsidRPr="00A43F90">
              <w:rPr>
                <w:sz w:val="20"/>
                <w:szCs w:val="20"/>
              </w:rPr>
              <w:t>591 010,7</w:t>
            </w:r>
          </w:p>
        </w:tc>
        <w:tc>
          <w:tcPr>
            <w:tcW w:w="123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sz w:val="20"/>
                <w:szCs w:val="20"/>
              </w:rPr>
            </w:pPr>
            <w:r w:rsidRPr="00A43F90">
              <w:rPr>
                <w:sz w:val="20"/>
                <w:szCs w:val="20"/>
              </w:rPr>
              <w:t>54,9</w:t>
            </w:r>
          </w:p>
        </w:tc>
        <w:tc>
          <w:tcPr>
            <w:tcW w:w="1172"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sz w:val="20"/>
                <w:szCs w:val="20"/>
              </w:rPr>
            </w:pPr>
            <w:r w:rsidRPr="00A43F90">
              <w:rPr>
                <w:sz w:val="20"/>
                <w:szCs w:val="20"/>
              </w:rPr>
              <w:t>0,01</w:t>
            </w:r>
          </w:p>
        </w:tc>
      </w:tr>
      <w:tr w:rsidR="00467F9C" w:rsidRPr="00A43F90" w:rsidTr="00A43F90">
        <w:trPr>
          <w:trHeight w:val="383"/>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ind w:left="-110" w:right="-92"/>
              <w:jc w:val="center"/>
              <w:rPr>
                <w:sz w:val="20"/>
                <w:szCs w:val="20"/>
              </w:rPr>
            </w:pPr>
            <w:r w:rsidRPr="00A43F90">
              <w:rPr>
                <w:sz w:val="20"/>
                <w:szCs w:val="20"/>
              </w:rPr>
              <w:t>5</w:t>
            </w:r>
          </w:p>
        </w:tc>
        <w:tc>
          <w:tcPr>
            <w:tcW w:w="586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right="-115"/>
              <w:rPr>
                <w:sz w:val="20"/>
                <w:szCs w:val="20"/>
              </w:rPr>
            </w:pPr>
            <w:r w:rsidRPr="00A43F90">
              <w:rPr>
                <w:sz w:val="20"/>
                <w:szCs w:val="20"/>
              </w:rPr>
              <w:t>Предупреждение чрезвычайных ситуаций природного и техногенного характера и обеспечение пожарной безопасности в Чукотском автономном округе</w:t>
            </w:r>
          </w:p>
        </w:tc>
        <w:tc>
          <w:tcPr>
            <w:tcW w:w="111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right="-110"/>
              <w:jc w:val="center"/>
              <w:rPr>
                <w:sz w:val="20"/>
                <w:szCs w:val="20"/>
              </w:rPr>
            </w:pPr>
            <w:r w:rsidRPr="00A43F90">
              <w:rPr>
                <w:sz w:val="20"/>
                <w:szCs w:val="20"/>
              </w:rPr>
              <w:t>595 802,2</w:t>
            </w:r>
          </w:p>
        </w:tc>
        <w:tc>
          <w:tcPr>
            <w:tcW w:w="123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sz w:val="20"/>
                <w:szCs w:val="20"/>
              </w:rPr>
            </w:pPr>
            <w:r w:rsidRPr="00A43F90">
              <w:rPr>
                <w:sz w:val="20"/>
                <w:szCs w:val="20"/>
              </w:rPr>
              <w:t>78 700,4</w:t>
            </w:r>
          </w:p>
        </w:tc>
        <w:tc>
          <w:tcPr>
            <w:tcW w:w="1172"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sz w:val="20"/>
                <w:szCs w:val="20"/>
              </w:rPr>
            </w:pPr>
            <w:r w:rsidRPr="00A43F90">
              <w:rPr>
                <w:sz w:val="20"/>
                <w:szCs w:val="20"/>
              </w:rPr>
              <w:t>13,2</w:t>
            </w:r>
          </w:p>
        </w:tc>
      </w:tr>
      <w:tr w:rsidR="00467F9C" w:rsidRPr="00A43F90" w:rsidTr="00A43F90">
        <w:trPr>
          <w:trHeight w:val="285"/>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ind w:left="-110" w:right="-92"/>
              <w:jc w:val="center"/>
              <w:rPr>
                <w:sz w:val="20"/>
                <w:szCs w:val="20"/>
              </w:rPr>
            </w:pPr>
            <w:r w:rsidRPr="00A43F90">
              <w:rPr>
                <w:sz w:val="20"/>
                <w:szCs w:val="20"/>
              </w:rPr>
              <w:t>6</w:t>
            </w:r>
          </w:p>
        </w:tc>
        <w:tc>
          <w:tcPr>
            <w:tcW w:w="586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right="-72"/>
              <w:rPr>
                <w:sz w:val="20"/>
                <w:szCs w:val="20"/>
              </w:rPr>
            </w:pPr>
            <w:r w:rsidRPr="00A43F90">
              <w:rPr>
                <w:sz w:val="20"/>
                <w:szCs w:val="20"/>
              </w:rPr>
              <w:t>Развитие энергетики Чукотского автономного округа</w:t>
            </w:r>
          </w:p>
        </w:tc>
        <w:tc>
          <w:tcPr>
            <w:tcW w:w="111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22" w:right="-110"/>
              <w:jc w:val="center"/>
              <w:rPr>
                <w:sz w:val="20"/>
                <w:szCs w:val="20"/>
              </w:rPr>
            </w:pPr>
            <w:r w:rsidRPr="00A43F90">
              <w:rPr>
                <w:sz w:val="20"/>
                <w:szCs w:val="20"/>
              </w:rPr>
              <w:t>9 805 895,0</w:t>
            </w:r>
          </w:p>
        </w:tc>
        <w:tc>
          <w:tcPr>
            <w:tcW w:w="123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sz w:val="20"/>
                <w:szCs w:val="20"/>
              </w:rPr>
            </w:pPr>
            <w:r w:rsidRPr="00A43F90">
              <w:rPr>
                <w:sz w:val="20"/>
                <w:szCs w:val="20"/>
              </w:rPr>
              <w:t>1 847 699,7</w:t>
            </w:r>
          </w:p>
        </w:tc>
        <w:tc>
          <w:tcPr>
            <w:tcW w:w="1172"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sz w:val="20"/>
                <w:szCs w:val="20"/>
              </w:rPr>
            </w:pPr>
            <w:r w:rsidRPr="00A43F90">
              <w:rPr>
                <w:sz w:val="20"/>
                <w:szCs w:val="20"/>
              </w:rPr>
              <w:t>18,8</w:t>
            </w:r>
          </w:p>
        </w:tc>
      </w:tr>
      <w:tr w:rsidR="00467F9C" w:rsidRPr="00A43F90" w:rsidTr="00A43F90">
        <w:trPr>
          <w:trHeight w:val="240"/>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ind w:left="-110" w:right="-92"/>
              <w:jc w:val="center"/>
              <w:rPr>
                <w:sz w:val="20"/>
                <w:szCs w:val="20"/>
              </w:rPr>
            </w:pPr>
            <w:r w:rsidRPr="00A43F90">
              <w:rPr>
                <w:sz w:val="20"/>
                <w:szCs w:val="20"/>
              </w:rPr>
              <w:t>7</w:t>
            </w:r>
          </w:p>
        </w:tc>
        <w:tc>
          <w:tcPr>
            <w:tcW w:w="586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right="-72"/>
              <w:rPr>
                <w:sz w:val="20"/>
                <w:szCs w:val="20"/>
              </w:rPr>
            </w:pPr>
            <w:r w:rsidRPr="00A43F90">
              <w:rPr>
                <w:sz w:val="20"/>
                <w:szCs w:val="20"/>
              </w:rPr>
              <w:t>Формирование комфортной городской среды в Чукотском автономном округе</w:t>
            </w:r>
          </w:p>
        </w:tc>
        <w:tc>
          <w:tcPr>
            <w:tcW w:w="111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22" w:right="-110"/>
              <w:jc w:val="center"/>
              <w:rPr>
                <w:sz w:val="20"/>
                <w:szCs w:val="20"/>
              </w:rPr>
            </w:pPr>
            <w:r w:rsidRPr="00A43F90">
              <w:rPr>
                <w:sz w:val="20"/>
                <w:szCs w:val="20"/>
              </w:rPr>
              <w:t>56 249,2</w:t>
            </w:r>
          </w:p>
        </w:tc>
        <w:tc>
          <w:tcPr>
            <w:tcW w:w="123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sz w:val="20"/>
                <w:szCs w:val="20"/>
              </w:rPr>
            </w:pPr>
            <w:r w:rsidRPr="00A43F90">
              <w:rPr>
                <w:sz w:val="20"/>
                <w:szCs w:val="20"/>
              </w:rPr>
              <w:t>0,0</w:t>
            </w:r>
          </w:p>
        </w:tc>
        <w:tc>
          <w:tcPr>
            <w:tcW w:w="1172"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sz w:val="20"/>
                <w:szCs w:val="20"/>
              </w:rPr>
            </w:pPr>
            <w:r w:rsidRPr="00A43F90">
              <w:rPr>
                <w:sz w:val="20"/>
                <w:szCs w:val="20"/>
              </w:rPr>
              <w:t>0,0</w:t>
            </w:r>
          </w:p>
        </w:tc>
      </w:tr>
      <w:tr w:rsidR="00467F9C" w:rsidRPr="00A43F90" w:rsidTr="00A43F90">
        <w:trPr>
          <w:trHeight w:val="480"/>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ind w:left="-110" w:right="-92"/>
              <w:jc w:val="center"/>
              <w:rPr>
                <w:sz w:val="20"/>
                <w:szCs w:val="20"/>
              </w:rPr>
            </w:pPr>
            <w:r w:rsidRPr="00A43F90">
              <w:rPr>
                <w:sz w:val="20"/>
                <w:szCs w:val="20"/>
              </w:rPr>
              <w:t>8</w:t>
            </w:r>
          </w:p>
        </w:tc>
        <w:tc>
          <w:tcPr>
            <w:tcW w:w="586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right="-72"/>
              <w:rPr>
                <w:sz w:val="20"/>
                <w:szCs w:val="20"/>
              </w:rPr>
            </w:pPr>
            <w:r w:rsidRPr="00A43F90">
              <w:rPr>
                <w:sz w:val="20"/>
                <w:szCs w:val="20"/>
              </w:rPr>
              <w:t>Обеспечение устойчивого сокращения непригодного для проживания жилищного фонда в Чукотском автономном округе</w:t>
            </w:r>
          </w:p>
        </w:tc>
        <w:tc>
          <w:tcPr>
            <w:tcW w:w="111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22" w:right="-110"/>
              <w:jc w:val="center"/>
              <w:rPr>
                <w:sz w:val="20"/>
                <w:szCs w:val="20"/>
              </w:rPr>
            </w:pPr>
            <w:r w:rsidRPr="00A43F90">
              <w:rPr>
                <w:sz w:val="20"/>
                <w:szCs w:val="20"/>
              </w:rPr>
              <w:t>473 813,0</w:t>
            </w:r>
          </w:p>
        </w:tc>
        <w:tc>
          <w:tcPr>
            <w:tcW w:w="123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sz w:val="20"/>
                <w:szCs w:val="20"/>
              </w:rPr>
            </w:pPr>
            <w:r w:rsidRPr="00A43F90">
              <w:rPr>
                <w:sz w:val="20"/>
                <w:szCs w:val="20"/>
              </w:rPr>
              <w:t>0,0</w:t>
            </w:r>
          </w:p>
        </w:tc>
        <w:tc>
          <w:tcPr>
            <w:tcW w:w="1172"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sz w:val="20"/>
                <w:szCs w:val="20"/>
              </w:rPr>
            </w:pPr>
            <w:r w:rsidRPr="00A43F90">
              <w:rPr>
                <w:sz w:val="20"/>
                <w:szCs w:val="20"/>
              </w:rPr>
              <w:t>0,0</w:t>
            </w:r>
          </w:p>
        </w:tc>
      </w:tr>
      <w:tr w:rsidR="00467F9C" w:rsidRPr="00A43F90" w:rsidTr="00A43F90">
        <w:trPr>
          <w:trHeight w:val="240"/>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ind w:left="-110" w:right="-92"/>
              <w:jc w:val="center"/>
              <w:rPr>
                <w:b/>
                <w:bCs/>
                <w:sz w:val="20"/>
                <w:szCs w:val="20"/>
              </w:rPr>
            </w:pPr>
            <w:r w:rsidRPr="00A43F90">
              <w:rPr>
                <w:b/>
                <w:bCs/>
                <w:sz w:val="20"/>
                <w:szCs w:val="20"/>
              </w:rPr>
              <w:t> </w:t>
            </w:r>
          </w:p>
        </w:tc>
        <w:tc>
          <w:tcPr>
            <w:tcW w:w="586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right="-72"/>
              <w:rPr>
                <w:b/>
                <w:bCs/>
                <w:sz w:val="20"/>
                <w:szCs w:val="20"/>
              </w:rPr>
            </w:pPr>
            <w:r w:rsidRPr="00A43F90">
              <w:rPr>
                <w:b/>
                <w:bCs/>
                <w:sz w:val="20"/>
                <w:szCs w:val="20"/>
              </w:rPr>
              <w:t>Департамент социальной политики Чукотского АО</w:t>
            </w:r>
          </w:p>
        </w:tc>
        <w:tc>
          <w:tcPr>
            <w:tcW w:w="111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22" w:right="-110"/>
              <w:jc w:val="center"/>
              <w:rPr>
                <w:b/>
                <w:bCs/>
                <w:sz w:val="20"/>
                <w:szCs w:val="20"/>
              </w:rPr>
            </w:pPr>
            <w:r w:rsidRPr="00A43F90">
              <w:rPr>
                <w:b/>
                <w:bCs/>
                <w:sz w:val="20"/>
                <w:szCs w:val="20"/>
              </w:rPr>
              <w:t>3 186 977,8</w:t>
            </w:r>
          </w:p>
        </w:tc>
        <w:tc>
          <w:tcPr>
            <w:tcW w:w="123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b/>
                <w:bCs/>
                <w:sz w:val="20"/>
                <w:szCs w:val="20"/>
              </w:rPr>
            </w:pPr>
            <w:r w:rsidRPr="00A43F90">
              <w:rPr>
                <w:b/>
                <w:bCs/>
                <w:sz w:val="20"/>
                <w:szCs w:val="20"/>
              </w:rPr>
              <w:t>746 766,5</w:t>
            </w:r>
          </w:p>
        </w:tc>
        <w:tc>
          <w:tcPr>
            <w:tcW w:w="1172"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b/>
                <w:bCs/>
                <w:sz w:val="20"/>
                <w:szCs w:val="20"/>
              </w:rPr>
            </w:pPr>
            <w:r w:rsidRPr="00A43F90">
              <w:rPr>
                <w:b/>
                <w:bCs/>
                <w:sz w:val="20"/>
                <w:szCs w:val="20"/>
              </w:rPr>
              <w:t>23,4</w:t>
            </w:r>
          </w:p>
        </w:tc>
      </w:tr>
      <w:tr w:rsidR="00467F9C" w:rsidRPr="00A43F90" w:rsidTr="00A43F90">
        <w:trPr>
          <w:trHeight w:val="335"/>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ind w:left="-110" w:right="-92"/>
              <w:jc w:val="center"/>
              <w:rPr>
                <w:sz w:val="20"/>
                <w:szCs w:val="20"/>
              </w:rPr>
            </w:pPr>
            <w:r w:rsidRPr="00A43F90">
              <w:rPr>
                <w:sz w:val="20"/>
                <w:szCs w:val="20"/>
              </w:rPr>
              <w:t>1</w:t>
            </w:r>
          </w:p>
        </w:tc>
        <w:tc>
          <w:tcPr>
            <w:tcW w:w="586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right="-72"/>
              <w:rPr>
                <w:sz w:val="20"/>
                <w:szCs w:val="20"/>
              </w:rPr>
            </w:pPr>
            <w:r w:rsidRPr="00A43F90">
              <w:rPr>
                <w:sz w:val="20"/>
                <w:szCs w:val="20"/>
              </w:rPr>
              <w:t>Развитие занятости населения Чукотского автономного округа</w:t>
            </w:r>
          </w:p>
        </w:tc>
        <w:tc>
          <w:tcPr>
            <w:tcW w:w="111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22" w:right="-110"/>
              <w:jc w:val="center"/>
              <w:rPr>
                <w:sz w:val="20"/>
                <w:szCs w:val="20"/>
              </w:rPr>
            </w:pPr>
            <w:r w:rsidRPr="00A43F90">
              <w:rPr>
                <w:sz w:val="20"/>
                <w:szCs w:val="20"/>
              </w:rPr>
              <w:t>199 791,3</w:t>
            </w:r>
          </w:p>
        </w:tc>
        <w:tc>
          <w:tcPr>
            <w:tcW w:w="123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sz w:val="20"/>
                <w:szCs w:val="20"/>
              </w:rPr>
            </w:pPr>
            <w:r w:rsidRPr="00A43F90">
              <w:rPr>
                <w:sz w:val="20"/>
                <w:szCs w:val="20"/>
              </w:rPr>
              <w:t>24 222,6</w:t>
            </w:r>
          </w:p>
        </w:tc>
        <w:tc>
          <w:tcPr>
            <w:tcW w:w="1172"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sz w:val="20"/>
                <w:szCs w:val="20"/>
              </w:rPr>
            </w:pPr>
            <w:r w:rsidRPr="00A43F90">
              <w:rPr>
                <w:sz w:val="20"/>
                <w:szCs w:val="20"/>
              </w:rPr>
              <w:t>12,1</w:t>
            </w:r>
          </w:p>
        </w:tc>
      </w:tr>
      <w:tr w:rsidR="00467F9C" w:rsidRPr="00A43F90" w:rsidTr="00A43F90">
        <w:trPr>
          <w:trHeight w:val="270"/>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ind w:left="-110" w:right="-92"/>
              <w:jc w:val="center"/>
              <w:rPr>
                <w:sz w:val="20"/>
                <w:szCs w:val="20"/>
              </w:rPr>
            </w:pPr>
            <w:r w:rsidRPr="00A43F90">
              <w:rPr>
                <w:sz w:val="20"/>
                <w:szCs w:val="20"/>
              </w:rPr>
              <w:t>2</w:t>
            </w:r>
          </w:p>
        </w:tc>
        <w:tc>
          <w:tcPr>
            <w:tcW w:w="586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right="-72"/>
              <w:rPr>
                <w:sz w:val="20"/>
                <w:szCs w:val="20"/>
              </w:rPr>
            </w:pPr>
            <w:r w:rsidRPr="00A43F90">
              <w:rPr>
                <w:sz w:val="20"/>
                <w:szCs w:val="20"/>
              </w:rPr>
              <w:t>Социальная поддержка населения Чукотского автономного округа</w:t>
            </w:r>
          </w:p>
        </w:tc>
        <w:tc>
          <w:tcPr>
            <w:tcW w:w="111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22" w:right="-110"/>
              <w:jc w:val="center"/>
              <w:rPr>
                <w:sz w:val="20"/>
                <w:szCs w:val="20"/>
              </w:rPr>
            </w:pPr>
            <w:r w:rsidRPr="00A43F90">
              <w:rPr>
                <w:sz w:val="20"/>
                <w:szCs w:val="20"/>
              </w:rPr>
              <w:t>2 631 696,7</w:t>
            </w:r>
          </w:p>
        </w:tc>
        <w:tc>
          <w:tcPr>
            <w:tcW w:w="123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sz w:val="20"/>
                <w:szCs w:val="20"/>
              </w:rPr>
            </w:pPr>
            <w:r w:rsidRPr="00A43F90">
              <w:rPr>
                <w:sz w:val="20"/>
                <w:szCs w:val="20"/>
              </w:rPr>
              <w:t>546 813,1</w:t>
            </w:r>
          </w:p>
        </w:tc>
        <w:tc>
          <w:tcPr>
            <w:tcW w:w="1172"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sz w:val="20"/>
                <w:szCs w:val="20"/>
              </w:rPr>
            </w:pPr>
            <w:r w:rsidRPr="00A43F90">
              <w:rPr>
                <w:sz w:val="20"/>
                <w:szCs w:val="20"/>
              </w:rPr>
              <w:t>20,8</w:t>
            </w:r>
          </w:p>
        </w:tc>
      </w:tr>
      <w:tr w:rsidR="00467F9C" w:rsidRPr="00A43F90" w:rsidTr="00A43F90">
        <w:trPr>
          <w:trHeight w:val="283"/>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ind w:left="-110" w:right="-92"/>
              <w:jc w:val="center"/>
              <w:rPr>
                <w:sz w:val="20"/>
                <w:szCs w:val="20"/>
              </w:rPr>
            </w:pPr>
            <w:r w:rsidRPr="00A43F90">
              <w:rPr>
                <w:sz w:val="20"/>
                <w:szCs w:val="20"/>
              </w:rPr>
              <w:t>3</w:t>
            </w:r>
          </w:p>
        </w:tc>
        <w:tc>
          <w:tcPr>
            <w:tcW w:w="586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right="-72"/>
              <w:rPr>
                <w:sz w:val="20"/>
                <w:szCs w:val="20"/>
              </w:rPr>
            </w:pPr>
            <w:r w:rsidRPr="00A43F90">
              <w:rPr>
                <w:sz w:val="20"/>
                <w:szCs w:val="20"/>
              </w:rPr>
              <w:t>Стимулирование экономической активности населения Чукотского АО</w:t>
            </w:r>
          </w:p>
        </w:tc>
        <w:tc>
          <w:tcPr>
            <w:tcW w:w="111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22" w:right="-110"/>
              <w:jc w:val="center"/>
              <w:rPr>
                <w:sz w:val="20"/>
                <w:szCs w:val="20"/>
              </w:rPr>
            </w:pPr>
            <w:r w:rsidRPr="00A43F90">
              <w:rPr>
                <w:sz w:val="20"/>
                <w:szCs w:val="20"/>
              </w:rPr>
              <w:t>355 489,8</w:t>
            </w:r>
          </w:p>
        </w:tc>
        <w:tc>
          <w:tcPr>
            <w:tcW w:w="123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sz w:val="20"/>
                <w:szCs w:val="20"/>
              </w:rPr>
            </w:pPr>
            <w:r w:rsidRPr="00A43F90">
              <w:rPr>
                <w:sz w:val="20"/>
                <w:szCs w:val="20"/>
              </w:rPr>
              <w:t>175 730,7</w:t>
            </w:r>
          </w:p>
        </w:tc>
        <w:tc>
          <w:tcPr>
            <w:tcW w:w="1172"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sz w:val="20"/>
                <w:szCs w:val="20"/>
              </w:rPr>
            </w:pPr>
            <w:r w:rsidRPr="00A43F90">
              <w:rPr>
                <w:sz w:val="20"/>
                <w:szCs w:val="20"/>
              </w:rPr>
              <w:t>49,4</w:t>
            </w:r>
          </w:p>
        </w:tc>
      </w:tr>
      <w:tr w:rsidR="00467F9C" w:rsidRPr="00A43F90" w:rsidTr="00A43F90">
        <w:trPr>
          <w:trHeight w:val="267"/>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ind w:left="-110" w:right="-92"/>
              <w:jc w:val="center"/>
              <w:rPr>
                <w:b/>
                <w:bCs/>
                <w:sz w:val="20"/>
                <w:szCs w:val="20"/>
              </w:rPr>
            </w:pPr>
            <w:r w:rsidRPr="00A43F90">
              <w:rPr>
                <w:b/>
                <w:bCs/>
                <w:sz w:val="20"/>
                <w:szCs w:val="20"/>
              </w:rPr>
              <w:t> </w:t>
            </w:r>
          </w:p>
        </w:tc>
        <w:tc>
          <w:tcPr>
            <w:tcW w:w="586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right="-72"/>
              <w:rPr>
                <w:b/>
                <w:bCs/>
                <w:sz w:val="20"/>
                <w:szCs w:val="20"/>
              </w:rPr>
            </w:pPr>
            <w:r w:rsidRPr="00A43F90">
              <w:rPr>
                <w:b/>
                <w:bCs/>
                <w:sz w:val="20"/>
                <w:szCs w:val="20"/>
              </w:rPr>
              <w:t xml:space="preserve">Департамент финансов </w:t>
            </w:r>
          </w:p>
        </w:tc>
        <w:tc>
          <w:tcPr>
            <w:tcW w:w="111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22" w:right="-110"/>
              <w:jc w:val="center"/>
              <w:rPr>
                <w:b/>
                <w:bCs/>
                <w:sz w:val="20"/>
                <w:szCs w:val="20"/>
              </w:rPr>
            </w:pPr>
            <w:r w:rsidRPr="00A43F90">
              <w:rPr>
                <w:b/>
                <w:bCs/>
                <w:sz w:val="20"/>
                <w:szCs w:val="20"/>
              </w:rPr>
              <w:t>4 865 613,5</w:t>
            </w:r>
          </w:p>
        </w:tc>
        <w:tc>
          <w:tcPr>
            <w:tcW w:w="123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b/>
                <w:bCs/>
                <w:sz w:val="20"/>
                <w:szCs w:val="20"/>
              </w:rPr>
            </w:pPr>
            <w:r w:rsidRPr="00A43F90">
              <w:rPr>
                <w:b/>
                <w:bCs/>
                <w:sz w:val="20"/>
                <w:szCs w:val="20"/>
              </w:rPr>
              <w:t>553 486,3</w:t>
            </w:r>
          </w:p>
        </w:tc>
        <w:tc>
          <w:tcPr>
            <w:tcW w:w="1172"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b/>
                <w:bCs/>
                <w:sz w:val="20"/>
                <w:szCs w:val="20"/>
              </w:rPr>
            </w:pPr>
            <w:r w:rsidRPr="00A43F90">
              <w:rPr>
                <w:b/>
                <w:bCs/>
                <w:sz w:val="20"/>
                <w:szCs w:val="20"/>
              </w:rPr>
              <w:t>11,4</w:t>
            </w:r>
          </w:p>
        </w:tc>
      </w:tr>
      <w:tr w:rsidR="00467F9C" w:rsidRPr="00A43F90" w:rsidTr="00A43F90">
        <w:trPr>
          <w:trHeight w:val="383"/>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ind w:left="-110" w:right="-92"/>
              <w:jc w:val="center"/>
              <w:rPr>
                <w:sz w:val="20"/>
                <w:szCs w:val="20"/>
              </w:rPr>
            </w:pPr>
            <w:r w:rsidRPr="00A43F90">
              <w:rPr>
                <w:sz w:val="20"/>
                <w:szCs w:val="20"/>
              </w:rPr>
              <w:t>1</w:t>
            </w:r>
          </w:p>
        </w:tc>
        <w:tc>
          <w:tcPr>
            <w:tcW w:w="586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right="-72"/>
              <w:rPr>
                <w:sz w:val="20"/>
                <w:szCs w:val="20"/>
              </w:rPr>
            </w:pPr>
            <w:r w:rsidRPr="00A43F90">
              <w:rPr>
                <w:sz w:val="20"/>
                <w:szCs w:val="20"/>
              </w:rPr>
              <w:t>Управление региональными финансами и имуществом Чукотского автономного округа</w:t>
            </w:r>
          </w:p>
        </w:tc>
        <w:tc>
          <w:tcPr>
            <w:tcW w:w="111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22" w:right="-110"/>
              <w:jc w:val="center"/>
              <w:rPr>
                <w:sz w:val="20"/>
                <w:szCs w:val="20"/>
              </w:rPr>
            </w:pPr>
            <w:r w:rsidRPr="00A43F90">
              <w:rPr>
                <w:sz w:val="20"/>
                <w:szCs w:val="20"/>
              </w:rPr>
              <w:t>4 865 613,5</w:t>
            </w:r>
          </w:p>
        </w:tc>
        <w:tc>
          <w:tcPr>
            <w:tcW w:w="123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sz w:val="20"/>
                <w:szCs w:val="20"/>
              </w:rPr>
            </w:pPr>
            <w:r w:rsidRPr="00A43F90">
              <w:rPr>
                <w:sz w:val="20"/>
                <w:szCs w:val="20"/>
              </w:rPr>
              <w:t>553 486,3</w:t>
            </w:r>
          </w:p>
        </w:tc>
        <w:tc>
          <w:tcPr>
            <w:tcW w:w="1172"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sz w:val="20"/>
                <w:szCs w:val="20"/>
              </w:rPr>
            </w:pPr>
            <w:r w:rsidRPr="00A43F90">
              <w:rPr>
                <w:sz w:val="20"/>
                <w:szCs w:val="20"/>
              </w:rPr>
              <w:t>11,4</w:t>
            </w:r>
          </w:p>
        </w:tc>
      </w:tr>
      <w:tr w:rsidR="00467F9C" w:rsidRPr="00A43F90" w:rsidTr="00A43F90">
        <w:trPr>
          <w:trHeight w:val="295"/>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ind w:left="-110" w:right="-92"/>
              <w:jc w:val="center"/>
              <w:rPr>
                <w:b/>
                <w:bCs/>
                <w:sz w:val="20"/>
                <w:szCs w:val="20"/>
              </w:rPr>
            </w:pPr>
            <w:r w:rsidRPr="00A43F90">
              <w:rPr>
                <w:b/>
                <w:bCs/>
                <w:sz w:val="20"/>
                <w:szCs w:val="20"/>
              </w:rPr>
              <w:t> </w:t>
            </w:r>
          </w:p>
        </w:tc>
        <w:tc>
          <w:tcPr>
            <w:tcW w:w="586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right="-72"/>
              <w:rPr>
                <w:b/>
                <w:bCs/>
                <w:sz w:val="20"/>
                <w:szCs w:val="20"/>
              </w:rPr>
            </w:pPr>
            <w:r w:rsidRPr="00A43F90">
              <w:rPr>
                <w:b/>
                <w:bCs/>
                <w:sz w:val="20"/>
                <w:szCs w:val="20"/>
              </w:rPr>
              <w:t>Департамент сельского хозяйства и продовольствия Чукотского АО</w:t>
            </w:r>
          </w:p>
        </w:tc>
        <w:tc>
          <w:tcPr>
            <w:tcW w:w="111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22" w:right="-110"/>
              <w:jc w:val="center"/>
              <w:rPr>
                <w:b/>
                <w:bCs/>
                <w:sz w:val="20"/>
                <w:szCs w:val="20"/>
              </w:rPr>
            </w:pPr>
            <w:r w:rsidRPr="00A43F90">
              <w:rPr>
                <w:b/>
                <w:bCs/>
                <w:sz w:val="20"/>
                <w:szCs w:val="20"/>
              </w:rPr>
              <w:t>3 164 292,5</w:t>
            </w:r>
          </w:p>
        </w:tc>
        <w:tc>
          <w:tcPr>
            <w:tcW w:w="123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b/>
                <w:bCs/>
                <w:sz w:val="20"/>
                <w:szCs w:val="20"/>
              </w:rPr>
            </w:pPr>
            <w:r w:rsidRPr="00A43F90">
              <w:rPr>
                <w:b/>
                <w:bCs/>
                <w:sz w:val="20"/>
                <w:szCs w:val="20"/>
              </w:rPr>
              <w:t>749 106,0</w:t>
            </w:r>
          </w:p>
        </w:tc>
        <w:tc>
          <w:tcPr>
            <w:tcW w:w="1172"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b/>
                <w:bCs/>
                <w:sz w:val="20"/>
                <w:szCs w:val="20"/>
              </w:rPr>
            </w:pPr>
            <w:r w:rsidRPr="00A43F90">
              <w:rPr>
                <w:b/>
                <w:bCs/>
                <w:sz w:val="20"/>
                <w:szCs w:val="20"/>
              </w:rPr>
              <w:t>23,7</w:t>
            </w:r>
          </w:p>
        </w:tc>
      </w:tr>
      <w:tr w:rsidR="00467F9C" w:rsidRPr="00A43F90" w:rsidTr="00A43F90">
        <w:trPr>
          <w:trHeight w:val="240"/>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ind w:left="-110" w:right="-92"/>
              <w:jc w:val="center"/>
              <w:rPr>
                <w:sz w:val="20"/>
                <w:szCs w:val="20"/>
              </w:rPr>
            </w:pPr>
            <w:r w:rsidRPr="00A43F90">
              <w:rPr>
                <w:sz w:val="20"/>
                <w:szCs w:val="20"/>
              </w:rPr>
              <w:t>1</w:t>
            </w:r>
          </w:p>
        </w:tc>
        <w:tc>
          <w:tcPr>
            <w:tcW w:w="586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right="-72"/>
              <w:rPr>
                <w:sz w:val="20"/>
                <w:szCs w:val="20"/>
              </w:rPr>
            </w:pPr>
            <w:r w:rsidRPr="00A43F90">
              <w:rPr>
                <w:sz w:val="20"/>
                <w:szCs w:val="20"/>
              </w:rPr>
              <w:t>Развитие агропромышленного комплекса Чукотского автономного округа</w:t>
            </w:r>
          </w:p>
        </w:tc>
        <w:tc>
          <w:tcPr>
            <w:tcW w:w="111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22" w:right="-110"/>
              <w:jc w:val="center"/>
              <w:rPr>
                <w:sz w:val="20"/>
                <w:szCs w:val="20"/>
              </w:rPr>
            </w:pPr>
            <w:r w:rsidRPr="00A43F90">
              <w:rPr>
                <w:sz w:val="20"/>
                <w:szCs w:val="20"/>
              </w:rPr>
              <w:t>3 164 292,5</w:t>
            </w:r>
          </w:p>
        </w:tc>
        <w:tc>
          <w:tcPr>
            <w:tcW w:w="123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sz w:val="20"/>
                <w:szCs w:val="20"/>
              </w:rPr>
            </w:pPr>
            <w:r w:rsidRPr="00A43F90">
              <w:rPr>
                <w:sz w:val="20"/>
                <w:szCs w:val="20"/>
              </w:rPr>
              <w:t>749 106,0</w:t>
            </w:r>
          </w:p>
        </w:tc>
        <w:tc>
          <w:tcPr>
            <w:tcW w:w="1172"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sz w:val="20"/>
                <w:szCs w:val="20"/>
              </w:rPr>
            </w:pPr>
            <w:r w:rsidRPr="00A43F90">
              <w:rPr>
                <w:sz w:val="20"/>
                <w:szCs w:val="20"/>
              </w:rPr>
              <w:t>23,7</w:t>
            </w:r>
          </w:p>
        </w:tc>
      </w:tr>
      <w:tr w:rsidR="00467F9C" w:rsidRPr="00A43F90" w:rsidTr="00A43F90">
        <w:trPr>
          <w:trHeight w:val="165"/>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ind w:left="-110" w:right="-92"/>
              <w:jc w:val="center"/>
              <w:rPr>
                <w:b/>
                <w:bCs/>
                <w:sz w:val="20"/>
                <w:szCs w:val="20"/>
              </w:rPr>
            </w:pPr>
            <w:r w:rsidRPr="00A43F90">
              <w:rPr>
                <w:b/>
                <w:bCs/>
                <w:sz w:val="20"/>
                <w:szCs w:val="20"/>
              </w:rPr>
              <w:t> </w:t>
            </w:r>
          </w:p>
        </w:tc>
        <w:tc>
          <w:tcPr>
            <w:tcW w:w="586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right="-72"/>
              <w:rPr>
                <w:b/>
                <w:bCs/>
                <w:sz w:val="20"/>
                <w:szCs w:val="20"/>
              </w:rPr>
            </w:pPr>
            <w:r w:rsidRPr="00A43F90">
              <w:rPr>
                <w:b/>
                <w:bCs/>
                <w:sz w:val="20"/>
                <w:szCs w:val="20"/>
              </w:rPr>
              <w:t>Департамент здравоохранения Чукотского АО</w:t>
            </w:r>
          </w:p>
        </w:tc>
        <w:tc>
          <w:tcPr>
            <w:tcW w:w="111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22" w:right="-110"/>
              <w:jc w:val="center"/>
              <w:rPr>
                <w:b/>
                <w:bCs/>
                <w:sz w:val="20"/>
                <w:szCs w:val="20"/>
              </w:rPr>
            </w:pPr>
            <w:r w:rsidRPr="00A43F90">
              <w:rPr>
                <w:b/>
                <w:bCs/>
                <w:sz w:val="20"/>
                <w:szCs w:val="20"/>
              </w:rPr>
              <w:t>3 844 981,9</w:t>
            </w:r>
          </w:p>
        </w:tc>
        <w:tc>
          <w:tcPr>
            <w:tcW w:w="123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b/>
                <w:bCs/>
                <w:sz w:val="20"/>
                <w:szCs w:val="20"/>
              </w:rPr>
            </w:pPr>
            <w:r w:rsidRPr="00A43F90">
              <w:rPr>
                <w:b/>
                <w:bCs/>
                <w:sz w:val="20"/>
                <w:szCs w:val="20"/>
              </w:rPr>
              <w:t>781 377,0</w:t>
            </w:r>
          </w:p>
        </w:tc>
        <w:tc>
          <w:tcPr>
            <w:tcW w:w="1172"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b/>
                <w:bCs/>
                <w:sz w:val="20"/>
                <w:szCs w:val="20"/>
              </w:rPr>
            </w:pPr>
            <w:r w:rsidRPr="00A43F90">
              <w:rPr>
                <w:b/>
                <w:bCs/>
                <w:sz w:val="20"/>
                <w:szCs w:val="20"/>
              </w:rPr>
              <w:t>20,3</w:t>
            </w:r>
          </w:p>
        </w:tc>
      </w:tr>
      <w:tr w:rsidR="00467F9C" w:rsidRPr="00A43F90" w:rsidTr="00A43F90">
        <w:trPr>
          <w:trHeight w:val="256"/>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ind w:left="-110" w:right="-92"/>
              <w:jc w:val="center"/>
              <w:rPr>
                <w:sz w:val="20"/>
                <w:szCs w:val="20"/>
              </w:rPr>
            </w:pPr>
            <w:r w:rsidRPr="00A43F90">
              <w:rPr>
                <w:sz w:val="20"/>
                <w:szCs w:val="20"/>
              </w:rPr>
              <w:t>1</w:t>
            </w:r>
          </w:p>
        </w:tc>
        <w:tc>
          <w:tcPr>
            <w:tcW w:w="586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right="-72"/>
              <w:rPr>
                <w:sz w:val="20"/>
                <w:szCs w:val="20"/>
              </w:rPr>
            </w:pPr>
            <w:r w:rsidRPr="00A43F90">
              <w:rPr>
                <w:sz w:val="20"/>
                <w:szCs w:val="20"/>
              </w:rPr>
              <w:t>Развитие здравоохранения Чукотского автономного округа</w:t>
            </w:r>
          </w:p>
        </w:tc>
        <w:tc>
          <w:tcPr>
            <w:tcW w:w="111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22" w:right="-110"/>
              <w:jc w:val="center"/>
              <w:rPr>
                <w:sz w:val="20"/>
                <w:szCs w:val="20"/>
              </w:rPr>
            </w:pPr>
            <w:r w:rsidRPr="00A43F90">
              <w:rPr>
                <w:sz w:val="20"/>
                <w:szCs w:val="20"/>
              </w:rPr>
              <w:t>3 844 981,9</w:t>
            </w:r>
          </w:p>
        </w:tc>
        <w:tc>
          <w:tcPr>
            <w:tcW w:w="123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sz w:val="20"/>
                <w:szCs w:val="20"/>
              </w:rPr>
            </w:pPr>
            <w:r w:rsidRPr="00A43F90">
              <w:rPr>
                <w:sz w:val="20"/>
                <w:szCs w:val="20"/>
              </w:rPr>
              <w:t>781 377,0</w:t>
            </w:r>
          </w:p>
        </w:tc>
        <w:tc>
          <w:tcPr>
            <w:tcW w:w="1172"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sz w:val="20"/>
                <w:szCs w:val="20"/>
              </w:rPr>
            </w:pPr>
            <w:r w:rsidRPr="00A43F90">
              <w:rPr>
                <w:sz w:val="20"/>
                <w:szCs w:val="20"/>
              </w:rPr>
              <w:t>20,3</w:t>
            </w:r>
          </w:p>
        </w:tc>
      </w:tr>
      <w:tr w:rsidR="00467F9C" w:rsidRPr="00A43F90" w:rsidTr="00A43F90">
        <w:trPr>
          <w:trHeight w:val="255"/>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ind w:left="-110" w:right="-92"/>
              <w:jc w:val="center"/>
              <w:rPr>
                <w:b/>
                <w:bCs/>
                <w:sz w:val="20"/>
                <w:szCs w:val="20"/>
              </w:rPr>
            </w:pPr>
            <w:r w:rsidRPr="00A43F90">
              <w:rPr>
                <w:b/>
                <w:bCs/>
                <w:sz w:val="20"/>
                <w:szCs w:val="20"/>
              </w:rPr>
              <w:t> </w:t>
            </w:r>
          </w:p>
        </w:tc>
        <w:tc>
          <w:tcPr>
            <w:tcW w:w="586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right="-72"/>
              <w:rPr>
                <w:b/>
                <w:bCs/>
                <w:sz w:val="20"/>
                <w:szCs w:val="20"/>
              </w:rPr>
            </w:pPr>
            <w:r w:rsidRPr="00A43F90">
              <w:rPr>
                <w:b/>
                <w:bCs/>
                <w:sz w:val="20"/>
                <w:szCs w:val="20"/>
              </w:rPr>
              <w:t>Аппарат Губернатора и Правительства Чукотского автономного округа</w:t>
            </w:r>
          </w:p>
        </w:tc>
        <w:tc>
          <w:tcPr>
            <w:tcW w:w="111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22" w:right="-110"/>
              <w:jc w:val="center"/>
              <w:rPr>
                <w:b/>
                <w:bCs/>
                <w:sz w:val="20"/>
                <w:szCs w:val="20"/>
              </w:rPr>
            </w:pPr>
            <w:r w:rsidRPr="00A43F90">
              <w:rPr>
                <w:b/>
                <w:bCs/>
                <w:sz w:val="20"/>
                <w:szCs w:val="20"/>
              </w:rPr>
              <w:t>1 732,6</w:t>
            </w:r>
          </w:p>
        </w:tc>
        <w:tc>
          <w:tcPr>
            <w:tcW w:w="123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b/>
                <w:bCs/>
                <w:sz w:val="20"/>
                <w:szCs w:val="20"/>
              </w:rPr>
            </w:pPr>
            <w:r w:rsidRPr="00A43F90">
              <w:rPr>
                <w:b/>
                <w:bCs/>
                <w:sz w:val="20"/>
                <w:szCs w:val="20"/>
              </w:rPr>
              <w:t>302,6</w:t>
            </w:r>
          </w:p>
        </w:tc>
        <w:tc>
          <w:tcPr>
            <w:tcW w:w="1172"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b/>
                <w:bCs/>
                <w:sz w:val="20"/>
                <w:szCs w:val="20"/>
              </w:rPr>
            </w:pPr>
            <w:r w:rsidRPr="00A43F90">
              <w:rPr>
                <w:b/>
                <w:bCs/>
                <w:sz w:val="20"/>
                <w:szCs w:val="20"/>
              </w:rPr>
              <w:t>17,5</w:t>
            </w:r>
          </w:p>
        </w:tc>
      </w:tr>
      <w:tr w:rsidR="00467F9C" w:rsidRPr="00A43F90" w:rsidTr="00A43F90">
        <w:trPr>
          <w:trHeight w:val="39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ind w:left="-110" w:right="-92"/>
              <w:jc w:val="center"/>
              <w:rPr>
                <w:sz w:val="20"/>
                <w:szCs w:val="20"/>
              </w:rPr>
            </w:pPr>
            <w:r w:rsidRPr="00A43F90">
              <w:rPr>
                <w:sz w:val="20"/>
                <w:szCs w:val="20"/>
              </w:rPr>
              <w:t>1</w:t>
            </w:r>
          </w:p>
        </w:tc>
        <w:tc>
          <w:tcPr>
            <w:tcW w:w="586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right="-72"/>
              <w:rPr>
                <w:sz w:val="20"/>
                <w:szCs w:val="20"/>
              </w:rPr>
            </w:pPr>
            <w:r w:rsidRPr="00A43F90">
              <w:rPr>
                <w:sz w:val="20"/>
                <w:szCs w:val="20"/>
              </w:rPr>
              <w:t>Обеспечение охраны общественного порядка и повышения безопасности дорожного движения в Чукотском автономном округе</w:t>
            </w:r>
          </w:p>
        </w:tc>
        <w:tc>
          <w:tcPr>
            <w:tcW w:w="111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22" w:right="-110"/>
              <w:jc w:val="center"/>
              <w:rPr>
                <w:sz w:val="20"/>
                <w:szCs w:val="20"/>
              </w:rPr>
            </w:pPr>
            <w:r w:rsidRPr="00A43F90">
              <w:rPr>
                <w:sz w:val="20"/>
                <w:szCs w:val="20"/>
              </w:rPr>
              <w:t>1 732,6</w:t>
            </w:r>
          </w:p>
        </w:tc>
        <w:tc>
          <w:tcPr>
            <w:tcW w:w="123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sz w:val="20"/>
                <w:szCs w:val="20"/>
              </w:rPr>
            </w:pPr>
            <w:r w:rsidRPr="00A43F90">
              <w:rPr>
                <w:sz w:val="20"/>
                <w:szCs w:val="20"/>
              </w:rPr>
              <w:t>302,6</w:t>
            </w:r>
          </w:p>
        </w:tc>
        <w:tc>
          <w:tcPr>
            <w:tcW w:w="1172"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sz w:val="20"/>
                <w:szCs w:val="20"/>
              </w:rPr>
            </w:pPr>
            <w:r w:rsidRPr="00A43F90">
              <w:rPr>
                <w:sz w:val="20"/>
                <w:szCs w:val="20"/>
              </w:rPr>
              <w:t>17,5</w:t>
            </w:r>
          </w:p>
        </w:tc>
      </w:tr>
      <w:tr w:rsidR="00467F9C" w:rsidRPr="00A43F90" w:rsidTr="00A43F90">
        <w:trPr>
          <w:trHeight w:val="321"/>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ind w:left="-110" w:right="-92"/>
              <w:jc w:val="center"/>
              <w:rPr>
                <w:b/>
                <w:bCs/>
                <w:sz w:val="20"/>
                <w:szCs w:val="20"/>
              </w:rPr>
            </w:pPr>
            <w:r w:rsidRPr="00A43F90">
              <w:rPr>
                <w:b/>
                <w:bCs/>
                <w:sz w:val="20"/>
                <w:szCs w:val="20"/>
              </w:rPr>
              <w:t> </w:t>
            </w:r>
          </w:p>
        </w:tc>
        <w:tc>
          <w:tcPr>
            <w:tcW w:w="586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right="-72"/>
              <w:rPr>
                <w:b/>
                <w:bCs/>
                <w:sz w:val="20"/>
                <w:szCs w:val="20"/>
              </w:rPr>
            </w:pPr>
            <w:r w:rsidRPr="00A43F90">
              <w:rPr>
                <w:b/>
                <w:bCs/>
                <w:sz w:val="20"/>
                <w:szCs w:val="20"/>
              </w:rPr>
              <w:t xml:space="preserve">Департамент природных ресурсов и экологии Чукотского АО </w:t>
            </w:r>
          </w:p>
        </w:tc>
        <w:tc>
          <w:tcPr>
            <w:tcW w:w="111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22" w:right="-110"/>
              <w:jc w:val="center"/>
              <w:rPr>
                <w:b/>
                <w:bCs/>
                <w:sz w:val="20"/>
                <w:szCs w:val="20"/>
              </w:rPr>
            </w:pPr>
            <w:r w:rsidRPr="00A43F90">
              <w:rPr>
                <w:b/>
                <w:bCs/>
                <w:sz w:val="20"/>
                <w:szCs w:val="20"/>
              </w:rPr>
              <w:t>744 780,2</w:t>
            </w:r>
          </w:p>
        </w:tc>
        <w:tc>
          <w:tcPr>
            <w:tcW w:w="123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b/>
                <w:bCs/>
                <w:sz w:val="20"/>
                <w:szCs w:val="20"/>
              </w:rPr>
            </w:pPr>
            <w:r w:rsidRPr="00A43F90">
              <w:rPr>
                <w:b/>
                <w:bCs/>
                <w:sz w:val="20"/>
                <w:szCs w:val="20"/>
              </w:rPr>
              <w:t>58 814,5</w:t>
            </w:r>
          </w:p>
        </w:tc>
        <w:tc>
          <w:tcPr>
            <w:tcW w:w="1172"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b/>
                <w:bCs/>
                <w:sz w:val="20"/>
                <w:szCs w:val="20"/>
              </w:rPr>
            </w:pPr>
            <w:r w:rsidRPr="00A43F90">
              <w:rPr>
                <w:b/>
                <w:bCs/>
                <w:sz w:val="20"/>
                <w:szCs w:val="20"/>
              </w:rPr>
              <w:t>7,9</w:t>
            </w:r>
          </w:p>
        </w:tc>
      </w:tr>
      <w:tr w:rsidR="00467F9C" w:rsidRPr="00A43F90" w:rsidTr="00A43F90">
        <w:trPr>
          <w:trHeight w:val="275"/>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ind w:left="-110" w:right="-92"/>
              <w:jc w:val="center"/>
              <w:rPr>
                <w:sz w:val="20"/>
                <w:szCs w:val="20"/>
              </w:rPr>
            </w:pPr>
            <w:r w:rsidRPr="00A43F90">
              <w:rPr>
                <w:sz w:val="20"/>
                <w:szCs w:val="20"/>
              </w:rPr>
              <w:t>1</w:t>
            </w:r>
          </w:p>
        </w:tc>
        <w:tc>
          <w:tcPr>
            <w:tcW w:w="586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right="-72"/>
              <w:rPr>
                <w:sz w:val="20"/>
                <w:szCs w:val="20"/>
              </w:rPr>
            </w:pPr>
            <w:r w:rsidRPr="00A43F90">
              <w:rPr>
                <w:sz w:val="20"/>
                <w:szCs w:val="20"/>
              </w:rPr>
              <w:t>Развитие лесного хозяйства Чукотского автономного округа</w:t>
            </w:r>
          </w:p>
        </w:tc>
        <w:tc>
          <w:tcPr>
            <w:tcW w:w="111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22" w:right="-110"/>
              <w:jc w:val="center"/>
              <w:rPr>
                <w:sz w:val="20"/>
                <w:szCs w:val="20"/>
              </w:rPr>
            </w:pPr>
            <w:r w:rsidRPr="00A43F90">
              <w:rPr>
                <w:sz w:val="20"/>
                <w:szCs w:val="20"/>
              </w:rPr>
              <w:t>268 046,5</w:t>
            </w:r>
          </w:p>
        </w:tc>
        <w:tc>
          <w:tcPr>
            <w:tcW w:w="123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sz w:val="20"/>
                <w:szCs w:val="20"/>
              </w:rPr>
            </w:pPr>
            <w:r w:rsidRPr="00A43F90">
              <w:rPr>
                <w:sz w:val="20"/>
                <w:szCs w:val="20"/>
              </w:rPr>
              <w:t>36 416,6</w:t>
            </w:r>
          </w:p>
        </w:tc>
        <w:tc>
          <w:tcPr>
            <w:tcW w:w="1172"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sz w:val="20"/>
                <w:szCs w:val="20"/>
              </w:rPr>
            </w:pPr>
            <w:r w:rsidRPr="00A43F90">
              <w:rPr>
                <w:sz w:val="20"/>
                <w:szCs w:val="20"/>
              </w:rPr>
              <w:t>13,6</w:t>
            </w:r>
          </w:p>
        </w:tc>
      </w:tr>
      <w:tr w:rsidR="00467F9C" w:rsidRPr="00A43F90" w:rsidTr="00A43F90">
        <w:trPr>
          <w:trHeight w:val="300"/>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ind w:left="-110" w:right="-92"/>
              <w:jc w:val="center"/>
              <w:rPr>
                <w:sz w:val="20"/>
                <w:szCs w:val="20"/>
              </w:rPr>
            </w:pPr>
            <w:r w:rsidRPr="00A43F90">
              <w:rPr>
                <w:sz w:val="20"/>
                <w:szCs w:val="20"/>
              </w:rPr>
              <w:t>2</w:t>
            </w:r>
          </w:p>
        </w:tc>
        <w:tc>
          <w:tcPr>
            <w:tcW w:w="586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right="-72"/>
              <w:rPr>
                <w:sz w:val="20"/>
                <w:szCs w:val="20"/>
              </w:rPr>
            </w:pPr>
            <w:r w:rsidRPr="00A43F90">
              <w:rPr>
                <w:sz w:val="20"/>
                <w:szCs w:val="20"/>
              </w:rPr>
              <w:t>Охрана окружающей среды и обеспечение рационального природопользования в Чукотском автономном округе</w:t>
            </w:r>
          </w:p>
        </w:tc>
        <w:tc>
          <w:tcPr>
            <w:tcW w:w="111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22" w:right="-110"/>
              <w:jc w:val="center"/>
              <w:rPr>
                <w:sz w:val="20"/>
                <w:szCs w:val="20"/>
              </w:rPr>
            </w:pPr>
            <w:r w:rsidRPr="00A43F90">
              <w:rPr>
                <w:sz w:val="20"/>
                <w:szCs w:val="20"/>
              </w:rPr>
              <w:t>476 733,7</w:t>
            </w:r>
          </w:p>
        </w:tc>
        <w:tc>
          <w:tcPr>
            <w:tcW w:w="123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sz w:val="20"/>
                <w:szCs w:val="20"/>
              </w:rPr>
            </w:pPr>
            <w:r w:rsidRPr="00A43F90">
              <w:rPr>
                <w:sz w:val="20"/>
                <w:szCs w:val="20"/>
              </w:rPr>
              <w:t>22 397,9</w:t>
            </w:r>
          </w:p>
        </w:tc>
        <w:tc>
          <w:tcPr>
            <w:tcW w:w="1172"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sz w:val="20"/>
                <w:szCs w:val="20"/>
              </w:rPr>
            </w:pPr>
            <w:r w:rsidRPr="00A43F90">
              <w:rPr>
                <w:sz w:val="20"/>
                <w:szCs w:val="20"/>
              </w:rPr>
              <w:t>4,7</w:t>
            </w:r>
          </w:p>
        </w:tc>
      </w:tr>
      <w:tr w:rsidR="00467F9C" w:rsidRPr="00A43F90" w:rsidTr="00A43F90">
        <w:trPr>
          <w:trHeight w:val="165"/>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ind w:left="-110" w:right="-92"/>
              <w:jc w:val="center"/>
              <w:rPr>
                <w:b/>
                <w:bCs/>
                <w:sz w:val="20"/>
                <w:szCs w:val="20"/>
              </w:rPr>
            </w:pPr>
            <w:r w:rsidRPr="00A43F90">
              <w:rPr>
                <w:b/>
                <w:bCs/>
                <w:sz w:val="20"/>
                <w:szCs w:val="20"/>
              </w:rPr>
              <w:t> </w:t>
            </w:r>
          </w:p>
        </w:tc>
        <w:tc>
          <w:tcPr>
            <w:tcW w:w="586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right="-72"/>
              <w:rPr>
                <w:b/>
                <w:bCs/>
                <w:sz w:val="20"/>
                <w:szCs w:val="20"/>
              </w:rPr>
            </w:pPr>
            <w:r w:rsidRPr="00A43F90">
              <w:rPr>
                <w:b/>
                <w:bCs/>
                <w:sz w:val="20"/>
                <w:szCs w:val="20"/>
              </w:rPr>
              <w:t xml:space="preserve">Департамент культуры, спорта и туризма Чукотского АО  </w:t>
            </w:r>
          </w:p>
        </w:tc>
        <w:tc>
          <w:tcPr>
            <w:tcW w:w="111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22" w:right="-110"/>
              <w:jc w:val="center"/>
              <w:rPr>
                <w:b/>
                <w:bCs/>
                <w:sz w:val="20"/>
                <w:szCs w:val="20"/>
              </w:rPr>
            </w:pPr>
            <w:r w:rsidRPr="00A43F90">
              <w:rPr>
                <w:b/>
                <w:bCs/>
                <w:sz w:val="20"/>
                <w:szCs w:val="20"/>
              </w:rPr>
              <w:t>1 627 748,8</w:t>
            </w:r>
          </w:p>
        </w:tc>
        <w:tc>
          <w:tcPr>
            <w:tcW w:w="123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b/>
                <w:bCs/>
                <w:sz w:val="20"/>
                <w:szCs w:val="20"/>
              </w:rPr>
            </w:pPr>
            <w:r w:rsidRPr="00A43F90">
              <w:rPr>
                <w:b/>
                <w:bCs/>
                <w:sz w:val="20"/>
                <w:szCs w:val="20"/>
              </w:rPr>
              <w:t>174 916,2</w:t>
            </w:r>
          </w:p>
        </w:tc>
        <w:tc>
          <w:tcPr>
            <w:tcW w:w="1172"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b/>
                <w:bCs/>
                <w:sz w:val="20"/>
                <w:szCs w:val="20"/>
              </w:rPr>
            </w:pPr>
            <w:r w:rsidRPr="00A43F90">
              <w:rPr>
                <w:b/>
                <w:bCs/>
                <w:sz w:val="20"/>
                <w:szCs w:val="20"/>
              </w:rPr>
              <w:t>10,7</w:t>
            </w:r>
          </w:p>
        </w:tc>
      </w:tr>
      <w:tr w:rsidR="00467F9C" w:rsidRPr="00A43F90" w:rsidTr="00A43F90">
        <w:trPr>
          <w:trHeight w:val="327"/>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ind w:left="-110" w:right="-92"/>
              <w:jc w:val="center"/>
              <w:rPr>
                <w:sz w:val="20"/>
                <w:szCs w:val="20"/>
              </w:rPr>
            </w:pPr>
            <w:r w:rsidRPr="00A43F90">
              <w:rPr>
                <w:sz w:val="20"/>
                <w:szCs w:val="20"/>
              </w:rPr>
              <w:t>1</w:t>
            </w:r>
          </w:p>
        </w:tc>
        <w:tc>
          <w:tcPr>
            <w:tcW w:w="586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rPr>
                <w:sz w:val="20"/>
                <w:szCs w:val="20"/>
              </w:rPr>
            </w:pPr>
            <w:r w:rsidRPr="00A43F90">
              <w:rPr>
                <w:sz w:val="20"/>
                <w:szCs w:val="20"/>
              </w:rPr>
              <w:t>Развитие культуры, спорта и туризма Чукотского автономного округа</w:t>
            </w:r>
          </w:p>
        </w:tc>
        <w:tc>
          <w:tcPr>
            <w:tcW w:w="111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22" w:right="-110"/>
              <w:jc w:val="center"/>
              <w:rPr>
                <w:sz w:val="20"/>
                <w:szCs w:val="20"/>
              </w:rPr>
            </w:pPr>
            <w:r w:rsidRPr="00A43F90">
              <w:rPr>
                <w:sz w:val="20"/>
                <w:szCs w:val="20"/>
              </w:rPr>
              <w:t>1 627 748,8</w:t>
            </w:r>
          </w:p>
        </w:tc>
        <w:tc>
          <w:tcPr>
            <w:tcW w:w="123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sz w:val="20"/>
                <w:szCs w:val="20"/>
              </w:rPr>
            </w:pPr>
            <w:r w:rsidRPr="00A43F90">
              <w:rPr>
                <w:sz w:val="20"/>
                <w:szCs w:val="20"/>
              </w:rPr>
              <w:t>174 916,2</w:t>
            </w:r>
          </w:p>
        </w:tc>
        <w:tc>
          <w:tcPr>
            <w:tcW w:w="1172"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sz w:val="20"/>
                <w:szCs w:val="20"/>
              </w:rPr>
            </w:pPr>
            <w:r w:rsidRPr="00A43F90">
              <w:rPr>
                <w:sz w:val="20"/>
                <w:szCs w:val="20"/>
              </w:rPr>
              <w:t>10,7</w:t>
            </w:r>
          </w:p>
        </w:tc>
      </w:tr>
      <w:tr w:rsidR="00467F9C" w:rsidRPr="00A43F90" w:rsidTr="00A43F90">
        <w:trPr>
          <w:trHeight w:val="238"/>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ind w:left="-110" w:right="-92"/>
              <w:jc w:val="center"/>
              <w:rPr>
                <w:b/>
                <w:bCs/>
                <w:sz w:val="20"/>
                <w:szCs w:val="20"/>
              </w:rPr>
            </w:pPr>
            <w:r w:rsidRPr="00A43F90">
              <w:rPr>
                <w:b/>
                <w:bCs/>
                <w:sz w:val="20"/>
                <w:szCs w:val="20"/>
              </w:rPr>
              <w:t> </w:t>
            </w:r>
          </w:p>
        </w:tc>
        <w:tc>
          <w:tcPr>
            <w:tcW w:w="586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rPr>
                <w:b/>
                <w:bCs/>
                <w:sz w:val="20"/>
                <w:szCs w:val="20"/>
              </w:rPr>
            </w:pPr>
            <w:r w:rsidRPr="00A43F90">
              <w:rPr>
                <w:b/>
                <w:bCs/>
                <w:sz w:val="20"/>
                <w:szCs w:val="20"/>
              </w:rPr>
              <w:t>Департамент образования и науки Чукотского АО</w:t>
            </w:r>
          </w:p>
        </w:tc>
        <w:tc>
          <w:tcPr>
            <w:tcW w:w="111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22" w:right="-110"/>
              <w:jc w:val="center"/>
              <w:rPr>
                <w:b/>
                <w:bCs/>
                <w:sz w:val="20"/>
                <w:szCs w:val="20"/>
              </w:rPr>
            </w:pPr>
            <w:r w:rsidRPr="00A43F90">
              <w:rPr>
                <w:b/>
                <w:bCs/>
                <w:sz w:val="20"/>
                <w:szCs w:val="20"/>
              </w:rPr>
              <w:t>7 894 738,3</w:t>
            </w:r>
          </w:p>
        </w:tc>
        <w:tc>
          <w:tcPr>
            <w:tcW w:w="123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b/>
                <w:bCs/>
                <w:sz w:val="20"/>
                <w:szCs w:val="20"/>
              </w:rPr>
            </w:pPr>
            <w:r w:rsidRPr="00A43F90">
              <w:rPr>
                <w:b/>
                <w:bCs/>
                <w:sz w:val="20"/>
                <w:szCs w:val="20"/>
              </w:rPr>
              <w:t>1 479 746,9</w:t>
            </w:r>
          </w:p>
        </w:tc>
        <w:tc>
          <w:tcPr>
            <w:tcW w:w="1172"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b/>
                <w:bCs/>
                <w:sz w:val="20"/>
                <w:szCs w:val="20"/>
              </w:rPr>
            </w:pPr>
            <w:r w:rsidRPr="00A43F90">
              <w:rPr>
                <w:b/>
                <w:bCs/>
                <w:sz w:val="20"/>
                <w:szCs w:val="20"/>
              </w:rPr>
              <w:t>18,7</w:t>
            </w:r>
          </w:p>
        </w:tc>
      </w:tr>
      <w:tr w:rsidR="00191861" w:rsidRPr="00A43F90" w:rsidTr="00A43F90">
        <w:trPr>
          <w:trHeight w:val="295"/>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191861" w:rsidRPr="00A43F90" w:rsidRDefault="00191861" w:rsidP="00191861">
            <w:pPr>
              <w:ind w:left="-110" w:right="-92"/>
              <w:jc w:val="center"/>
              <w:rPr>
                <w:sz w:val="20"/>
                <w:szCs w:val="20"/>
              </w:rPr>
            </w:pPr>
            <w:r w:rsidRPr="00A43F90">
              <w:rPr>
                <w:sz w:val="20"/>
                <w:szCs w:val="20"/>
              </w:rPr>
              <w:t>1</w:t>
            </w:r>
          </w:p>
        </w:tc>
        <w:tc>
          <w:tcPr>
            <w:tcW w:w="586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rPr>
                <w:sz w:val="20"/>
                <w:szCs w:val="20"/>
              </w:rPr>
            </w:pPr>
            <w:r w:rsidRPr="00A43F90">
              <w:rPr>
                <w:sz w:val="20"/>
                <w:szCs w:val="20"/>
              </w:rPr>
              <w:t>Развитие образования и науки Чукотского автономного округа</w:t>
            </w:r>
          </w:p>
        </w:tc>
        <w:tc>
          <w:tcPr>
            <w:tcW w:w="1118"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22" w:right="-110"/>
              <w:jc w:val="center"/>
              <w:rPr>
                <w:sz w:val="20"/>
                <w:szCs w:val="20"/>
              </w:rPr>
            </w:pPr>
            <w:r w:rsidRPr="00A43F90">
              <w:rPr>
                <w:sz w:val="20"/>
                <w:szCs w:val="20"/>
              </w:rPr>
              <w:t>7 894 738,3</w:t>
            </w:r>
          </w:p>
        </w:tc>
        <w:tc>
          <w:tcPr>
            <w:tcW w:w="1239"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05" w:right="-152"/>
              <w:jc w:val="center"/>
              <w:rPr>
                <w:sz w:val="20"/>
                <w:szCs w:val="20"/>
              </w:rPr>
            </w:pPr>
            <w:r w:rsidRPr="00A43F90">
              <w:rPr>
                <w:sz w:val="20"/>
                <w:szCs w:val="20"/>
              </w:rPr>
              <w:t>1 479 746,9</w:t>
            </w:r>
          </w:p>
        </w:tc>
        <w:tc>
          <w:tcPr>
            <w:tcW w:w="1172" w:type="dxa"/>
            <w:tcBorders>
              <w:top w:val="nil"/>
              <w:left w:val="nil"/>
              <w:bottom w:val="single" w:sz="4" w:space="0" w:color="auto"/>
              <w:right w:val="single" w:sz="4" w:space="0" w:color="auto"/>
            </w:tcBorders>
            <w:shd w:val="clear" w:color="auto" w:fill="auto"/>
            <w:vAlign w:val="center"/>
            <w:hideMark/>
          </w:tcPr>
          <w:p w:rsidR="00191861" w:rsidRPr="00A43F90" w:rsidRDefault="00191861" w:rsidP="00191861">
            <w:pPr>
              <w:ind w:left="-113" w:right="-75"/>
              <w:jc w:val="center"/>
              <w:rPr>
                <w:sz w:val="20"/>
                <w:szCs w:val="20"/>
              </w:rPr>
            </w:pPr>
            <w:r w:rsidRPr="00A43F90">
              <w:rPr>
                <w:sz w:val="20"/>
                <w:szCs w:val="20"/>
              </w:rPr>
              <w:t>18,7</w:t>
            </w:r>
          </w:p>
        </w:tc>
      </w:tr>
    </w:tbl>
    <w:p w:rsidR="00191861" w:rsidRPr="00467F9C" w:rsidRDefault="00191861" w:rsidP="00191861">
      <w:pPr>
        <w:pStyle w:val="af8"/>
        <w:tabs>
          <w:tab w:val="left" w:pos="709"/>
        </w:tabs>
        <w:ind w:firstLine="709"/>
        <w:jc w:val="both"/>
        <w:rPr>
          <w:sz w:val="6"/>
          <w:szCs w:val="6"/>
        </w:rPr>
      </w:pPr>
    </w:p>
    <w:p w:rsidR="00191861" w:rsidRPr="00467F9C" w:rsidRDefault="00191861" w:rsidP="00191861">
      <w:pPr>
        <w:pStyle w:val="af8"/>
        <w:tabs>
          <w:tab w:val="left" w:pos="709"/>
        </w:tabs>
        <w:ind w:firstLine="709"/>
        <w:jc w:val="both"/>
        <w:rPr>
          <w:sz w:val="28"/>
          <w:szCs w:val="28"/>
        </w:rPr>
      </w:pPr>
      <w:r w:rsidRPr="00467F9C">
        <w:rPr>
          <w:sz w:val="28"/>
          <w:szCs w:val="28"/>
        </w:rPr>
        <w:t>Кассовые расходы на уровне от 20,3% до 49,4% от предусмотренных бюджетных ассигнований произведены по пяти государственным программам:</w:t>
      </w:r>
    </w:p>
    <w:p w:rsidR="00191861" w:rsidRPr="00467F9C" w:rsidRDefault="00191861" w:rsidP="00191861">
      <w:pPr>
        <w:pStyle w:val="af8"/>
        <w:tabs>
          <w:tab w:val="left" w:pos="709"/>
        </w:tabs>
        <w:ind w:firstLine="709"/>
        <w:jc w:val="both"/>
        <w:rPr>
          <w:sz w:val="28"/>
          <w:szCs w:val="28"/>
        </w:rPr>
      </w:pPr>
      <w:r w:rsidRPr="00467F9C">
        <w:rPr>
          <w:sz w:val="28"/>
          <w:szCs w:val="28"/>
        </w:rPr>
        <w:t>- Стимулирование экономической активности населения Чукотского автономного округа (49,4%);</w:t>
      </w:r>
    </w:p>
    <w:p w:rsidR="00191861" w:rsidRPr="00467F9C" w:rsidRDefault="00191861" w:rsidP="00191861">
      <w:pPr>
        <w:pStyle w:val="af8"/>
        <w:tabs>
          <w:tab w:val="left" w:pos="709"/>
        </w:tabs>
        <w:ind w:firstLine="709"/>
        <w:jc w:val="both"/>
        <w:rPr>
          <w:sz w:val="28"/>
          <w:szCs w:val="28"/>
        </w:rPr>
      </w:pPr>
      <w:r w:rsidRPr="00467F9C">
        <w:rPr>
          <w:sz w:val="28"/>
          <w:szCs w:val="28"/>
        </w:rPr>
        <w:t>- Развитие агропромышленного комплекса Чукотского автономного округа (23,7%);</w:t>
      </w:r>
    </w:p>
    <w:p w:rsidR="00191861" w:rsidRPr="00467F9C" w:rsidRDefault="00191861" w:rsidP="00191861">
      <w:pPr>
        <w:pStyle w:val="af8"/>
        <w:tabs>
          <w:tab w:val="left" w:pos="709"/>
        </w:tabs>
        <w:ind w:firstLine="709"/>
        <w:jc w:val="both"/>
        <w:rPr>
          <w:sz w:val="28"/>
          <w:szCs w:val="28"/>
        </w:rPr>
      </w:pPr>
      <w:r w:rsidRPr="00467F9C">
        <w:rPr>
          <w:sz w:val="28"/>
          <w:szCs w:val="28"/>
        </w:rPr>
        <w:lastRenderedPageBreak/>
        <w:t>- Развитие жилищно-коммунального хозяйства и водохозяйственного комплекса Чукотского автономного округа (22,2%);</w:t>
      </w:r>
    </w:p>
    <w:p w:rsidR="00191861" w:rsidRPr="00467F9C" w:rsidRDefault="00191861" w:rsidP="00191861">
      <w:pPr>
        <w:pStyle w:val="af8"/>
        <w:tabs>
          <w:tab w:val="left" w:pos="709"/>
        </w:tabs>
        <w:ind w:firstLine="709"/>
        <w:jc w:val="both"/>
        <w:rPr>
          <w:sz w:val="28"/>
          <w:szCs w:val="28"/>
        </w:rPr>
      </w:pPr>
      <w:r w:rsidRPr="00467F9C">
        <w:rPr>
          <w:sz w:val="28"/>
          <w:szCs w:val="28"/>
        </w:rPr>
        <w:t>- Социальная поддержка населения Чукотского автономного округа (20,8%);</w:t>
      </w:r>
    </w:p>
    <w:p w:rsidR="00191861" w:rsidRPr="00467F9C" w:rsidRDefault="00191861" w:rsidP="00191861">
      <w:pPr>
        <w:pStyle w:val="af8"/>
        <w:tabs>
          <w:tab w:val="left" w:pos="709"/>
        </w:tabs>
        <w:ind w:firstLine="709"/>
        <w:jc w:val="both"/>
        <w:rPr>
          <w:sz w:val="28"/>
          <w:szCs w:val="28"/>
        </w:rPr>
      </w:pPr>
      <w:r w:rsidRPr="00467F9C">
        <w:rPr>
          <w:sz w:val="28"/>
          <w:szCs w:val="28"/>
        </w:rPr>
        <w:t>- Развитие здравоохранения Чукотского автономного округа (20,3%).</w:t>
      </w:r>
    </w:p>
    <w:p w:rsidR="00191861" w:rsidRPr="00467F9C" w:rsidRDefault="00191861" w:rsidP="00191861">
      <w:pPr>
        <w:pStyle w:val="af8"/>
        <w:tabs>
          <w:tab w:val="left" w:pos="709"/>
        </w:tabs>
        <w:ind w:firstLine="709"/>
        <w:jc w:val="both"/>
        <w:rPr>
          <w:sz w:val="28"/>
          <w:szCs w:val="28"/>
        </w:rPr>
      </w:pPr>
      <w:r w:rsidRPr="00467F9C">
        <w:rPr>
          <w:sz w:val="28"/>
          <w:szCs w:val="28"/>
        </w:rPr>
        <w:t>Менее 10% от предусмотренных ассигнований направлено на реализацию трех государственных программ: «Охрана окружающей среды и обеспечение рационального природопользования в Чукотском автономном округе» (4,7%), «Развитие транспортной инфраструктуры Чукотского автономного округа» (3,5%) и «Развитие жилищного строительства в Чукотском автономном округе» (0,01%).</w:t>
      </w:r>
    </w:p>
    <w:p w:rsidR="00191861" w:rsidRPr="00467F9C" w:rsidRDefault="00191861" w:rsidP="00191861">
      <w:pPr>
        <w:pStyle w:val="af8"/>
        <w:tabs>
          <w:tab w:val="left" w:pos="709"/>
        </w:tabs>
        <w:ind w:firstLine="709"/>
        <w:jc w:val="both"/>
        <w:rPr>
          <w:sz w:val="28"/>
          <w:szCs w:val="28"/>
        </w:rPr>
      </w:pPr>
      <w:r w:rsidRPr="00467F9C">
        <w:rPr>
          <w:sz w:val="28"/>
          <w:szCs w:val="28"/>
        </w:rPr>
        <w:t>В отчетном периоде не направлялись бюджетные ассигнования на реализацию мероприятий государственных программ «Обеспечение устойчивого сокращения непригодного для проживания жилищного фонда в Чукотском автономном округе» (утверждено СБР на 2022 год 473 813,0 тыс. рублей) и «Формирование комфортной городской среды в Чукотском автономном округе» (утверждено СБР на 2022 год 56 249,2 тыс. рублей).</w:t>
      </w:r>
    </w:p>
    <w:p w:rsidR="00191861" w:rsidRPr="00467F9C" w:rsidRDefault="00191861" w:rsidP="00191861">
      <w:pPr>
        <w:ind w:firstLine="709"/>
        <w:contextualSpacing/>
        <w:jc w:val="both"/>
        <w:rPr>
          <w:sz w:val="28"/>
          <w:szCs w:val="28"/>
        </w:rPr>
      </w:pPr>
      <w:r w:rsidRPr="00467F9C">
        <w:rPr>
          <w:sz w:val="28"/>
          <w:szCs w:val="28"/>
        </w:rPr>
        <w:t>Фактическое выполнение мероприятий Госпрограмм составило 8 274 625,5 тыс. рублей</w:t>
      </w:r>
      <w:r w:rsidRPr="00467F9C">
        <w:rPr>
          <w:rStyle w:val="ab"/>
          <w:sz w:val="28"/>
          <w:szCs w:val="28"/>
        </w:rPr>
        <w:footnoteReference w:id="136"/>
      </w:r>
      <w:r w:rsidRPr="00467F9C">
        <w:rPr>
          <w:sz w:val="28"/>
          <w:szCs w:val="28"/>
        </w:rPr>
        <w:t xml:space="preserve"> или 100,02 % от направленных бюджетных ассигнований, что обусловлено тем, что в отчетном периоде фактически выполнялись и мероприятия, на реализацию которых бюджетные ассигнования были направлены в предыдущем 2021 году. </w:t>
      </w:r>
    </w:p>
    <w:p w:rsidR="00191861" w:rsidRPr="00467F9C" w:rsidRDefault="00191861" w:rsidP="00191861">
      <w:pPr>
        <w:tabs>
          <w:tab w:val="left" w:pos="709"/>
        </w:tabs>
        <w:ind w:firstLine="709"/>
        <w:jc w:val="both"/>
        <w:rPr>
          <w:sz w:val="28"/>
          <w:szCs w:val="28"/>
        </w:rPr>
      </w:pPr>
      <w:r w:rsidRPr="00467F9C">
        <w:rPr>
          <w:sz w:val="28"/>
          <w:szCs w:val="28"/>
        </w:rPr>
        <w:t>Наиболее низкое выполнение произведено по государственной программе «Стимулирование экономической активности населения Чукотского автономного округа» - 50 943,9 тыс. рублей или 29,0% от направленных бюджетных ассигнований (175 730,7 тыс. рублей).</w:t>
      </w:r>
    </w:p>
    <w:p w:rsidR="00191861" w:rsidRPr="00467F9C" w:rsidRDefault="00191861" w:rsidP="00191861">
      <w:pPr>
        <w:tabs>
          <w:tab w:val="left" w:pos="709"/>
        </w:tabs>
        <w:ind w:firstLine="709"/>
        <w:jc w:val="both"/>
        <w:rPr>
          <w:sz w:val="28"/>
          <w:szCs w:val="28"/>
        </w:rPr>
      </w:pPr>
      <w:r w:rsidRPr="00467F9C">
        <w:rPr>
          <w:sz w:val="28"/>
          <w:szCs w:val="28"/>
        </w:rPr>
        <w:t>Не выполнялись в отчетном периоде мероприятия двух государственных программ – «Обеспечение охраны общественного порядка и повышения безопасности дорожного движения в Чукотском автономном округе» (направлено бюджетных ассигнований в объеме 302,6 тыс. рублей) и «Формирование комфортной городской среды в Чукотском автономном округе» (финансирование в I квартале 2022 года не осуществлялось).</w:t>
      </w:r>
    </w:p>
    <w:p w:rsidR="00191861" w:rsidRPr="00467F9C" w:rsidRDefault="00191861" w:rsidP="00191861">
      <w:pPr>
        <w:autoSpaceDE w:val="0"/>
        <w:autoSpaceDN w:val="0"/>
        <w:adjustRightInd w:val="0"/>
        <w:ind w:firstLine="709"/>
        <w:jc w:val="both"/>
        <w:rPr>
          <w:sz w:val="28"/>
          <w:szCs w:val="28"/>
        </w:rPr>
      </w:pPr>
      <w:r w:rsidRPr="00467F9C">
        <w:rPr>
          <w:sz w:val="28"/>
          <w:szCs w:val="28"/>
        </w:rPr>
        <w:t xml:space="preserve">По остальным государственным программам выполнение составило от 62,2% и выше от объемов средств, направленных на реализацию государственных программ. </w:t>
      </w:r>
    </w:p>
    <w:p w:rsidR="00191861" w:rsidRPr="00467F9C" w:rsidRDefault="00191861" w:rsidP="00191861">
      <w:pPr>
        <w:ind w:firstLine="709"/>
        <w:jc w:val="both"/>
        <w:rPr>
          <w:sz w:val="28"/>
          <w:szCs w:val="28"/>
        </w:rPr>
      </w:pPr>
      <w:r w:rsidRPr="00467F9C">
        <w:rPr>
          <w:sz w:val="28"/>
          <w:szCs w:val="28"/>
        </w:rPr>
        <w:t xml:space="preserve">В отчетном периоде 8-ю главными распорядителями окружного бюджета (Департамент промышленной политики, Департамент социальной политики, Департамент финансов, Департамент сельского хозяйства, Департамент здравоохранения, Департамент образования, Департамент культуры, Департамент природных ресурсов) в рамках реализации 16 государственных программ предусмотрена реализация 31 регионального проекта Чукотского </w:t>
      </w:r>
      <w:r w:rsidRPr="00467F9C">
        <w:rPr>
          <w:sz w:val="28"/>
          <w:szCs w:val="28"/>
        </w:rPr>
        <w:lastRenderedPageBreak/>
        <w:t>автономного округа</w:t>
      </w:r>
      <w:r w:rsidRPr="00467F9C">
        <w:rPr>
          <w:rStyle w:val="ab"/>
          <w:sz w:val="28"/>
          <w:szCs w:val="28"/>
        </w:rPr>
        <w:footnoteReference w:id="137"/>
      </w:r>
      <w:r w:rsidRPr="00467F9C">
        <w:rPr>
          <w:sz w:val="28"/>
          <w:szCs w:val="28"/>
        </w:rPr>
        <w:t xml:space="preserve"> (национальные проекты: Демография, Здравоохранение, Образование,  Культура, Малое и среднее предпринимательство и поддержка индивидуальной предпринимательской инициативы, Жилье и городская среда, Экология, Безопасные и качественные автомобильные дороги, Цифровая экономика).</w:t>
      </w:r>
    </w:p>
    <w:p w:rsidR="00191861" w:rsidRPr="00467F9C" w:rsidRDefault="00191861" w:rsidP="00191861">
      <w:pPr>
        <w:ind w:firstLine="709"/>
        <w:jc w:val="both"/>
        <w:rPr>
          <w:sz w:val="28"/>
          <w:szCs w:val="28"/>
        </w:rPr>
      </w:pPr>
      <w:r w:rsidRPr="00467F9C">
        <w:rPr>
          <w:sz w:val="28"/>
          <w:szCs w:val="28"/>
        </w:rPr>
        <w:t xml:space="preserve">Сводной бюджетной росписью на реализацию региональных проектов утверждены бюджетные ассигнования в объеме 4 371 584,9 тыс. рублей или 8,5% от общего объема бюджетных ассигнований на реализацию госпрограмм на 2022 год. </w:t>
      </w:r>
    </w:p>
    <w:p w:rsidR="00191861" w:rsidRPr="00467F9C" w:rsidRDefault="00191861" w:rsidP="00191861">
      <w:pPr>
        <w:ind w:firstLine="709"/>
        <w:contextualSpacing/>
        <w:jc w:val="both"/>
        <w:rPr>
          <w:sz w:val="28"/>
          <w:szCs w:val="28"/>
        </w:rPr>
      </w:pPr>
      <w:r w:rsidRPr="00467F9C">
        <w:rPr>
          <w:sz w:val="28"/>
          <w:szCs w:val="28"/>
        </w:rPr>
        <w:t>На реализацию региональных проектов в отчетном периоде поступило из федерального бюджета и Государственной корпорации «Фонд содействия реформированию жилищно-коммунального хозяйства»  246 560,3 тыс. рублей или 11,1% от плановых назначений, направлено на реализацию восьми региональных проектов бюджетных средств в объеме 184 498,7 тыс. рублей (окружной и федеральный бюджеты) или 4,2% от утвержденных назначений, исполнены мероприятия региональных проектов на сумму 362 298,0 тыс. рублей, из них 186 954,6 тыс. рублей в рамках реализации регионального проекта «Обеспечение устойчивого сокращения непригодного для проживания жилищного фонда».</w:t>
      </w:r>
    </w:p>
    <w:p w:rsidR="00191861" w:rsidRPr="00467F9C" w:rsidRDefault="00191861" w:rsidP="00191861">
      <w:pPr>
        <w:tabs>
          <w:tab w:val="left" w:pos="709"/>
        </w:tabs>
        <w:autoSpaceDE w:val="0"/>
        <w:autoSpaceDN w:val="0"/>
        <w:adjustRightInd w:val="0"/>
        <w:ind w:firstLine="709"/>
        <w:jc w:val="both"/>
        <w:rPr>
          <w:sz w:val="28"/>
          <w:szCs w:val="28"/>
        </w:rPr>
      </w:pPr>
      <w:r w:rsidRPr="00467F9C">
        <w:rPr>
          <w:sz w:val="28"/>
          <w:szCs w:val="28"/>
        </w:rPr>
        <w:t>Информация об использовании бюджетных ассигнований на реализацию государственных программ за 2022 год в разрезе подпрограмм приведена в Приложении 1 к настоящему отчету. Анализ исполнения государственных программ, с целью сопоставимости данных с Законом об окружном бюджете на 2022 год и СБР проводится без учета их финансового обеспечения и исполнения за счет прочих внебюджетных источников (которые не отражены в доходной части окружного бюджета).</w:t>
      </w:r>
    </w:p>
    <w:p w:rsidR="00191861" w:rsidRPr="00467F9C" w:rsidRDefault="00191861" w:rsidP="00191861">
      <w:pPr>
        <w:pStyle w:val="19"/>
        <w:spacing w:before="120" w:after="120"/>
        <w:ind w:firstLine="709"/>
        <w:rPr>
          <w:b/>
          <w:color w:val="auto"/>
        </w:rPr>
      </w:pPr>
      <w:r w:rsidRPr="00467F9C">
        <w:rPr>
          <w:b/>
          <w:color w:val="auto"/>
        </w:rPr>
        <w:t xml:space="preserve">9.2. Анализ реализации государственных контрактов, заключенных в рамках государственных программ для обеспечения государственных нужд на срок, не превышающий срок действия утвержденных лимитов бюджетных обязательств (до двух лет с момента заключения), и на срок, превышающий срок действия утвержденных лимитов бюджетных обязательств (свыше двух лет с момента заключения) </w:t>
      </w:r>
    </w:p>
    <w:p w:rsidR="00191861" w:rsidRPr="00467F9C" w:rsidRDefault="00191861" w:rsidP="00191861">
      <w:pPr>
        <w:pStyle w:val="19"/>
        <w:ind w:firstLine="709"/>
        <w:rPr>
          <w:color w:val="auto"/>
        </w:rPr>
      </w:pPr>
      <w:r w:rsidRPr="00467F9C">
        <w:rPr>
          <w:color w:val="auto"/>
        </w:rPr>
        <w:t>По состоянию на 1 апреля 2022 года действуют 63 государственных контракта для обеспечения государственных нужд, заключенных в рамках десяти государственных программ, в том числе:</w:t>
      </w:r>
    </w:p>
    <w:p w:rsidR="00191861" w:rsidRPr="00467F9C" w:rsidRDefault="00191861" w:rsidP="00191861">
      <w:pPr>
        <w:pStyle w:val="19"/>
        <w:ind w:firstLine="709"/>
        <w:rPr>
          <w:color w:val="auto"/>
        </w:rPr>
      </w:pPr>
      <w:r w:rsidRPr="00467F9C">
        <w:rPr>
          <w:color w:val="auto"/>
        </w:rPr>
        <w:t>- 23 государственных контракта общей стоимостью 1 495 879,8 тыс. рублей заключены на срок, не превышающий срок действия утвержденных лимитов бюджетных обязательств (до двух лет с момента заключения);</w:t>
      </w:r>
    </w:p>
    <w:p w:rsidR="00191861" w:rsidRPr="00467F9C" w:rsidRDefault="00191861" w:rsidP="00191861">
      <w:pPr>
        <w:pStyle w:val="19"/>
        <w:ind w:firstLine="709"/>
        <w:rPr>
          <w:color w:val="auto"/>
        </w:rPr>
      </w:pPr>
      <w:r w:rsidRPr="00467F9C">
        <w:rPr>
          <w:color w:val="auto"/>
        </w:rPr>
        <w:t xml:space="preserve">- 40 государственных контрактов общей стоимостью 21 924 769,8 тыс. рублей заключены на срок, превышающий срок действия утвержденных лимитов бюджетных обязательств (свыше двух лет с момента заключения). </w:t>
      </w:r>
    </w:p>
    <w:p w:rsidR="00191861" w:rsidRPr="00467F9C" w:rsidRDefault="00191861" w:rsidP="00191861">
      <w:pPr>
        <w:pStyle w:val="19"/>
        <w:ind w:firstLine="709"/>
        <w:rPr>
          <w:color w:val="auto"/>
        </w:rPr>
      </w:pPr>
      <w:r w:rsidRPr="00467F9C">
        <w:rPr>
          <w:color w:val="auto"/>
        </w:rPr>
        <w:lastRenderedPageBreak/>
        <w:t>Общая сумма государственных контрактов составляет 23 420 649,6 тыс. рублей. С начала реализации государственных контрактов на их исполнение направлено бюджетных ассигнований в сумме 8 822 988,1 тыс. рублей (из них в  1 квартале 2022 года – 74 700,1 тыс. рублей), выполнено работ на сумму 7 549 221,4 тыс. рублей (из них в 1 квартале 2022 года – 181 697,2 тыс. рублей).</w:t>
      </w:r>
    </w:p>
    <w:p w:rsidR="00191861" w:rsidRPr="00467F9C" w:rsidRDefault="00191861" w:rsidP="00191861">
      <w:pPr>
        <w:pStyle w:val="19"/>
        <w:ind w:firstLine="709"/>
        <w:rPr>
          <w:color w:val="auto"/>
        </w:rPr>
      </w:pPr>
      <w:r w:rsidRPr="00467F9C">
        <w:rPr>
          <w:color w:val="auto"/>
        </w:rPr>
        <w:t>Информация о ходе реализации государственных контрактов, заключенных в рамках государственных программ, за январь-март 2022 года приведена в таблице №2.</w:t>
      </w:r>
    </w:p>
    <w:p w:rsidR="00191861" w:rsidRPr="00467F9C" w:rsidRDefault="00191861" w:rsidP="00191861">
      <w:pPr>
        <w:pStyle w:val="19"/>
        <w:ind w:firstLine="709"/>
        <w:jc w:val="right"/>
        <w:rPr>
          <w:color w:val="auto"/>
        </w:rPr>
      </w:pPr>
      <w:r w:rsidRPr="00467F9C">
        <w:rPr>
          <w:color w:val="auto"/>
        </w:rPr>
        <w:t>Таблица №2</w:t>
      </w:r>
    </w:p>
    <w:p w:rsidR="00191861" w:rsidRPr="00467F9C" w:rsidRDefault="00191861" w:rsidP="00191861">
      <w:pPr>
        <w:pStyle w:val="19"/>
        <w:ind w:firstLine="709"/>
        <w:jc w:val="right"/>
        <w:rPr>
          <w:color w:val="auto"/>
        </w:rPr>
      </w:pPr>
      <w:r w:rsidRPr="00467F9C">
        <w:rPr>
          <w:color w:val="auto"/>
        </w:rPr>
        <w:tab/>
      </w:r>
      <w:r w:rsidRPr="00467F9C">
        <w:rPr>
          <w:color w:val="auto"/>
        </w:rPr>
        <w:tab/>
      </w:r>
      <w:r w:rsidRPr="00467F9C">
        <w:rPr>
          <w:color w:val="auto"/>
        </w:rPr>
        <w:tab/>
      </w:r>
      <w:r w:rsidRPr="00467F9C">
        <w:rPr>
          <w:color w:val="auto"/>
        </w:rPr>
        <w:tab/>
      </w:r>
      <w:r w:rsidRPr="00467F9C">
        <w:rPr>
          <w:color w:val="auto"/>
        </w:rPr>
        <w:tab/>
      </w:r>
      <w:r w:rsidRPr="00467F9C">
        <w:rPr>
          <w:color w:val="auto"/>
        </w:rPr>
        <w:tab/>
      </w:r>
      <w:r w:rsidRPr="00467F9C">
        <w:rPr>
          <w:color w:val="auto"/>
        </w:rPr>
        <w:tab/>
      </w:r>
      <w:r w:rsidRPr="00467F9C">
        <w:rPr>
          <w:color w:val="auto"/>
        </w:rPr>
        <w:tab/>
      </w:r>
      <w:r w:rsidRPr="00467F9C">
        <w:rPr>
          <w:color w:val="auto"/>
        </w:rPr>
        <w:tab/>
        <w:t xml:space="preserve">          (тыс. рублей)</w:t>
      </w:r>
    </w:p>
    <w:tbl>
      <w:tblPr>
        <w:tblW w:w="9945" w:type="dxa"/>
        <w:tblInd w:w="-147" w:type="dxa"/>
        <w:tblLook w:val="04A0" w:firstRow="1" w:lastRow="0" w:firstColumn="1" w:lastColumn="0" w:noHBand="0" w:noVBand="1"/>
      </w:tblPr>
      <w:tblGrid>
        <w:gridCol w:w="2357"/>
        <w:gridCol w:w="1077"/>
        <w:gridCol w:w="1093"/>
        <w:gridCol w:w="6"/>
        <w:gridCol w:w="1258"/>
        <w:gridCol w:w="14"/>
        <w:gridCol w:w="1172"/>
        <w:gridCol w:w="962"/>
        <w:gridCol w:w="1077"/>
        <w:gridCol w:w="929"/>
      </w:tblGrid>
      <w:tr w:rsidR="00467F9C" w:rsidRPr="00DF69DB" w:rsidTr="000B1846">
        <w:trPr>
          <w:trHeight w:val="359"/>
          <w:tblHeader/>
        </w:trPr>
        <w:tc>
          <w:tcPr>
            <w:tcW w:w="23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922BB6" w:rsidRDefault="00191861" w:rsidP="00191861">
            <w:pPr>
              <w:jc w:val="center"/>
              <w:rPr>
                <w:b/>
                <w:bCs/>
                <w:sz w:val="19"/>
                <w:szCs w:val="19"/>
              </w:rPr>
            </w:pPr>
            <w:r w:rsidRPr="00922BB6">
              <w:rPr>
                <w:b/>
                <w:bCs/>
                <w:sz w:val="19"/>
                <w:szCs w:val="19"/>
              </w:rPr>
              <w:t>Наименование ГП</w:t>
            </w:r>
          </w:p>
        </w:tc>
        <w:tc>
          <w:tcPr>
            <w:tcW w:w="21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922BB6" w:rsidRDefault="00191861" w:rsidP="00191861">
            <w:pPr>
              <w:jc w:val="center"/>
              <w:rPr>
                <w:b/>
                <w:bCs/>
                <w:sz w:val="19"/>
                <w:szCs w:val="19"/>
              </w:rPr>
            </w:pPr>
            <w:r w:rsidRPr="00922BB6">
              <w:rPr>
                <w:b/>
                <w:bCs/>
                <w:sz w:val="19"/>
                <w:szCs w:val="19"/>
              </w:rPr>
              <w:t xml:space="preserve">Заключено контрактов (единиц) со сроком действия </w:t>
            </w:r>
          </w:p>
        </w:tc>
        <w:tc>
          <w:tcPr>
            <w:tcW w:w="1272" w:type="dxa"/>
            <w:gridSpan w:val="2"/>
            <w:vMerge w:val="restart"/>
            <w:tcBorders>
              <w:top w:val="single" w:sz="4" w:space="0" w:color="auto"/>
              <w:left w:val="single" w:sz="4" w:space="0" w:color="auto"/>
              <w:right w:val="single" w:sz="4" w:space="0" w:color="auto"/>
            </w:tcBorders>
            <w:shd w:val="clear" w:color="auto" w:fill="auto"/>
            <w:vAlign w:val="center"/>
            <w:hideMark/>
          </w:tcPr>
          <w:p w:rsidR="00191861" w:rsidRPr="00922BB6" w:rsidRDefault="00191861" w:rsidP="00191861">
            <w:pPr>
              <w:jc w:val="center"/>
              <w:rPr>
                <w:b/>
                <w:bCs/>
                <w:sz w:val="19"/>
                <w:szCs w:val="19"/>
              </w:rPr>
            </w:pPr>
            <w:r w:rsidRPr="00922BB6">
              <w:rPr>
                <w:b/>
                <w:bCs/>
                <w:sz w:val="19"/>
                <w:szCs w:val="19"/>
              </w:rPr>
              <w:t xml:space="preserve">Общая </w:t>
            </w:r>
            <w:r w:rsidRPr="00922BB6">
              <w:rPr>
                <w:b/>
                <w:bCs/>
                <w:sz w:val="19"/>
                <w:szCs w:val="19"/>
              </w:rPr>
              <w:br/>
              <w:t>сумма контрактов</w:t>
            </w:r>
          </w:p>
        </w:tc>
        <w:tc>
          <w:tcPr>
            <w:tcW w:w="4140" w:type="dxa"/>
            <w:gridSpan w:val="4"/>
            <w:tcBorders>
              <w:top w:val="single" w:sz="4" w:space="0" w:color="auto"/>
              <w:left w:val="nil"/>
              <w:bottom w:val="single" w:sz="4" w:space="0" w:color="auto"/>
              <w:right w:val="single" w:sz="4" w:space="0" w:color="auto"/>
            </w:tcBorders>
            <w:shd w:val="clear" w:color="auto" w:fill="auto"/>
            <w:vAlign w:val="center"/>
            <w:hideMark/>
          </w:tcPr>
          <w:p w:rsidR="00191861" w:rsidRPr="00922BB6" w:rsidRDefault="00191861" w:rsidP="00191861">
            <w:pPr>
              <w:jc w:val="center"/>
              <w:rPr>
                <w:b/>
                <w:bCs/>
                <w:sz w:val="19"/>
                <w:szCs w:val="19"/>
              </w:rPr>
            </w:pPr>
            <w:r w:rsidRPr="00922BB6">
              <w:rPr>
                <w:b/>
                <w:bCs/>
                <w:sz w:val="19"/>
                <w:szCs w:val="19"/>
              </w:rPr>
              <w:t>По состоянию на 01.04.2022г.</w:t>
            </w:r>
          </w:p>
        </w:tc>
      </w:tr>
      <w:tr w:rsidR="00467F9C" w:rsidRPr="00DF69DB" w:rsidTr="000B1846">
        <w:trPr>
          <w:trHeight w:val="323"/>
          <w:tblHeader/>
        </w:trPr>
        <w:tc>
          <w:tcPr>
            <w:tcW w:w="2357" w:type="dxa"/>
            <w:vMerge/>
            <w:tcBorders>
              <w:top w:val="single" w:sz="4" w:space="0" w:color="auto"/>
              <w:left w:val="single" w:sz="4" w:space="0" w:color="auto"/>
              <w:bottom w:val="single" w:sz="4" w:space="0" w:color="auto"/>
              <w:right w:val="single" w:sz="4" w:space="0" w:color="auto"/>
            </w:tcBorders>
            <w:vAlign w:val="center"/>
            <w:hideMark/>
          </w:tcPr>
          <w:p w:rsidR="00191861" w:rsidRPr="00922BB6" w:rsidRDefault="00191861" w:rsidP="00191861">
            <w:pPr>
              <w:rPr>
                <w:b/>
                <w:bCs/>
                <w:sz w:val="19"/>
                <w:szCs w:val="19"/>
              </w:rPr>
            </w:pPr>
          </w:p>
        </w:tc>
        <w:tc>
          <w:tcPr>
            <w:tcW w:w="2176" w:type="dxa"/>
            <w:gridSpan w:val="3"/>
            <w:vMerge/>
            <w:tcBorders>
              <w:top w:val="single" w:sz="4" w:space="0" w:color="auto"/>
              <w:left w:val="single" w:sz="4" w:space="0" w:color="auto"/>
              <w:bottom w:val="single" w:sz="4" w:space="0" w:color="auto"/>
              <w:right w:val="single" w:sz="4" w:space="0" w:color="auto"/>
            </w:tcBorders>
            <w:vAlign w:val="center"/>
            <w:hideMark/>
          </w:tcPr>
          <w:p w:rsidR="00191861" w:rsidRPr="00922BB6" w:rsidRDefault="00191861" w:rsidP="00191861">
            <w:pPr>
              <w:rPr>
                <w:b/>
                <w:bCs/>
                <w:sz w:val="19"/>
                <w:szCs w:val="19"/>
              </w:rPr>
            </w:pPr>
          </w:p>
        </w:tc>
        <w:tc>
          <w:tcPr>
            <w:tcW w:w="1272" w:type="dxa"/>
            <w:gridSpan w:val="2"/>
            <w:vMerge/>
            <w:tcBorders>
              <w:left w:val="single" w:sz="4" w:space="0" w:color="auto"/>
              <w:right w:val="single" w:sz="4" w:space="0" w:color="auto"/>
            </w:tcBorders>
            <w:vAlign w:val="center"/>
            <w:hideMark/>
          </w:tcPr>
          <w:p w:rsidR="00191861" w:rsidRPr="00922BB6" w:rsidRDefault="00191861" w:rsidP="00191861">
            <w:pPr>
              <w:rPr>
                <w:b/>
                <w:bCs/>
                <w:sz w:val="19"/>
                <w:szCs w:val="19"/>
              </w:rPr>
            </w:pPr>
          </w:p>
        </w:tc>
        <w:tc>
          <w:tcPr>
            <w:tcW w:w="2134" w:type="dxa"/>
            <w:gridSpan w:val="2"/>
            <w:tcBorders>
              <w:top w:val="single" w:sz="4" w:space="0" w:color="auto"/>
              <w:left w:val="nil"/>
              <w:bottom w:val="single" w:sz="4" w:space="0" w:color="auto"/>
              <w:right w:val="single" w:sz="4" w:space="0" w:color="auto"/>
            </w:tcBorders>
            <w:shd w:val="clear" w:color="auto" w:fill="auto"/>
            <w:vAlign w:val="center"/>
            <w:hideMark/>
          </w:tcPr>
          <w:p w:rsidR="00191861" w:rsidRPr="00922BB6" w:rsidRDefault="00191861" w:rsidP="00191861">
            <w:pPr>
              <w:jc w:val="center"/>
              <w:rPr>
                <w:b/>
                <w:bCs/>
                <w:sz w:val="19"/>
                <w:szCs w:val="19"/>
              </w:rPr>
            </w:pPr>
            <w:r w:rsidRPr="00922BB6">
              <w:rPr>
                <w:b/>
                <w:bCs/>
                <w:sz w:val="19"/>
                <w:szCs w:val="19"/>
              </w:rPr>
              <w:t>Профинансировано</w:t>
            </w:r>
          </w:p>
        </w:tc>
        <w:tc>
          <w:tcPr>
            <w:tcW w:w="2006" w:type="dxa"/>
            <w:gridSpan w:val="2"/>
            <w:tcBorders>
              <w:top w:val="single" w:sz="4" w:space="0" w:color="auto"/>
              <w:left w:val="nil"/>
              <w:bottom w:val="single" w:sz="4" w:space="0" w:color="auto"/>
              <w:right w:val="single" w:sz="4" w:space="0" w:color="auto"/>
            </w:tcBorders>
            <w:shd w:val="clear" w:color="auto" w:fill="auto"/>
            <w:vAlign w:val="center"/>
            <w:hideMark/>
          </w:tcPr>
          <w:p w:rsidR="00191861" w:rsidRPr="00922BB6" w:rsidRDefault="00191861" w:rsidP="00191861">
            <w:pPr>
              <w:jc w:val="center"/>
              <w:rPr>
                <w:b/>
                <w:bCs/>
                <w:sz w:val="19"/>
                <w:szCs w:val="19"/>
              </w:rPr>
            </w:pPr>
            <w:r w:rsidRPr="00922BB6">
              <w:rPr>
                <w:b/>
                <w:bCs/>
                <w:sz w:val="19"/>
                <w:szCs w:val="19"/>
              </w:rPr>
              <w:t>Выполнено</w:t>
            </w:r>
          </w:p>
        </w:tc>
      </w:tr>
      <w:tr w:rsidR="00922BB6" w:rsidRPr="00DF69DB" w:rsidTr="000B1846">
        <w:trPr>
          <w:trHeight w:val="713"/>
          <w:tblHeader/>
        </w:trPr>
        <w:tc>
          <w:tcPr>
            <w:tcW w:w="2357" w:type="dxa"/>
            <w:vMerge/>
            <w:tcBorders>
              <w:top w:val="single" w:sz="4" w:space="0" w:color="auto"/>
              <w:left w:val="single" w:sz="4" w:space="0" w:color="auto"/>
              <w:bottom w:val="single" w:sz="4" w:space="0" w:color="auto"/>
              <w:right w:val="single" w:sz="4" w:space="0" w:color="auto"/>
            </w:tcBorders>
            <w:vAlign w:val="center"/>
            <w:hideMark/>
          </w:tcPr>
          <w:p w:rsidR="00191861" w:rsidRPr="00922BB6" w:rsidRDefault="00191861" w:rsidP="00191861">
            <w:pPr>
              <w:rPr>
                <w:b/>
                <w:bCs/>
                <w:sz w:val="19"/>
                <w:szCs w:val="19"/>
              </w:rPr>
            </w:pPr>
          </w:p>
        </w:tc>
        <w:tc>
          <w:tcPr>
            <w:tcW w:w="1077" w:type="dxa"/>
            <w:tcBorders>
              <w:top w:val="nil"/>
              <w:left w:val="nil"/>
              <w:bottom w:val="single" w:sz="4" w:space="0" w:color="auto"/>
              <w:right w:val="single" w:sz="4" w:space="0" w:color="auto"/>
            </w:tcBorders>
            <w:shd w:val="clear" w:color="auto" w:fill="auto"/>
            <w:vAlign w:val="center"/>
            <w:hideMark/>
          </w:tcPr>
          <w:p w:rsidR="00191861" w:rsidRPr="00922BB6" w:rsidRDefault="00191861" w:rsidP="001145BD">
            <w:pPr>
              <w:ind w:left="-99" w:right="-90"/>
              <w:jc w:val="center"/>
              <w:rPr>
                <w:sz w:val="19"/>
                <w:szCs w:val="19"/>
              </w:rPr>
            </w:pPr>
            <w:r w:rsidRPr="00922BB6">
              <w:rPr>
                <w:sz w:val="19"/>
                <w:szCs w:val="19"/>
              </w:rPr>
              <w:t xml:space="preserve">менее 2-х лет </w:t>
            </w:r>
            <w:r w:rsidRPr="00922BB6">
              <w:rPr>
                <w:sz w:val="19"/>
                <w:szCs w:val="19"/>
              </w:rPr>
              <w:br/>
              <w:t>с момента заключения</w:t>
            </w:r>
          </w:p>
        </w:tc>
        <w:tc>
          <w:tcPr>
            <w:tcW w:w="1093" w:type="dxa"/>
            <w:tcBorders>
              <w:top w:val="nil"/>
              <w:left w:val="nil"/>
              <w:bottom w:val="single" w:sz="4" w:space="0" w:color="auto"/>
              <w:right w:val="single" w:sz="4" w:space="0" w:color="auto"/>
            </w:tcBorders>
            <w:shd w:val="clear" w:color="auto" w:fill="auto"/>
            <w:vAlign w:val="center"/>
            <w:hideMark/>
          </w:tcPr>
          <w:p w:rsidR="00191861" w:rsidRPr="00922BB6" w:rsidRDefault="00191861" w:rsidP="00191861">
            <w:pPr>
              <w:ind w:left="-132" w:right="-149"/>
              <w:jc w:val="center"/>
              <w:rPr>
                <w:sz w:val="19"/>
                <w:szCs w:val="19"/>
              </w:rPr>
            </w:pPr>
            <w:r w:rsidRPr="00922BB6">
              <w:rPr>
                <w:sz w:val="19"/>
                <w:szCs w:val="19"/>
              </w:rPr>
              <w:t xml:space="preserve">более 2-х </w:t>
            </w:r>
          </w:p>
          <w:p w:rsidR="00191861" w:rsidRPr="00922BB6" w:rsidRDefault="00191861" w:rsidP="00191861">
            <w:pPr>
              <w:ind w:left="-132" w:right="-131"/>
              <w:jc w:val="center"/>
              <w:rPr>
                <w:sz w:val="19"/>
                <w:szCs w:val="19"/>
              </w:rPr>
            </w:pPr>
            <w:r w:rsidRPr="00922BB6">
              <w:rPr>
                <w:sz w:val="19"/>
                <w:szCs w:val="19"/>
              </w:rPr>
              <w:t xml:space="preserve">лет </w:t>
            </w:r>
            <w:r w:rsidRPr="00922BB6">
              <w:rPr>
                <w:sz w:val="19"/>
                <w:szCs w:val="19"/>
              </w:rPr>
              <w:br/>
              <w:t>с момента</w:t>
            </w:r>
          </w:p>
          <w:p w:rsidR="00191861" w:rsidRPr="00922BB6" w:rsidRDefault="00191861" w:rsidP="00191861">
            <w:pPr>
              <w:ind w:left="-132" w:right="-131"/>
              <w:jc w:val="center"/>
              <w:rPr>
                <w:sz w:val="19"/>
                <w:szCs w:val="19"/>
              </w:rPr>
            </w:pPr>
            <w:r w:rsidRPr="00922BB6">
              <w:rPr>
                <w:sz w:val="19"/>
                <w:szCs w:val="19"/>
              </w:rPr>
              <w:t>заключения</w:t>
            </w:r>
          </w:p>
        </w:tc>
        <w:tc>
          <w:tcPr>
            <w:tcW w:w="1264" w:type="dxa"/>
            <w:gridSpan w:val="2"/>
            <w:tcBorders>
              <w:left w:val="single" w:sz="4" w:space="0" w:color="auto"/>
              <w:bottom w:val="single" w:sz="4" w:space="0" w:color="auto"/>
              <w:right w:val="single" w:sz="4" w:space="0" w:color="auto"/>
            </w:tcBorders>
            <w:vAlign w:val="center"/>
            <w:hideMark/>
          </w:tcPr>
          <w:p w:rsidR="00191861" w:rsidRPr="00922BB6" w:rsidRDefault="00191861" w:rsidP="00191861">
            <w:pPr>
              <w:rPr>
                <w:b/>
                <w:bCs/>
                <w:sz w:val="19"/>
                <w:szCs w:val="19"/>
              </w:rPr>
            </w:pPr>
          </w:p>
        </w:tc>
        <w:tc>
          <w:tcPr>
            <w:tcW w:w="1186" w:type="dxa"/>
            <w:gridSpan w:val="2"/>
            <w:tcBorders>
              <w:top w:val="nil"/>
              <w:left w:val="nil"/>
              <w:bottom w:val="single" w:sz="4" w:space="0" w:color="auto"/>
              <w:right w:val="single" w:sz="4" w:space="0" w:color="auto"/>
            </w:tcBorders>
            <w:shd w:val="clear" w:color="auto" w:fill="auto"/>
            <w:vAlign w:val="center"/>
            <w:hideMark/>
          </w:tcPr>
          <w:p w:rsidR="00191861" w:rsidRPr="00922BB6" w:rsidRDefault="00191861" w:rsidP="00191861">
            <w:pPr>
              <w:ind w:left="-81" w:right="-83"/>
              <w:jc w:val="center"/>
              <w:rPr>
                <w:sz w:val="19"/>
                <w:szCs w:val="19"/>
              </w:rPr>
            </w:pPr>
            <w:r w:rsidRPr="00922BB6">
              <w:rPr>
                <w:sz w:val="19"/>
                <w:szCs w:val="19"/>
              </w:rPr>
              <w:t>с начала реализации контрактов</w:t>
            </w:r>
          </w:p>
        </w:tc>
        <w:tc>
          <w:tcPr>
            <w:tcW w:w="962" w:type="dxa"/>
            <w:tcBorders>
              <w:top w:val="nil"/>
              <w:left w:val="nil"/>
              <w:bottom w:val="single" w:sz="4" w:space="0" w:color="auto"/>
              <w:right w:val="single" w:sz="4" w:space="0" w:color="auto"/>
            </w:tcBorders>
            <w:shd w:val="clear" w:color="auto" w:fill="auto"/>
            <w:vAlign w:val="center"/>
            <w:hideMark/>
          </w:tcPr>
          <w:p w:rsidR="00922BB6" w:rsidRDefault="00191861" w:rsidP="00922BB6">
            <w:pPr>
              <w:ind w:left="-111" w:right="-149" w:hanging="27"/>
              <w:jc w:val="center"/>
              <w:rPr>
                <w:sz w:val="19"/>
                <w:szCs w:val="19"/>
              </w:rPr>
            </w:pPr>
            <w:r w:rsidRPr="00922BB6">
              <w:rPr>
                <w:sz w:val="19"/>
                <w:szCs w:val="19"/>
              </w:rPr>
              <w:t>из них за</w:t>
            </w:r>
          </w:p>
          <w:p w:rsidR="00191861" w:rsidRPr="00922BB6" w:rsidRDefault="00191861" w:rsidP="00922BB6">
            <w:pPr>
              <w:ind w:left="-111" w:right="-149" w:hanging="27"/>
              <w:jc w:val="center"/>
              <w:rPr>
                <w:sz w:val="19"/>
                <w:szCs w:val="19"/>
              </w:rPr>
            </w:pPr>
            <w:r w:rsidRPr="00922BB6">
              <w:rPr>
                <w:sz w:val="19"/>
                <w:szCs w:val="19"/>
              </w:rPr>
              <w:t xml:space="preserve">1 квартал </w:t>
            </w:r>
            <w:r w:rsidRPr="00922BB6">
              <w:rPr>
                <w:sz w:val="19"/>
                <w:szCs w:val="19"/>
              </w:rPr>
              <w:br/>
              <w:t>2022 года</w:t>
            </w:r>
          </w:p>
        </w:tc>
        <w:tc>
          <w:tcPr>
            <w:tcW w:w="1077" w:type="dxa"/>
            <w:tcBorders>
              <w:top w:val="nil"/>
              <w:left w:val="nil"/>
              <w:bottom w:val="single" w:sz="4" w:space="0" w:color="auto"/>
              <w:right w:val="single" w:sz="4" w:space="0" w:color="auto"/>
            </w:tcBorders>
            <w:shd w:val="clear" w:color="auto" w:fill="auto"/>
            <w:vAlign w:val="center"/>
            <w:hideMark/>
          </w:tcPr>
          <w:p w:rsidR="00191861" w:rsidRPr="00922BB6" w:rsidRDefault="00191861" w:rsidP="00191861">
            <w:pPr>
              <w:ind w:left="-108" w:right="-56"/>
              <w:jc w:val="center"/>
              <w:rPr>
                <w:sz w:val="19"/>
                <w:szCs w:val="19"/>
              </w:rPr>
            </w:pPr>
            <w:r w:rsidRPr="00922BB6">
              <w:rPr>
                <w:sz w:val="19"/>
                <w:szCs w:val="19"/>
              </w:rPr>
              <w:t>с начала реализации контрактов</w:t>
            </w:r>
          </w:p>
        </w:tc>
        <w:tc>
          <w:tcPr>
            <w:tcW w:w="929" w:type="dxa"/>
            <w:tcBorders>
              <w:top w:val="nil"/>
              <w:left w:val="nil"/>
              <w:bottom w:val="single" w:sz="4" w:space="0" w:color="auto"/>
              <w:right w:val="single" w:sz="4" w:space="0" w:color="auto"/>
            </w:tcBorders>
            <w:shd w:val="clear" w:color="auto" w:fill="auto"/>
            <w:vAlign w:val="center"/>
            <w:hideMark/>
          </w:tcPr>
          <w:p w:rsidR="00922BB6" w:rsidRDefault="00191861" w:rsidP="00191861">
            <w:pPr>
              <w:ind w:left="-79" w:right="-100"/>
              <w:jc w:val="center"/>
              <w:rPr>
                <w:sz w:val="19"/>
                <w:szCs w:val="19"/>
              </w:rPr>
            </w:pPr>
            <w:r w:rsidRPr="00922BB6">
              <w:rPr>
                <w:sz w:val="19"/>
                <w:szCs w:val="19"/>
              </w:rPr>
              <w:t xml:space="preserve">из них за </w:t>
            </w:r>
          </w:p>
          <w:p w:rsidR="00191861" w:rsidRPr="00922BB6" w:rsidRDefault="00191861" w:rsidP="00191861">
            <w:pPr>
              <w:ind w:left="-79" w:right="-100"/>
              <w:jc w:val="center"/>
              <w:rPr>
                <w:sz w:val="19"/>
                <w:szCs w:val="19"/>
              </w:rPr>
            </w:pPr>
            <w:r w:rsidRPr="00922BB6">
              <w:rPr>
                <w:sz w:val="19"/>
                <w:szCs w:val="19"/>
              </w:rPr>
              <w:t xml:space="preserve">1 квартал </w:t>
            </w:r>
            <w:r w:rsidRPr="00922BB6">
              <w:rPr>
                <w:sz w:val="19"/>
                <w:szCs w:val="19"/>
              </w:rPr>
              <w:br/>
              <w:t>2022 года</w:t>
            </w:r>
          </w:p>
        </w:tc>
      </w:tr>
      <w:tr w:rsidR="00922BB6" w:rsidRPr="00DF69DB" w:rsidTr="000B1846">
        <w:trPr>
          <w:trHeight w:val="255"/>
          <w:tblHeader/>
        </w:trPr>
        <w:tc>
          <w:tcPr>
            <w:tcW w:w="2357" w:type="dxa"/>
            <w:tcBorders>
              <w:top w:val="nil"/>
              <w:left w:val="single" w:sz="4" w:space="0" w:color="auto"/>
              <w:bottom w:val="single" w:sz="4" w:space="0" w:color="auto"/>
              <w:right w:val="single" w:sz="4" w:space="0" w:color="auto"/>
            </w:tcBorders>
            <w:shd w:val="clear" w:color="auto" w:fill="auto"/>
            <w:vAlign w:val="center"/>
            <w:hideMark/>
          </w:tcPr>
          <w:p w:rsidR="00191861" w:rsidRPr="00DF69DB" w:rsidRDefault="00191861" w:rsidP="00191861">
            <w:pPr>
              <w:jc w:val="center"/>
              <w:rPr>
                <w:bCs/>
                <w:sz w:val="20"/>
                <w:szCs w:val="20"/>
              </w:rPr>
            </w:pPr>
            <w:r w:rsidRPr="00DF69DB">
              <w:rPr>
                <w:bCs/>
                <w:sz w:val="20"/>
                <w:szCs w:val="20"/>
              </w:rPr>
              <w:t>1</w:t>
            </w: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99" w:right="-90"/>
              <w:jc w:val="center"/>
              <w:rPr>
                <w:bCs/>
                <w:sz w:val="20"/>
                <w:szCs w:val="20"/>
              </w:rPr>
            </w:pPr>
            <w:r w:rsidRPr="00DF69DB">
              <w:rPr>
                <w:bCs/>
                <w:sz w:val="20"/>
                <w:szCs w:val="20"/>
              </w:rPr>
              <w:t>2</w:t>
            </w:r>
          </w:p>
        </w:tc>
        <w:tc>
          <w:tcPr>
            <w:tcW w:w="1093"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jc w:val="center"/>
              <w:rPr>
                <w:bCs/>
                <w:sz w:val="20"/>
                <w:szCs w:val="20"/>
              </w:rPr>
            </w:pPr>
            <w:r w:rsidRPr="00DF69DB">
              <w:rPr>
                <w:bCs/>
                <w:sz w:val="20"/>
                <w:szCs w:val="20"/>
              </w:rPr>
              <w:t>3</w:t>
            </w:r>
          </w:p>
        </w:tc>
        <w:tc>
          <w:tcPr>
            <w:tcW w:w="1264"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jc w:val="center"/>
              <w:rPr>
                <w:bCs/>
                <w:sz w:val="20"/>
                <w:szCs w:val="20"/>
              </w:rPr>
            </w:pPr>
            <w:r w:rsidRPr="00DF69DB">
              <w:rPr>
                <w:bCs/>
                <w:sz w:val="20"/>
                <w:szCs w:val="20"/>
              </w:rPr>
              <w:t>4</w:t>
            </w:r>
          </w:p>
        </w:tc>
        <w:tc>
          <w:tcPr>
            <w:tcW w:w="1186"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81" w:right="-83"/>
              <w:jc w:val="center"/>
              <w:rPr>
                <w:bCs/>
                <w:sz w:val="20"/>
                <w:szCs w:val="20"/>
              </w:rPr>
            </w:pPr>
            <w:r w:rsidRPr="00DF69DB">
              <w:rPr>
                <w:bCs/>
                <w:sz w:val="20"/>
                <w:szCs w:val="20"/>
              </w:rPr>
              <w:t>5</w:t>
            </w:r>
          </w:p>
        </w:tc>
        <w:tc>
          <w:tcPr>
            <w:tcW w:w="962"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jc w:val="center"/>
              <w:rPr>
                <w:bCs/>
                <w:sz w:val="20"/>
                <w:szCs w:val="20"/>
              </w:rPr>
            </w:pPr>
            <w:r w:rsidRPr="00DF69DB">
              <w:rPr>
                <w:bCs/>
                <w:sz w:val="20"/>
                <w:szCs w:val="20"/>
              </w:rPr>
              <w:t>6</w:t>
            </w: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108" w:right="-56"/>
              <w:jc w:val="center"/>
              <w:rPr>
                <w:bCs/>
                <w:sz w:val="20"/>
                <w:szCs w:val="20"/>
              </w:rPr>
            </w:pPr>
            <w:r w:rsidRPr="00DF69DB">
              <w:rPr>
                <w:bCs/>
                <w:sz w:val="20"/>
                <w:szCs w:val="20"/>
              </w:rPr>
              <w:t>7</w:t>
            </w:r>
          </w:p>
        </w:tc>
        <w:tc>
          <w:tcPr>
            <w:tcW w:w="929"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49" w:right="-24" w:firstLine="7"/>
              <w:jc w:val="center"/>
              <w:rPr>
                <w:bCs/>
                <w:sz w:val="20"/>
                <w:szCs w:val="20"/>
              </w:rPr>
            </w:pPr>
            <w:r w:rsidRPr="00DF69DB">
              <w:rPr>
                <w:bCs/>
                <w:sz w:val="20"/>
                <w:szCs w:val="20"/>
              </w:rPr>
              <w:t>8</w:t>
            </w:r>
          </w:p>
        </w:tc>
      </w:tr>
      <w:tr w:rsidR="00922BB6" w:rsidRPr="00DF69DB" w:rsidTr="000B1846">
        <w:trPr>
          <w:trHeight w:val="300"/>
        </w:trPr>
        <w:tc>
          <w:tcPr>
            <w:tcW w:w="2357" w:type="dxa"/>
            <w:vMerge w:val="restart"/>
            <w:tcBorders>
              <w:top w:val="nil"/>
              <w:left w:val="single" w:sz="4" w:space="0" w:color="auto"/>
              <w:bottom w:val="single" w:sz="4" w:space="0" w:color="auto"/>
              <w:right w:val="single" w:sz="4" w:space="0" w:color="auto"/>
            </w:tcBorders>
            <w:shd w:val="clear" w:color="auto" w:fill="auto"/>
            <w:vAlign w:val="center"/>
            <w:hideMark/>
          </w:tcPr>
          <w:p w:rsidR="00191861" w:rsidRPr="00DF69DB" w:rsidRDefault="00191861" w:rsidP="00191861">
            <w:pPr>
              <w:ind w:right="9"/>
              <w:rPr>
                <w:sz w:val="20"/>
                <w:szCs w:val="20"/>
              </w:rPr>
            </w:pPr>
            <w:r w:rsidRPr="00DF69DB">
              <w:rPr>
                <w:sz w:val="20"/>
                <w:szCs w:val="20"/>
              </w:rPr>
              <w:t xml:space="preserve">Развитие транспортной инфраструктуры </w:t>
            </w: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99" w:right="-90"/>
              <w:jc w:val="center"/>
              <w:rPr>
                <w:sz w:val="20"/>
                <w:szCs w:val="20"/>
              </w:rPr>
            </w:pPr>
            <w:r w:rsidRPr="00DF69DB">
              <w:rPr>
                <w:sz w:val="20"/>
                <w:szCs w:val="20"/>
              </w:rPr>
              <w:t>6</w:t>
            </w:r>
          </w:p>
        </w:tc>
        <w:tc>
          <w:tcPr>
            <w:tcW w:w="1093"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jc w:val="center"/>
              <w:rPr>
                <w:sz w:val="20"/>
                <w:szCs w:val="20"/>
              </w:rPr>
            </w:pPr>
            <w:r w:rsidRPr="00DF69DB">
              <w:rPr>
                <w:sz w:val="20"/>
                <w:szCs w:val="20"/>
              </w:rPr>
              <w:t>-</w:t>
            </w:r>
          </w:p>
        </w:tc>
        <w:tc>
          <w:tcPr>
            <w:tcW w:w="1264"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53"/>
              <w:jc w:val="right"/>
              <w:rPr>
                <w:sz w:val="20"/>
                <w:szCs w:val="20"/>
              </w:rPr>
            </w:pPr>
            <w:r w:rsidRPr="00DF69DB">
              <w:rPr>
                <w:sz w:val="20"/>
                <w:szCs w:val="20"/>
              </w:rPr>
              <w:t>221 882,3</w:t>
            </w:r>
          </w:p>
        </w:tc>
        <w:tc>
          <w:tcPr>
            <w:tcW w:w="1186"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81" w:right="34"/>
              <w:jc w:val="right"/>
              <w:rPr>
                <w:sz w:val="20"/>
                <w:szCs w:val="20"/>
              </w:rPr>
            </w:pPr>
            <w:r w:rsidRPr="00DF69DB">
              <w:rPr>
                <w:sz w:val="20"/>
                <w:szCs w:val="20"/>
              </w:rPr>
              <w:t>37 538,6</w:t>
            </w:r>
          </w:p>
        </w:tc>
        <w:tc>
          <w:tcPr>
            <w:tcW w:w="962"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206" w:right="-25"/>
              <w:jc w:val="right"/>
              <w:rPr>
                <w:sz w:val="20"/>
                <w:szCs w:val="20"/>
              </w:rPr>
            </w:pPr>
            <w:r w:rsidRPr="00DF69DB">
              <w:rPr>
                <w:sz w:val="20"/>
                <w:szCs w:val="20"/>
              </w:rPr>
              <w:t>1 232,7</w:t>
            </w: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108" w:right="-56"/>
              <w:jc w:val="right"/>
              <w:rPr>
                <w:sz w:val="20"/>
                <w:szCs w:val="20"/>
              </w:rPr>
            </w:pPr>
            <w:r w:rsidRPr="00DF69DB">
              <w:rPr>
                <w:sz w:val="20"/>
                <w:szCs w:val="20"/>
              </w:rPr>
              <w:t>37 538,6</w:t>
            </w:r>
          </w:p>
        </w:tc>
        <w:tc>
          <w:tcPr>
            <w:tcW w:w="929"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168" w:right="-24"/>
              <w:jc w:val="right"/>
              <w:rPr>
                <w:sz w:val="20"/>
                <w:szCs w:val="20"/>
              </w:rPr>
            </w:pPr>
            <w:r w:rsidRPr="00DF69DB">
              <w:rPr>
                <w:sz w:val="20"/>
                <w:szCs w:val="20"/>
              </w:rPr>
              <w:t>1 232,7</w:t>
            </w:r>
          </w:p>
        </w:tc>
      </w:tr>
      <w:tr w:rsidR="00922BB6" w:rsidRPr="00DF69DB" w:rsidTr="000B1846">
        <w:trPr>
          <w:trHeight w:val="300"/>
        </w:trPr>
        <w:tc>
          <w:tcPr>
            <w:tcW w:w="2357" w:type="dxa"/>
            <w:vMerge/>
            <w:tcBorders>
              <w:top w:val="nil"/>
              <w:left w:val="single" w:sz="4" w:space="0" w:color="auto"/>
              <w:bottom w:val="single" w:sz="4" w:space="0" w:color="auto"/>
              <w:right w:val="single" w:sz="4" w:space="0" w:color="auto"/>
            </w:tcBorders>
            <w:vAlign w:val="center"/>
            <w:hideMark/>
          </w:tcPr>
          <w:p w:rsidR="00191861" w:rsidRPr="00DF69DB" w:rsidRDefault="00191861" w:rsidP="00191861">
            <w:pPr>
              <w:ind w:right="9"/>
              <w:rPr>
                <w:sz w:val="20"/>
                <w:szCs w:val="20"/>
              </w:rPr>
            </w:pP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99" w:right="-90"/>
              <w:jc w:val="center"/>
              <w:rPr>
                <w:sz w:val="20"/>
                <w:szCs w:val="20"/>
              </w:rPr>
            </w:pPr>
            <w:r w:rsidRPr="00DF69DB">
              <w:rPr>
                <w:sz w:val="20"/>
                <w:szCs w:val="20"/>
              </w:rPr>
              <w:t>-</w:t>
            </w:r>
          </w:p>
        </w:tc>
        <w:tc>
          <w:tcPr>
            <w:tcW w:w="1093"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jc w:val="center"/>
              <w:rPr>
                <w:sz w:val="20"/>
                <w:szCs w:val="20"/>
              </w:rPr>
            </w:pPr>
            <w:r w:rsidRPr="00DF69DB">
              <w:rPr>
                <w:sz w:val="20"/>
                <w:szCs w:val="20"/>
              </w:rPr>
              <w:t>27</w:t>
            </w:r>
          </w:p>
        </w:tc>
        <w:tc>
          <w:tcPr>
            <w:tcW w:w="1264"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53"/>
              <w:jc w:val="right"/>
              <w:rPr>
                <w:sz w:val="20"/>
                <w:szCs w:val="20"/>
              </w:rPr>
            </w:pPr>
            <w:r w:rsidRPr="00DF69DB">
              <w:rPr>
                <w:sz w:val="20"/>
                <w:szCs w:val="20"/>
              </w:rPr>
              <w:t>12 279 116,6</w:t>
            </w:r>
          </w:p>
        </w:tc>
        <w:tc>
          <w:tcPr>
            <w:tcW w:w="1186"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81" w:right="34"/>
              <w:jc w:val="right"/>
              <w:rPr>
                <w:sz w:val="20"/>
                <w:szCs w:val="20"/>
              </w:rPr>
            </w:pPr>
            <w:r w:rsidRPr="00DF69DB">
              <w:rPr>
                <w:sz w:val="20"/>
                <w:szCs w:val="20"/>
              </w:rPr>
              <w:t>5 527 860,6</w:t>
            </w:r>
          </w:p>
        </w:tc>
        <w:tc>
          <w:tcPr>
            <w:tcW w:w="962"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206" w:right="-25"/>
              <w:jc w:val="right"/>
              <w:rPr>
                <w:sz w:val="20"/>
                <w:szCs w:val="20"/>
              </w:rPr>
            </w:pPr>
            <w:r w:rsidRPr="00DF69DB">
              <w:rPr>
                <w:sz w:val="20"/>
                <w:szCs w:val="20"/>
              </w:rPr>
              <w:t>62 852,5</w:t>
            </w: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108" w:right="-56"/>
              <w:jc w:val="right"/>
              <w:rPr>
                <w:sz w:val="20"/>
                <w:szCs w:val="20"/>
              </w:rPr>
            </w:pPr>
            <w:r w:rsidRPr="00DF69DB">
              <w:rPr>
                <w:sz w:val="20"/>
                <w:szCs w:val="20"/>
              </w:rPr>
              <w:t>5 635 026,4</w:t>
            </w:r>
          </w:p>
        </w:tc>
        <w:tc>
          <w:tcPr>
            <w:tcW w:w="929"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168" w:right="-24"/>
              <w:jc w:val="right"/>
              <w:rPr>
                <w:sz w:val="20"/>
                <w:szCs w:val="20"/>
              </w:rPr>
            </w:pPr>
            <w:r w:rsidRPr="00DF69DB">
              <w:rPr>
                <w:sz w:val="20"/>
                <w:szCs w:val="20"/>
              </w:rPr>
              <w:t xml:space="preserve">  170 018,3</w:t>
            </w:r>
          </w:p>
        </w:tc>
      </w:tr>
      <w:tr w:rsidR="00922BB6" w:rsidRPr="00DF69DB" w:rsidTr="000B1846">
        <w:trPr>
          <w:trHeight w:val="510"/>
        </w:trPr>
        <w:tc>
          <w:tcPr>
            <w:tcW w:w="2357" w:type="dxa"/>
            <w:tcBorders>
              <w:top w:val="nil"/>
              <w:left w:val="single" w:sz="4" w:space="0" w:color="auto"/>
              <w:bottom w:val="single" w:sz="4" w:space="0" w:color="auto"/>
              <w:right w:val="single" w:sz="4" w:space="0" w:color="auto"/>
            </w:tcBorders>
            <w:shd w:val="clear" w:color="auto" w:fill="auto"/>
            <w:vAlign w:val="center"/>
            <w:hideMark/>
          </w:tcPr>
          <w:p w:rsidR="00191861" w:rsidRPr="00DF69DB" w:rsidRDefault="00191861" w:rsidP="00191861">
            <w:pPr>
              <w:ind w:right="9"/>
              <w:rPr>
                <w:sz w:val="20"/>
                <w:szCs w:val="20"/>
              </w:rPr>
            </w:pPr>
            <w:r w:rsidRPr="00DF69DB">
              <w:rPr>
                <w:sz w:val="20"/>
                <w:szCs w:val="20"/>
              </w:rPr>
              <w:t xml:space="preserve">Развитие ЖКХ и </w:t>
            </w:r>
            <w:proofErr w:type="spellStart"/>
            <w:proofErr w:type="gramStart"/>
            <w:r w:rsidRPr="00DF69DB">
              <w:rPr>
                <w:sz w:val="20"/>
                <w:szCs w:val="20"/>
              </w:rPr>
              <w:t>водохо-зяйственного</w:t>
            </w:r>
            <w:proofErr w:type="spellEnd"/>
            <w:proofErr w:type="gramEnd"/>
            <w:r w:rsidRPr="00DF69DB">
              <w:rPr>
                <w:sz w:val="20"/>
                <w:szCs w:val="20"/>
              </w:rPr>
              <w:t xml:space="preserve"> комплекса </w:t>
            </w: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99" w:right="-90"/>
              <w:jc w:val="center"/>
              <w:rPr>
                <w:sz w:val="20"/>
                <w:szCs w:val="20"/>
              </w:rPr>
            </w:pPr>
            <w:r w:rsidRPr="00DF69DB">
              <w:rPr>
                <w:sz w:val="20"/>
                <w:szCs w:val="20"/>
              </w:rPr>
              <w:t>-</w:t>
            </w:r>
          </w:p>
        </w:tc>
        <w:tc>
          <w:tcPr>
            <w:tcW w:w="1093"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jc w:val="center"/>
              <w:rPr>
                <w:sz w:val="20"/>
                <w:szCs w:val="20"/>
              </w:rPr>
            </w:pPr>
            <w:r w:rsidRPr="00DF69DB">
              <w:rPr>
                <w:sz w:val="20"/>
                <w:szCs w:val="20"/>
              </w:rPr>
              <w:t>2</w:t>
            </w:r>
          </w:p>
        </w:tc>
        <w:tc>
          <w:tcPr>
            <w:tcW w:w="1264"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53"/>
              <w:jc w:val="right"/>
              <w:rPr>
                <w:sz w:val="20"/>
                <w:szCs w:val="20"/>
              </w:rPr>
            </w:pPr>
            <w:r w:rsidRPr="00DF69DB">
              <w:rPr>
                <w:sz w:val="20"/>
                <w:szCs w:val="20"/>
              </w:rPr>
              <w:t>4 560 368,5</w:t>
            </w:r>
          </w:p>
        </w:tc>
        <w:tc>
          <w:tcPr>
            <w:tcW w:w="1186"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81" w:right="34"/>
              <w:jc w:val="right"/>
              <w:rPr>
                <w:sz w:val="20"/>
                <w:szCs w:val="20"/>
              </w:rPr>
            </w:pPr>
            <w:r w:rsidRPr="00DF69DB">
              <w:rPr>
                <w:sz w:val="20"/>
                <w:szCs w:val="20"/>
              </w:rPr>
              <w:t>1 535 723,1</w:t>
            </w:r>
          </w:p>
        </w:tc>
        <w:tc>
          <w:tcPr>
            <w:tcW w:w="962"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206" w:right="-25"/>
              <w:jc w:val="right"/>
              <w:rPr>
                <w:sz w:val="20"/>
                <w:szCs w:val="20"/>
              </w:rPr>
            </w:pPr>
            <w:r w:rsidRPr="00DF69DB">
              <w:rPr>
                <w:sz w:val="20"/>
                <w:szCs w:val="20"/>
              </w:rPr>
              <w:t>0,0</w:t>
            </w: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108" w:right="-56"/>
              <w:jc w:val="right"/>
              <w:rPr>
                <w:sz w:val="20"/>
                <w:szCs w:val="20"/>
              </w:rPr>
            </w:pPr>
            <w:r w:rsidRPr="00DF69DB">
              <w:rPr>
                <w:sz w:val="20"/>
                <w:szCs w:val="20"/>
              </w:rPr>
              <w:t>1 535 723,1</w:t>
            </w:r>
          </w:p>
        </w:tc>
        <w:tc>
          <w:tcPr>
            <w:tcW w:w="929"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168" w:right="-24"/>
              <w:jc w:val="right"/>
              <w:rPr>
                <w:sz w:val="20"/>
                <w:szCs w:val="20"/>
              </w:rPr>
            </w:pPr>
            <w:r w:rsidRPr="00DF69DB">
              <w:rPr>
                <w:sz w:val="20"/>
                <w:szCs w:val="20"/>
              </w:rPr>
              <w:t>0,0</w:t>
            </w:r>
          </w:p>
        </w:tc>
      </w:tr>
      <w:tr w:rsidR="00922BB6" w:rsidRPr="00DF69DB" w:rsidTr="000B1846">
        <w:trPr>
          <w:trHeight w:val="300"/>
        </w:trPr>
        <w:tc>
          <w:tcPr>
            <w:tcW w:w="23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DF69DB" w:rsidRDefault="00191861" w:rsidP="00191861">
            <w:pPr>
              <w:ind w:right="9"/>
              <w:rPr>
                <w:sz w:val="20"/>
                <w:szCs w:val="20"/>
              </w:rPr>
            </w:pPr>
            <w:r w:rsidRPr="00DF69DB">
              <w:rPr>
                <w:sz w:val="20"/>
                <w:szCs w:val="20"/>
              </w:rPr>
              <w:t xml:space="preserve">Развитие образования и науки </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191861" w:rsidRPr="00DF69DB" w:rsidRDefault="00191861" w:rsidP="001145BD">
            <w:pPr>
              <w:ind w:left="-99" w:right="-90"/>
              <w:jc w:val="center"/>
              <w:rPr>
                <w:sz w:val="20"/>
                <w:szCs w:val="20"/>
              </w:rPr>
            </w:pPr>
            <w:r w:rsidRPr="00DF69DB">
              <w:rPr>
                <w:sz w:val="20"/>
                <w:szCs w:val="20"/>
              </w:rPr>
              <w:t>3</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191861" w:rsidRPr="00DF69DB" w:rsidRDefault="00191861" w:rsidP="00191861">
            <w:pPr>
              <w:jc w:val="center"/>
              <w:rPr>
                <w:sz w:val="20"/>
                <w:szCs w:val="20"/>
              </w:rPr>
            </w:pPr>
            <w:r w:rsidRPr="00DF69DB">
              <w:rPr>
                <w:sz w:val="20"/>
                <w:szCs w:val="20"/>
              </w:rPr>
              <w:t>-</w:t>
            </w:r>
          </w:p>
        </w:tc>
        <w:tc>
          <w:tcPr>
            <w:tcW w:w="1264" w:type="dxa"/>
            <w:gridSpan w:val="2"/>
            <w:tcBorders>
              <w:top w:val="single" w:sz="4" w:space="0" w:color="auto"/>
              <w:left w:val="nil"/>
              <w:bottom w:val="single" w:sz="4" w:space="0" w:color="auto"/>
              <w:right w:val="single" w:sz="4" w:space="0" w:color="auto"/>
            </w:tcBorders>
            <w:shd w:val="clear" w:color="auto" w:fill="auto"/>
            <w:vAlign w:val="center"/>
            <w:hideMark/>
          </w:tcPr>
          <w:p w:rsidR="00191861" w:rsidRPr="00DF69DB" w:rsidRDefault="00191861" w:rsidP="001145BD">
            <w:pPr>
              <w:ind w:left="-53"/>
              <w:jc w:val="right"/>
              <w:rPr>
                <w:sz w:val="20"/>
                <w:szCs w:val="20"/>
              </w:rPr>
            </w:pPr>
            <w:r w:rsidRPr="00DF69DB">
              <w:rPr>
                <w:sz w:val="20"/>
                <w:szCs w:val="20"/>
              </w:rPr>
              <w:t>133 681,0</w:t>
            </w:r>
          </w:p>
        </w:tc>
        <w:tc>
          <w:tcPr>
            <w:tcW w:w="1186" w:type="dxa"/>
            <w:gridSpan w:val="2"/>
            <w:tcBorders>
              <w:top w:val="single" w:sz="4" w:space="0" w:color="auto"/>
              <w:left w:val="nil"/>
              <w:bottom w:val="single" w:sz="4" w:space="0" w:color="auto"/>
              <w:right w:val="single" w:sz="4" w:space="0" w:color="auto"/>
            </w:tcBorders>
            <w:shd w:val="clear" w:color="auto" w:fill="auto"/>
            <w:vAlign w:val="center"/>
            <w:hideMark/>
          </w:tcPr>
          <w:p w:rsidR="00191861" w:rsidRPr="00DF69DB" w:rsidRDefault="00191861" w:rsidP="00191861">
            <w:pPr>
              <w:ind w:left="-81" w:right="34"/>
              <w:jc w:val="right"/>
              <w:rPr>
                <w:sz w:val="20"/>
                <w:szCs w:val="20"/>
              </w:rPr>
            </w:pPr>
            <w:r w:rsidRPr="00DF69DB">
              <w:rPr>
                <w:sz w:val="20"/>
                <w:szCs w:val="20"/>
              </w:rPr>
              <w:t>43 033,5</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191861" w:rsidRPr="00DF69DB" w:rsidRDefault="00191861" w:rsidP="00191861">
            <w:pPr>
              <w:ind w:left="-206" w:right="-25"/>
              <w:jc w:val="right"/>
              <w:rPr>
                <w:sz w:val="20"/>
                <w:szCs w:val="20"/>
              </w:rPr>
            </w:pPr>
            <w:r w:rsidRPr="00DF69DB">
              <w:rPr>
                <w:sz w:val="20"/>
                <w:szCs w:val="20"/>
              </w:rPr>
              <w:t>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191861" w:rsidRPr="00DF69DB" w:rsidRDefault="00191861" w:rsidP="00191861">
            <w:pPr>
              <w:ind w:left="-108" w:right="-56"/>
              <w:jc w:val="right"/>
              <w:rPr>
                <w:sz w:val="20"/>
                <w:szCs w:val="20"/>
              </w:rPr>
            </w:pPr>
            <w:r w:rsidRPr="00DF69DB">
              <w:rPr>
                <w:sz w:val="20"/>
                <w:szCs w:val="20"/>
              </w:rPr>
              <w:t>141,9</w:t>
            </w:r>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191861" w:rsidRPr="00DF69DB" w:rsidRDefault="00191861" w:rsidP="001145BD">
            <w:pPr>
              <w:ind w:left="-168" w:right="-24"/>
              <w:jc w:val="right"/>
              <w:rPr>
                <w:sz w:val="20"/>
                <w:szCs w:val="20"/>
              </w:rPr>
            </w:pPr>
            <w:r w:rsidRPr="00DF69DB">
              <w:rPr>
                <w:sz w:val="20"/>
                <w:szCs w:val="20"/>
              </w:rPr>
              <w:t>0,0</w:t>
            </w:r>
          </w:p>
        </w:tc>
      </w:tr>
      <w:tr w:rsidR="00922BB6" w:rsidRPr="00DF69DB" w:rsidTr="000B1846">
        <w:trPr>
          <w:trHeight w:val="300"/>
        </w:trPr>
        <w:tc>
          <w:tcPr>
            <w:tcW w:w="2357" w:type="dxa"/>
            <w:vMerge/>
            <w:tcBorders>
              <w:top w:val="nil"/>
              <w:left w:val="single" w:sz="4" w:space="0" w:color="auto"/>
              <w:bottom w:val="single" w:sz="4" w:space="0" w:color="auto"/>
              <w:right w:val="single" w:sz="4" w:space="0" w:color="auto"/>
            </w:tcBorders>
            <w:vAlign w:val="center"/>
            <w:hideMark/>
          </w:tcPr>
          <w:p w:rsidR="00191861" w:rsidRPr="00DF69DB" w:rsidRDefault="00191861" w:rsidP="00191861">
            <w:pPr>
              <w:ind w:right="9"/>
              <w:rPr>
                <w:sz w:val="20"/>
                <w:szCs w:val="20"/>
              </w:rPr>
            </w:pP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99" w:right="-90"/>
              <w:jc w:val="center"/>
              <w:rPr>
                <w:sz w:val="20"/>
                <w:szCs w:val="20"/>
              </w:rPr>
            </w:pPr>
            <w:r w:rsidRPr="00DF69DB">
              <w:rPr>
                <w:sz w:val="20"/>
                <w:szCs w:val="20"/>
              </w:rPr>
              <w:t>-</w:t>
            </w:r>
          </w:p>
        </w:tc>
        <w:tc>
          <w:tcPr>
            <w:tcW w:w="1093"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jc w:val="center"/>
              <w:rPr>
                <w:sz w:val="20"/>
                <w:szCs w:val="20"/>
              </w:rPr>
            </w:pPr>
            <w:r w:rsidRPr="00DF69DB">
              <w:rPr>
                <w:sz w:val="20"/>
                <w:szCs w:val="20"/>
              </w:rPr>
              <w:t>4</w:t>
            </w:r>
          </w:p>
        </w:tc>
        <w:tc>
          <w:tcPr>
            <w:tcW w:w="1264"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53"/>
              <w:jc w:val="right"/>
              <w:rPr>
                <w:sz w:val="20"/>
                <w:szCs w:val="20"/>
              </w:rPr>
            </w:pPr>
            <w:r w:rsidRPr="00DF69DB">
              <w:rPr>
                <w:sz w:val="20"/>
                <w:szCs w:val="20"/>
              </w:rPr>
              <w:t>3 026 590,0</w:t>
            </w:r>
          </w:p>
        </w:tc>
        <w:tc>
          <w:tcPr>
            <w:tcW w:w="1186"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81" w:right="34"/>
              <w:jc w:val="right"/>
              <w:rPr>
                <w:sz w:val="20"/>
                <w:szCs w:val="20"/>
              </w:rPr>
            </w:pPr>
            <w:r w:rsidRPr="00DF69DB">
              <w:rPr>
                <w:sz w:val="20"/>
                <w:szCs w:val="20"/>
              </w:rPr>
              <w:t>708 729,1</w:t>
            </w:r>
          </w:p>
        </w:tc>
        <w:tc>
          <w:tcPr>
            <w:tcW w:w="962"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206" w:right="-25"/>
              <w:jc w:val="right"/>
              <w:rPr>
                <w:sz w:val="20"/>
                <w:szCs w:val="20"/>
              </w:rPr>
            </w:pPr>
            <w:r w:rsidRPr="00DF69DB">
              <w:rPr>
                <w:sz w:val="20"/>
                <w:szCs w:val="20"/>
              </w:rPr>
              <w:t>0,0</w:t>
            </w: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108" w:right="-56"/>
              <w:jc w:val="right"/>
              <w:rPr>
                <w:sz w:val="20"/>
                <w:szCs w:val="20"/>
              </w:rPr>
            </w:pPr>
            <w:r w:rsidRPr="00DF69DB">
              <w:rPr>
                <w:sz w:val="20"/>
                <w:szCs w:val="20"/>
              </w:rPr>
              <w:t>68 154,0</w:t>
            </w:r>
          </w:p>
        </w:tc>
        <w:tc>
          <w:tcPr>
            <w:tcW w:w="929"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168" w:right="-24"/>
              <w:jc w:val="right"/>
              <w:rPr>
                <w:sz w:val="20"/>
                <w:szCs w:val="20"/>
              </w:rPr>
            </w:pPr>
            <w:r w:rsidRPr="00DF69DB">
              <w:rPr>
                <w:sz w:val="20"/>
                <w:szCs w:val="20"/>
              </w:rPr>
              <w:t>0,0</w:t>
            </w:r>
          </w:p>
        </w:tc>
      </w:tr>
      <w:tr w:rsidR="00922BB6" w:rsidRPr="00DF69DB" w:rsidTr="000B1846">
        <w:trPr>
          <w:trHeight w:val="300"/>
        </w:trPr>
        <w:tc>
          <w:tcPr>
            <w:tcW w:w="2357" w:type="dxa"/>
            <w:vMerge w:val="restart"/>
            <w:tcBorders>
              <w:top w:val="nil"/>
              <w:left w:val="single" w:sz="4" w:space="0" w:color="auto"/>
              <w:bottom w:val="single" w:sz="4" w:space="0" w:color="auto"/>
              <w:right w:val="single" w:sz="4" w:space="0" w:color="auto"/>
            </w:tcBorders>
            <w:shd w:val="clear" w:color="auto" w:fill="auto"/>
            <w:vAlign w:val="center"/>
            <w:hideMark/>
          </w:tcPr>
          <w:p w:rsidR="00191861" w:rsidRPr="00DF69DB" w:rsidRDefault="00191861" w:rsidP="00191861">
            <w:pPr>
              <w:ind w:right="9"/>
              <w:rPr>
                <w:sz w:val="20"/>
                <w:szCs w:val="20"/>
              </w:rPr>
            </w:pPr>
            <w:r w:rsidRPr="00DF69DB">
              <w:rPr>
                <w:sz w:val="20"/>
                <w:szCs w:val="20"/>
              </w:rPr>
              <w:t xml:space="preserve">Информационное общество </w:t>
            </w: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99" w:right="-90"/>
              <w:jc w:val="center"/>
              <w:rPr>
                <w:sz w:val="20"/>
                <w:szCs w:val="20"/>
              </w:rPr>
            </w:pPr>
            <w:r w:rsidRPr="00DF69DB">
              <w:rPr>
                <w:sz w:val="20"/>
                <w:szCs w:val="20"/>
              </w:rPr>
              <w:t>3</w:t>
            </w:r>
          </w:p>
        </w:tc>
        <w:tc>
          <w:tcPr>
            <w:tcW w:w="1093"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jc w:val="center"/>
              <w:rPr>
                <w:sz w:val="20"/>
                <w:szCs w:val="20"/>
              </w:rPr>
            </w:pPr>
            <w:r w:rsidRPr="00DF69DB">
              <w:rPr>
                <w:sz w:val="20"/>
                <w:szCs w:val="20"/>
              </w:rPr>
              <w:t>-</w:t>
            </w:r>
          </w:p>
        </w:tc>
        <w:tc>
          <w:tcPr>
            <w:tcW w:w="1264"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53"/>
              <w:jc w:val="right"/>
              <w:rPr>
                <w:sz w:val="20"/>
                <w:szCs w:val="20"/>
              </w:rPr>
            </w:pPr>
            <w:r w:rsidRPr="00DF69DB">
              <w:rPr>
                <w:sz w:val="20"/>
                <w:szCs w:val="20"/>
              </w:rPr>
              <w:t>242 696,8</w:t>
            </w:r>
          </w:p>
        </w:tc>
        <w:tc>
          <w:tcPr>
            <w:tcW w:w="1186"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81" w:right="34"/>
              <w:jc w:val="right"/>
              <w:rPr>
                <w:sz w:val="20"/>
                <w:szCs w:val="20"/>
              </w:rPr>
            </w:pPr>
            <w:r w:rsidRPr="00DF69DB">
              <w:rPr>
                <w:sz w:val="20"/>
                <w:szCs w:val="20"/>
              </w:rPr>
              <w:t>130 942,1</w:t>
            </w:r>
          </w:p>
        </w:tc>
        <w:tc>
          <w:tcPr>
            <w:tcW w:w="962"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206" w:right="-25"/>
              <w:jc w:val="right"/>
              <w:rPr>
                <w:sz w:val="20"/>
                <w:szCs w:val="20"/>
              </w:rPr>
            </w:pPr>
            <w:r w:rsidRPr="00DF69DB">
              <w:rPr>
                <w:sz w:val="20"/>
                <w:szCs w:val="20"/>
              </w:rPr>
              <w:t>10 446,2</w:t>
            </w: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108" w:right="-56"/>
              <w:jc w:val="right"/>
              <w:rPr>
                <w:sz w:val="20"/>
                <w:szCs w:val="20"/>
              </w:rPr>
            </w:pPr>
            <w:r w:rsidRPr="00DF69DB">
              <w:rPr>
                <w:sz w:val="20"/>
                <w:szCs w:val="20"/>
              </w:rPr>
              <w:t>131 313,2</w:t>
            </w:r>
          </w:p>
        </w:tc>
        <w:tc>
          <w:tcPr>
            <w:tcW w:w="929"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168" w:right="-24"/>
              <w:jc w:val="right"/>
              <w:rPr>
                <w:sz w:val="20"/>
                <w:szCs w:val="20"/>
              </w:rPr>
            </w:pPr>
            <w:r w:rsidRPr="00DF69DB">
              <w:rPr>
                <w:sz w:val="20"/>
                <w:szCs w:val="20"/>
              </w:rPr>
              <w:t>10 446,2</w:t>
            </w:r>
          </w:p>
        </w:tc>
      </w:tr>
      <w:tr w:rsidR="00922BB6" w:rsidRPr="00DF69DB" w:rsidTr="000B1846">
        <w:trPr>
          <w:trHeight w:val="300"/>
        </w:trPr>
        <w:tc>
          <w:tcPr>
            <w:tcW w:w="2357" w:type="dxa"/>
            <w:vMerge/>
            <w:tcBorders>
              <w:top w:val="nil"/>
              <w:left w:val="single" w:sz="4" w:space="0" w:color="auto"/>
              <w:bottom w:val="single" w:sz="4" w:space="0" w:color="auto"/>
              <w:right w:val="single" w:sz="4" w:space="0" w:color="auto"/>
            </w:tcBorders>
            <w:vAlign w:val="center"/>
            <w:hideMark/>
          </w:tcPr>
          <w:p w:rsidR="00191861" w:rsidRPr="00DF69DB" w:rsidRDefault="00191861" w:rsidP="00191861">
            <w:pPr>
              <w:ind w:right="9"/>
              <w:rPr>
                <w:sz w:val="20"/>
                <w:szCs w:val="20"/>
              </w:rPr>
            </w:pP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99" w:right="-90"/>
              <w:jc w:val="center"/>
              <w:rPr>
                <w:sz w:val="20"/>
                <w:szCs w:val="20"/>
              </w:rPr>
            </w:pPr>
            <w:r w:rsidRPr="00DF69DB">
              <w:rPr>
                <w:sz w:val="20"/>
                <w:szCs w:val="20"/>
              </w:rPr>
              <w:t>-</w:t>
            </w:r>
          </w:p>
        </w:tc>
        <w:tc>
          <w:tcPr>
            <w:tcW w:w="1093"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jc w:val="center"/>
              <w:rPr>
                <w:sz w:val="20"/>
                <w:szCs w:val="20"/>
              </w:rPr>
            </w:pPr>
            <w:r w:rsidRPr="00DF69DB">
              <w:rPr>
                <w:sz w:val="20"/>
                <w:szCs w:val="20"/>
              </w:rPr>
              <w:t>1</w:t>
            </w:r>
          </w:p>
        </w:tc>
        <w:tc>
          <w:tcPr>
            <w:tcW w:w="1264"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53"/>
              <w:jc w:val="right"/>
              <w:rPr>
                <w:sz w:val="20"/>
                <w:szCs w:val="20"/>
              </w:rPr>
            </w:pPr>
            <w:r w:rsidRPr="00DF69DB">
              <w:rPr>
                <w:sz w:val="20"/>
                <w:szCs w:val="20"/>
              </w:rPr>
              <w:t>65 988,0</w:t>
            </w:r>
          </w:p>
        </w:tc>
        <w:tc>
          <w:tcPr>
            <w:tcW w:w="1186"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81" w:right="34"/>
              <w:jc w:val="right"/>
              <w:rPr>
                <w:sz w:val="20"/>
                <w:szCs w:val="20"/>
              </w:rPr>
            </w:pPr>
            <w:r w:rsidRPr="00DF69DB">
              <w:rPr>
                <w:sz w:val="20"/>
                <w:szCs w:val="20"/>
              </w:rPr>
              <w:t>21 996,0</w:t>
            </w:r>
          </w:p>
        </w:tc>
        <w:tc>
          <w:tcPr>
            <w:tcW w:w="962"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206" w:right="-25"/>
              <w:jc w:val="right"/>
              <w:rPr>
                <w:sz w:val="20"/>
                <w:szCs w:val="20"/>
              </w:rPr>
            </w:pPr>
            <w:r w:rsidRPr="00DF69DB">
              <w:rPr>
                <w:sz w:val="20"/>
                <w:szCs w:val="20"/>
              </w:rPr>
              <w:t>0,0</w:t>
            </w: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108" w:right="-56"/>
              <w:jc w:val="right"/>
              <w:rPr>
                <w:sz w:val="20"/>
                <w:szCs w:val="20"/>
              </w:rPr>
            </w:pPr>
            <w:r w:rsidRPr="00DF69DB">
              <w:rPr>
                <w:sz w:val="20"/>
                <w:szCs w:val="20"/>
              </w:rPr>
              <w:t>21 996,0</w:t>
            </w:r>
          </w:p>
        </w:tc>
        <w:tc>
          <w:tcPr>
            <w:tcW w:w="929"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168" w:right="-24"/>
              <w:jc w:val="right"/>
              <w:rPr>
                <w:sz w:val="20"/>
                <w:szCs w:val="20"/>
              </w:rPr>
            </w:pPr>
            <w:r w:rsidRPr="00DF69DB">
              <w:rPr>
                <w:sz w:val="20"/>
                <w:szCs w:val="20"/>
              </w:rPr>
              <w:t>0,0</w:t>
            </w:r>
          </w:p>
        </w:tc>
      </w:tr>
      <w:tr w:rsidR="00922BB6" w:rsidRPr="00DF69DB" w:rsidTr="000B1846">
        <w:trPr>
          <w:trHeight w:val="300"/>
        </w:trPr>
        <w:tc>
          <w:tcPr>
            <w:tcW w:w="23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1861" w:rsidRPr="00DF69DB" w:rsidRDefault="00191861" w:rsidP="00191861">
            <w:pPr>
              <w:ind w:right="9"/>
              <w:rPr>
                <w:sz w:val="20"/>
                <w:szCs w:val="20"/>
              </w:rPr>
            </w:pPr>
            <w:r w:rsidRPr="00DF69DB">
              <w:rPr>
                <w:sz w:val="20"/>
                <w:szCs w:val="20"/>
              </w:rPr>
              <w:t>Развитие культуры, спорта и туризма</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191861" w:rsidRPr="00DF69DB" w:rsidRDefault="00191861" w:rsidP="001145BD">
            <w:pPr>
              <w:ind w:left="-99" w:right="-90"/>
              <w:jc w:val="center"/>
              <w:rPr>
                <w:sz w:val="20"/>
                <w:szCs w:val="20"/>
              </w:rPr>
            </w:pPr>
            <w:r w:rsidRPr="00DF69DB">
              <w:rPr>
                <w:sz w:val="20"/>
                <w:szCs w:val="20"/>
              </w:rPr>
              <w:t>5</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191861" w:rsidRPr="00DF69DB" w:rsidRDefault="00191861" w:rsidP="00191861">
            <w:pPr>
              <w:jc w:val="center"/>
              <w:rPr>
                <w:sz w:val="20"/>
                <w:szCs w:val="20"/>
              </w:rPr>
            </w:pPr>
            <w:r w:rsidRPr="00DF69DB">
              <w:rPr>
                <w:sz w:val="20"/>
                <w:szCs w:val="20"/>
              </w:rPr>
              <w:t>-</w:t>
            </w:r>
          </w:p>
        </w:tc>
        <w:tc>
          <w:tcPr>
            <w:tcW w:w="1264" w:type="dxa"/>
            <w:gridSpan w:val="2"/>
            <w:tcBorders>
              <w:top w:val="single" w:sz="4" w:space="0" w:color="auto"/>
              <w:left w:val="nil"/>
              <w:bottom w:val="single" w:sz="4" w:space="0" w:color="auto"/>
              <w:right w:val="single" w:sz="4" w:space="0" w:color="auto"/>
            </w:tcBorders>
            <w:shd w:val="clear" w:color="auto" w:fill="auto"/>
            <w:vAlign w:val="center"/>
            <w:hideMark/>
          </w:tcPr>
          <w:p w:rsidR="00191861" w:rsidRPr="00DF69DB" w:rsidRDefault="00191861" w:rsidP="001145BD">
            <w:pPr>
              <w:ind w:left="-53"/>
              <w:jc w:val="right"/>
              <w:rPr>
                <w:sz w:val="20"/>
                <w:szCs w:val="20"/>
              </w:rPr>
            </w:pPr>
            <w:r w:rsidRPr="00DF69DB">
              <w:rPr>
                <w:sz w:val="20"/>
                <w:szCs w:val="20"/>
              </w:rPr>
              <w:t>196 611,3</w:t>
            </w:r>
          </w:p>
        </w:tc>
        <w:tc>
          <w:tcPr>
            <w:tcW w:w="1186" w:type="dxa"/>
            <w:gridSpan w:val="2"/>
            <w:tcBorders>
              <w:top w:val="single" w:sz="4" w:space="0" w:color="auto"/>
              <w:left w:val="nil"/>
              <w:bottom w:val="single" w:sz="4" w:space="0" w:color="auto"/>
              <w:right w:val="single" w:sz="4" w:space="0" w:color="auto"/>
            </w:tcBorders>
            <w:shd w:val="clear" w:color="auto" w:fill="auto"/>
            <w:vAlign w:val="center"/>
            <w:hideMark/>
          </w:tcPr>
          <w:p w:rsidR="00191861" w:rsidRPr="00DF69DB" w:rsidRDefault="00191861" w:rsidP="00191861">
            <w:pPr>
              <w:ind w:left="-81" w:right="34"/>
              <w:jc w:val="right"/>
              <w:rPr>
                <w:sz w:val="20"/>
                <w:szCs w:val="20"/>
              </w:rPr>
            </w:pPr>
            <w:r w:rsidRPr="00DF69DB">
              <w:rPr>
                <w:sz w:val="20"/>
                <w:szCs w:val="20"/>
              </w:rPr>
              <w:t>104 710,2</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191861" w:rsidRPr="00DF69DB" w:rsidRDefault="00191861" w:rsidP="00191861">
            <w:pPr>
              <w:ind w:left="-206" w:right="-25"/>
              <w:jc w:val="right"/>
              <w:rPr>
                <w:sz w:val="20"/>
                <w:szCs w:val="20"/>
              </w:rPr>
            </w:pPr>
            <w:r w:rsidRPr="00DF69DB">
              <w:rPr>
                <w:sz w:val="20"/>
                <w:szCs w:val="20"/>
              </w:rPr>
              <w:t>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191861" w:rsidRPr="00DF69DB" w:rsidRDefault="00191861" w:rsidP="00191861">
            <w:pPr>
              <w:ind w:left="-108" w:right="-56"/>
              <w:jc w:val="right"/>
              <w:rPr>
                <w:sz w:val="20"/>
                <w:szCs w:val="20"/>
              </w:rPr>
            </w:pPr>
            <w:r w:rsidRPr="00DF69DB">
              <w:rPr>
                <w:sz w:val="20"/>
                <w:szCs w:val="20"/>
              </w:rPr>
              <w:t>56 247,6</w:t>
            </w:r>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191861" w:rsidRPr="00DF69DB" w:rsidRDefault="00191861" w:rsidP="001145BD">
            <w:pPr>
              <w:ind w:left="-168" w:right="-24"/>
              <w:jc w:val="right"/>
              <w:rPr>
                <w:sz w:val="20"/>
                <w:szCs w:val="20"/>
              </w:rPr>
            </w:pPr>
            <w:r w:rsidRPr="00DF69DB">
              <w:rPr>
                <w:sz w:val="20"/>
                <w:szCs w:val="20"/>
              </w:rPr>
              <w:t>0,0</w:t>
            </w:r>
          </w:p>
        </w:tc>
      </w:tr>
      <w:tr w:rsidR="00922BB6" w:rsidRPr="00DF69DB" w:rsidTr="000B1846">
        <w:trPr>
          <w:trHeight w:val="300"/>
        </w:trPr>
        <w:tc>
          <w:tcPr>
            <w:tcW w:w="2357" w:type="dxa"/>
            <w:vMerge/>
            <w:tcBorders>
              <w:top w:val="nil"/>
              <w:left w:val="single" w:sz="4" w:space="0" w:color="auto"/>
              <w:bottom w:val="single" w:sz="4" w:space="0" w:color="auto"/>
              <w:right w:val="single" w:sz="4" w:space="0" w:color="auto"/>
            </w:tcBorders>
            <w:vAlign w:val="center"/>
            <w:hideMark/>
          </w:tcPr>
          <w:p w:rsidR="00191861" w:rsidRPr="00DF69DB" w:rsidRDefault="00191861" w:rsidP="00191861">
            <w:pPr>
              <w:ind w:right="9"/>
              <w:rPr>
                <w:sz w:val="20"/>
                <w:szCs w:val="20"/>
              </w:rPr>
            </w:pP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99" w:right="-90"/>
              <w:jc w:val="center"/>
              <w:rPr>
                <w:sz w:val="20"/>
                <w:szCs w:val="20"/>
              </w:rPr>
            </w:pPr>
            <w:r w:rsidRPr="00DF69DB">
              <w:rPr>
                <w:sz w:val="20"/>
                <w:szCs w:val="20"/>
              </w:rPr>
              <w:t>-</w:t>
            </w:r>
          </w:p>
        </w:tc>
        <w:tc>
          <w:tcPr>
            <w:tcW w:w="1093"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jc w:val="center"/>
              <w:rPr>
                <w:sz w:val="20"/>
                <w:szCs w:val="20"/>
              </w:rPr>
            </w:pPr>
            <w:r w:rsidRPr="00DF69DB">
              <w:rPr>
                <w:sz w:val="20"/>
                <w:szCs w:val="20"/>
              </w:rPr>
              <w:t>1</w:t>
            </w:r>
          </w:p>
        </w:tc>
        <w:tc>
          <w:tcPr>
            <w:tcW w:w="1264"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53"/>
              <w:jc w:val="right"/>
              <w:rPr>
                <w:sz w:val="20"/>
                <w:szCs w:val="20"/>
              </w:rPr>
            </w:pPr>
            <w:r w:rsidRPr="00DF69DB">
              <w:rPr>
                <w:sz w:val="20"/>
                <w:szCs w:val="20"/>
              </w:rPr>
              <w:t>524 923,0</w:t>
            </w:r>
          </w:p>
        </w:tc>
        <w:tc>
          <w:tcPr>
            <w:tcW w:w="1186"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81" w:right="34"/>
              <w:jc w:val="right"/>
              <w:rPr>
                <w:sz w:val="20"/>
                <w:szCs w:val="20"/>
              </w:rPr>
            </w:pPr>
            <w:r w:rsidRPr="00DF69DB">
              <w:rPr>
                <w:sz w:val="20"/>
                <w:szCs w:val="20"/>
              </w:rPr>
              <w:t>172 334,8</w:t>
            </w:r>
          </w:p>
        </w:tc>
        <w:tc>
          <w:tcPr>
            <w:tcW w:w="962"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206" w:right="-25"/>
              <w:jc w:val="right"/>
              <w:rPr>
                <w:sz w:val="20"/>
                <w:szCs w:val="20"/>
              </w:rPr>
            </w:pPr>
            <w:r w:rsidRPr="00DF69DB">
              <w:rPr>
                <w:sz w:val="20"/>
                <w:szCs w:val="20"/>
              </w:rPr>
              <w:t>0,0</w:t>
            </w: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108" w:right="-56"/>
              <w:jc w:val="right"/>
              <w:rPr>
                <w:sz w:val="20"/>
                <w:szCs w:val="20"/>
              </w:rPr>
            </w:pPr>
            <w:r w:rsidRPr="00DF69DB">
              <w:rPr>
                <w:sz w:val="20"/>
                <w:szCs w:val="20"/>
              </w:rPr>
              <w:t>0,0</w:t>
            </w:r>
          </w:p>
        </w:tc>
        <w:tc>
          <w:tcPr>
            <w:tcW w:w="929"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168" w:right="-24"/>
              <w:jc w:val="right"/>
              <w:rPr>
                <w:sz w:val="20"/>
                <w:szCs w:val="20"/>
              </w:rPr>
            </w:pPr>
            <w:r w:rsidRPr="00DF69DB">
              <w:rPr>
                <w:sz w:val="20"/>
                <w:szCs w:val="20"/>
              </w:rPr>
              <w:t>0,0</w:t>
            </w:r>
          </w:p>
        </w:tc>
      </w:tr>
      <w:tr w:rsidR="00922BB6" w:rsidRPr="00DF69DB" w:rsidTr="000B1846">
        <w:trPr>
          <w:trHeight w:val="420"/>
        </w:trPr>
        <w:tc>
          <w:tcPr>
            <w:tcW w:w="2357" w:type="dxa"/>
            <w:vMerge w:val="restart"/>
            <w:tcBorders>
              <w:top w:val="nil"/>
              <w:left w:val="single" w:sz="4" w:space="0" w:color="auto"/>
              <w:bottom w:val="single" w:sz="4" w:space="0" w:color="auto"/>
              <w:right w:val="single" w:sz="4" w:space="0" w:color="auto"/>
            </w:tcBorders>
            <w:shd w:val="clear" w:color="auto" w:fill="auto"/>
            <w:vAlign w:val="center"/>
            <w:hideMark/>
          </w:tcPr>
          <w:p w:rsidR="00191861" w:rsidRPr="00DF69DB" w:rsidRDefault="00191861" w:rsidP="00191861">
            <w:pPr>
              <w:ind w:right="9"/>
              <w:rPr>
                <w:sz w:val="20"/>
                <w:szCs w:val="20"/>
              </w:rPr>
            </w:pPr>
            <w:r w:rsidRPr="00DF69DB">
              <w:rPr>
                <w:sz w:val="20"/>
                <w:szCs w:val="20"/>
              </w:rPr>
              <w:t xml:space="preserve">Обеспечение устойчивого сокращения непригодного для проживания </w:t>
            </w:r>
            <w:proofErr w:type="spellStart"/>
            <w:r w:rsidRPr="00DF69DB">
              <w:rPr>
                <w:sz w:val="20"/>
                <w:szCs w:val="20"/>
              </w:rPr>
              <w:t>жил.фонда</w:t>
            </w:r>
            <w:proofErr w:type="spellEnd"/>
            <w:r w:rsidRPr="00DF69DB">
              <w:rPr>
                <w:sz w:val="20"/>
                <w:szCs w:val="20"/>
              </w:rPr>
              <w:t xml:space="preserve"> </w:t>
            </w: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99" w:right="-90"/>
              <w:jc w:val="center"/>
              <w:rPr>
                <w:sz w:val="20"/>
                <w:szCs w:val="20"/>
              </w:rPr>
            </w:pPr>
            <w:r w:rsidRPr="00DF69DB">
              <w:rPr>
                <w:sz w:val="20"/>
                <w:szCs w:val="20"/>
              </w:rPr>
              <w:t>2</w:t>
            </w:r>
          </w:p>
        </w:tc>
        <w:tc>
          <w:tcPr>
            <w:tcW w:w="1093"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jc w:val="center"/>
              <w:rPr>
                <w:sz w:val="20"/>
                <w:szCs w:val="20"/>
              </w:rPr>
            </w:pPr>
            <w:r w:rsidRPr="00DF69DB">
              <w:rPr>
                <w:sz w:val="20"/>
                <w:szCs w:val="20"/>
              </w:rPr>
              <w:t>-</w:t>
            </w:r>
          </w:p>
        </w:tc>
        <w:tc>
          <w:tcPr>
            <w:tcW w:w="1264"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53"/>
              <w:jc w:val="right"/>
              <w:rPr>
                <w:sz w:val="20"/>
                <w:szCs w:val="20"/>
              </w:rPr>
            </w:pPr>
            <w:r w:rsidRPr="00DF69DB">
              <w:rPr>
                <w:sz w:val="20"/>
                <w:szCs w:val="20"/>
              </w:rPr>
              <w:t>383 115,9</w:t>
            </w:r>
          </w:p>
        </w:tc>
        <w:tc>
          <w:tcPr>
            <w:tcW w:w="1186"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81" w:right="34"/>
              <w:jc w:val="right"/>
              <w:rPr>
                <w:sz w:val="20"/>
                <w:szCs w:val="20"/>
              </w:rPr>
            </w:pPr>
            <w:r w:rsidRPr="00DF69DB">
              <w:rPr>
                <w:sz w:val="20"/>
                <w:szCs w:val="20"/>
              </w:rPr>
              <w:t>244 166,9</w:t>
            </w:r>
          </w:p>
        </w:tc>
        <w:tc>
          <w:tcPr>
            <w:tcW w:w="962"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206" w:right="-25"/>
              <w:jc w:val="right"/>
              <w:rPr>
                <w:sz w:val="20"/>
                <w:szCs w:val="20"/>
              </w:rPr>
            </w:pPr>
            <w:r w:rsidRPr="00DF69DB">
              <w:rPr>
                <w:sz w:val="20"/>
                <w:szCs w:val="20"/>
              </w:rPr>
              <w:t>168,7</w:t>
            </w: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108" w:right="-56"/>
              <w:jc w:val="right"/>
              <w:rPr>
                <w:sz w:val="20"/>
                <w:szCs w:val="20"/>
              </w:rPr>
            </w:pPr>
            <w:r w:rsidRPr="00DF69DB">
              <w:rPr>
                <w:sz w:val="20"/>
                <w:szCs w:val="20"/>
              </w:rPr>
              <w:t>61 891,1</w:t>
            </w:r>
          </w:p>
        </w:tc>
        <w:tc>
          <w:tcPr>
            <w:tcW w:w="929"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168" w:right="-24"/>
              <w:jc w:val="right"/>
              <w:rPr>
                <w:sz w:val="20"/>
                <w:szCs w:val="20"/>
              </w:rPr>
            </w:pPr>
            <w:r w:rsidRPr="00DF69DB">
              <w:rPr>
                <w:sz w:val="20"/>
                <w:szCs w:val="20"/>
              </w:rPr>
              <w:t>0,0</w:t>
            </w:r>
          </w:p>
        </w:tc>
      </w:tr>
      <w:tr w:rsidR="00922BB6" w:rsidRPr="00DF69DB" w:rsidTr="000B1846">
        <w:trPr>
          <w:trHeight w:val="420"/>
        </w:trPr>
        <w:tc>
          <w:tcPr>
            <w:tcW w:w="2357" w:type="dxa"/>
            <w:vMerge/>
            <w:tcBorders>
              <w:top w:val="nil"/>
              <w:left w:val="single" w:sz="4" w:space="0" w:color="auto"/>
              <w:bottom w:val="single" w:sz="4" w:space="0" w:color="auto"/>
              <w:right w:val="single" w:sz="4" w:space="0" w:color="auto"/>
            </w:tcBorders>
            <w:vAlign w:val="center"/>
            <w:hideMark/>
          </w:tcPr>
          <w:p w:rsidR="00191861" w:rsidRPr="00DF69DB" w:rsidRDefault="00191861" w:rsidP="00191861">
            <w:pPr>
              <w:ind w:right="9"/>
              <w:rPr>
                <w:sz w:val="20"/>
                <w:szCs w:val="20"/>
              </w:rPr>
            </w:pP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99" w:right="-90"/>
              <w:jc w:val="center"/>
              <w:rPr>
                <w:sz w:val="20"/>
                <w:szCs w:val="20"/>
              </w:rPr>
            </w:pPr>
            <w:r w:rsidRPr="00DF69DB">
              <w:rPr>
                <w:sz w:val="20"/>
                <w:szCs w:val="20"/>
              </w:rPr>
              <w:t>-</w:t>
            </w:r>
          </w:p>
        </w:tc>
        <w:tc>
          <w:tcPr>
            <w:tcW w:w="1093"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jc w:val="center"/>
              <w:rPr>
                <w:sz w:val="20"/>
                <w:szCs w:val="20"/>
              </w:rPr>
            </w:pPr>
            <w:r w:rsidRPr="00DF69DB">
              <w:rPr>
                <w:sz w:val="20"/>
                <w:szCs w:val="20"/>
              </w:rPr>
              <w:t>3</w:t>
            </w:r>
          </w:p>
        </w:tc>
        <w:tc>
          <w:tcPr>
            <w:tcW w:w="1264"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53"/>
              <w:jc w:val="right"/>
              <w:rPr>
                <w:sz w:val="20"/>
                <w:szCs w:val="20"/>
              </w:rPr>
            </w:pPr>
            <w:r w:rsidRPr="00DF69DB">
              <w:rPr>
                <w:sz w:val="20"/>
                <w:szCs w:val="20"/>
              </w:rPr>
              <w:t>582 659,2</w:t>
            </w:r>
          </w:p>
        </w:tc>
        <w:tc>
          <w:tcPr>
            <w:tcW w:w="1186"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81" w:right="34"/>
              <w:jc w:val="right"/>
              <w:rPr>
                <w:sz w:val="20"/>
                <w:szCs w:val="20"/>
              </w:rPr>
            </w:pPr>
            <w:r w:rsidRPr="00DF69DB">
              <w:rPr>
                <w:sz w:val="20"/>
                <w:szCs w:val="20"/>
              </w:rPr>
              <w:t>170 308,6</w:t>
            </w:r>
          </w:p>
        </w:tc>
        <w:tc>
          <w:tcPr>
            <w:tcW w:w="962"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206" w:right="-25"/>
              <w:jc w:val="right"/>
              <w:rPr>
                <w:sz w:val="20"/>
                <w:szCs w:val="20"/>
              </w:rPr>
            </w:pPr>
            <w:r w:rsidRPr="00DF69DB">
              <w:rPr>
                <w:sz w:val="20"/>
                <w:szCs w:val="20"/>
              </w:rPr>
              <w:t>0,0</w:t>
            </w: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108" w:right="-56"/>
              <w:jc w:val="right"/>
              <w:rPr>
                <w:sz w:val="20"/>
                <w:szCs w:val="20"/>
              </w:rPr>
            </w:pPr>
            <w:r w:rsidRPr="00DF69DB">
              <w:rPr>
                <w:sz w:val="20"/>
                <w:szCs w:val="20"/>
              </w:rPr>
              <w:t>0,0</w:t>
            </w:r>
          </w:p>
        </w:tc>
        <w:tc>
          <w:tcPr>
            <w:tcW w:w="929"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168" w:right="-24"/>
              <w:jc w:val="right"/>
              <w:rPr>
                <w:sz w:val="20"/>
                <w:szCs w:val="20"/>
              </w:rPr>
            </w:pPr>
            <w:r w:rsidRPr="00DF69DB">
              <w:rPr>
                <w:sz w:val="20"/>
                <w:szCs w:val="20"/>
              </w:rPr>
              <w:t>0,0</w:t>
            </w:r>
          </w:p>
        </w:tc>
      </w:tr>
      <w:tr w:rsidR="00922BB6" w:rsidRPr="00DF69DB" w:rsidTr="000B1846">
        <w:trPr>
          <w:trHeight w:val="300"/>
        </w:trPr>
        <w:tc>
          <w:tcPr>
            <w:tcW w:w="2357" w:type="dxa"/>
            <w:vMerge w:val="restart"/>
            <w:tcBorders>
              <w:top w:val="nil"/>
              <w:left w:val="single" w:sz="4" w:space="0" w:color="auto"/>
              <w:bottom w:val="single" w:sz="4" w:space="0" w:color="auto"/>
              <w:right w:val="single" w:sz="4" w:space="0" w:color="auto"/>
            </w:tcBorders>
            <w:shd w:val="clear" w:color="auto" w:fill="auto"/>
            <w:vAlign w:val="center"/>
            <w:hideMark/>
          </w:tcPr>
          <w:p w:rsidR="00191861" w:rsidRPr="00DF69DB" w:rsidRDefault="00191861" w:rsidP="00191861">
            <w:pPr>
              <w:ind w:right="9"/>
              <w:rPr>
                <w:sz w:val="20"/>
                <w:szCs w:val="20"/>
              </w:rPr>
            </w:pPr>
            <w:r w:rsidRPr="00DF69DB">
              <w:rPr>
                <w:sz w:val="20"/>
                <w:szCs w:val="20"/>
              </w:rPr>
              <w:t xml:space="preserve">Развитие жилищного строительства </w:t>
            </w: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99" w:right="-90"/>
              <w:jc w:val="center"/>
              <w:rPr>
                <w:sz w:val="20"/>
                <w:szCs w:val="20"/>
              </w:rPr>
            </w:pPr>
            <w:r w:rsidRPr="00DF69DB">
              <w:rPr>
                <w:sz w:val="20"/>
                <w:szCs w:val="20"/>
              </w:rPr>
              <w:t>2</w:t>
            </w:r>
          </w:p>
        </w:tc>
        <w:tc>
          <w:tcPr>
            <w:tcW w:w="1093"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jc w:val="center"/>
              <w:rPr>
                <w:sz w:val="20"/>
                <w:szCs w:val="20"/>
              </w:rPr>
            </w:pPr>
            <w:r w:rsidRPr="00DF69DB">
              <w:rPr>
                <w:sz w:val="20"/>
                <w:szCs w:val="20"/>
              </w:rPr>
              <w:t>-</w:t>
            </w:r>
          </w:p>
        </w:tc>
        <w:tc>
          <w:tcPr>
            <w:tcW w:w="1264"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53"/>
              <w:jc w:val="right"/>
              <w:rPr>
                <w:sz w:val="20"/>
                <w:szCs w:val="20"/>
              </w:rPr>
            </w:pPr>
            <w:r w:rsidRPr="00DF69DB">
              <w:rPr>
                <w:sz w:val="20"/>
                <w:szCs w:val="20"/>
              </w:rPr>
              <w:t>291 429,8</w:t>
            </w:r>
          </w:p>
        </w:tc>
        <w:tc>
          <w:tcPr>
            <w:tcW w:w="1186"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81" w:right="34"/>
              <w:jc w:val="right"/>
              <w:rPr>
                <w:sz w:val="20"/>
                <w:szCs w:val="20"/>
              </w:rPr>
            </w:pPr>
            <w:r w:rsidRPr="00DF69DB">
              <w:rPr>
                <w:sz w:val="20"/>
                <w:szCs w:val="20"/>
              </w:rPr>
              <w:t>87 429,0</w:t>
            </w:r>
          </w:p>
        </w:tc>
        <w:tc>
          <w:tcPr>
            <w:tcW w:w="962"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206" w:right="-25"/>
              <w:jc w:val="right"/>
              <w:rPr>
                <w:sz w:val="20"/>
                <w:szCs w:val="20"/>
              </w:rPr>
            </w:pPr>
            <w:r w:rsidRPr="00DF69DB">
              <w:rPr>
                <w:sz w:val="20"/>
                <w:szCs w:val="20"/>
              </w:rPr>
              <w:t>0,0</w:t>
            </w: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108" w:right="-56"/>
              <w:jc w:val="right"/>
              <w:rPr>
                <w:sz w:val="20"/>
                <w:szCs w:val="20"/>
              </w:rPr>
            </w:pPr>
            <w:r w:rsidRPr="00DF69DB">
              <w:rPr>
                <w:sz w:val="20"/>
                <w:szCs w:val="20"/>
              </w:rPr>
              <w:t>0,0</w:t>
            </w:r>
          </w:p>
        </w:tc>
        <w:tc>
          <w:tcPr>
            <w:tcW w:w="929"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168" w:right="-24"/>
              <w:jc w:val="right"/>
              <w:rPr>
                <w:sz w:val="20"/>
                <w:szCs w:val="20"/>
              </w:rPr>
            </w:pPr>
            <w:r w:rsidRPr="00DF69DB">
              <w:rPr>
                <w:sz w:val="20"/>
                <w:szCs w:val="20"/>
              </w:rPr>
              <w:t>0,0</w:t>
            </w:r>
          </w:p>
        </w:tc>
      </w:tr>
      <w:tr w:rsidR="00922BB6" w:rsidRPr="00DF69DB" w:rsidTr="000B1846">
        <w:trPr>
          <w:trHeight w:val="300"/>
        </w:trPr>
        <w:tc>
          <w:tcPr>
            <w:tcW w:w="2357" w:type="dxa"/>
            <w:vMerge/>
            <w:tcBorders>
              <w:top w:val="nil"/>
              <w:left w:val="single" w:sz="4" w:space="0" w:color="auto"/>
              <w:bottom w:val="single" w:sz="4" w:space="0" w:color="auto"/>
              <w:right w:val="single" w:sz="4" w:space="0" w:color="auto"/>
            </w:tcBorders>
            <w:vAlign w:val="center"/>
            <w:hideMark/>
          </w:tcPr>
          <w:p w:rsidR="00191861" w:rsidRPr="00DF69DB" w:rsidRDefault="00191861" w:rsidP="00191861">
            <w:pPr>
              <w:ind w:right="9"/>
              <w:rPr>
                <w:sz w:val="20"/>
                <w:szCs w:val="20"/>
              </w:rPr>
            </w:pP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99" w:right="-90"/>
              <w:jc w:val="center"/>
              <w:rPr>
                <w:sz w:val="20"/>
                <w:szCs w:val="20"/>
              </w:rPr>
            </w:pPr>
            <w:r w:rsidRPr="00DF69DB">
              <w:rPr>
                <w:sz w:val="20"/>
                <w:szCs w:val="20"/>
              </w:rPr>
              <w:t>-</w:t>
            </w:r>
          </w:p>
        </w:tc>
        <w:tc>
          <w:tcPr>
            <w:tcW w:w="1093"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jc w:val="center"/>
              <w:rPr>
                <w:sz w:val="20"/>
                <w:szCs w:val="20"/>
              </w:rPr>
            </w:pPr>
            <w:r w:rsidRPr="00DF69DB">
              <w:rPr>
                <w:sz w:val="20"/>
                <w:szCs w:val="20"/>
              </w:rPr>
              <w:t>1</w:t>
            </w:r>
          </w:p>
        </w:tc>
        <w:tc>
          <w:tcPr>
            <w:tcW w:w="1264"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53"/>
              <w:jc w:val="right"/>
              <w:rPr>
                <w:sz w:val="20"/>
                <w:szCs w:val="20"/>
              </w:rPr>
            </w:pPr>
            <w:r w:rsidRPr="00DF69DB">
              <w:rPr>
                <w:sz w:val="20"/>
                <w:szCs w:val="20"/>
              </w:rPr>
              <w:t>141 695,6</w:t>
            </w:r>
          </w:p>
        </w:tc>
        <w:tc>
          <w:tcPr>
            <w:tcW w:w="1186"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81" w:right="34"/>
              <w:jc w:val="right"/>
              <w:rPr>
                <w:sz w:val="20"/>
                <w:szCs w:val="20"/>
              </w:rPr>
            </w:pPr>
            <w:r w:rsidRPr="00DF69DB">
              <w:rPr>
                <w:sz w:val="20"/>
                <w:szCs w:val="20"/>
              </w:rPr>
              <w:t>37 026,1</w:t>
            </w:r>
          </w:p>
        </w:tc>
        <w:tc>
          <w:tcPr>
            <w:tcW w:w="962"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206" w:right="-25"/>
              <w:jc w:val="right"/>
              <w:rPr>
                <w:sz w:val="20"/>
                <w:szCs w:val="20"/>
              </w:rPr>
            </w:pPr>
            <w:r w:rsidRPr="00DF69DB">
              <w:rPr>
                <w:sz w:val="20"/>
                <w:szCs w:val="20"/>
              </w:rPr>
              <w:t>0,0</w:t>
            </w: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108" w:right="-56"/>
              <w:jc w:val="right"/>
              <w:rPr>
                <w:sz w:val="20"/>
                <w:szCs w:val="20"/>
              </w:rPr>
            </w:pPr>
            <w:r w:rsidRPr="00DF69DB">
              <w:rPr>
                <w:sz w:val="20"/>
                <w:szCs w:val="20"/>
              </w:rPr>
              <w:t>0,0</w:t>
            </w:r>
          </w:p>
        </w:tc>
        <w:tc>
          <w:tcPr>
            <w:tcW w:w="929"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168" w:right="-24"/>
              <w:jc w:val="right"/>
              <w:rPr>
                <w:sz w:val="20"/>
                <w:szCs w:val="20"/>
              </w:rPr>
            </w:pPr>
            <w:r w:rsidRPr="00DF69DB">
              <w:rPr>
                <w:sz w:val="20"/>
                <w:szCs w:val="20"/>
              </w:rPr>
              <w:t>0,0</w:t>
            </w:r>
          </w:p>
        </w:tc>
      </w:tr>
      <w:tr w:rsidR="00922BB6" w:rsidRPr="00DF69DB" w:rsidTr="000B1846">
        <w:trPr>
          <w:trHeight w:val="750"/>
        </w:trPr>
        <w:tc>
          <w:tcPr>
            <w:tcW w:w="2357" w:type="dxa"/>
            <w:tcBorders>
              <w:top w:val="nil"/>
              <w:left w:val="single" w:sz="4" w:space="0" w:color="auto"/>
              <w:bottom w:val="single" w:sz="4" w:space="0" w:color="auto"/>
              <w:right w:val="single" w:sz="4" w:space="0" w:color="auto"/>
            </w:tcBorders>
            <w:shd w:val="clear" w:color="auto" w:fill="auto"/>
            <w:vAlign w:val="center"/>
            <w:hideMark/>
          </w:tcPr>
          <w:p w:rsidR="00191861" w:rsidRPr="00DF69DB" w:rsidRDefault="00191861" w:rsidP="00191861">
            <w:pPr>
              <w:ind w:right="9"/>
              <w:rPr>
                <w:sz w:val="20"/>
                <w:szCs w:val="20"/>
              </w:rPr>
            </w:pPr>
            <w:r w:rsidRPr="00DF69DB">
              <w:rPr>
                <w:sz w:val="20"/>
                <w:szCs w:val="20"/>
              </w:rPr>
              <w:t>Охрана окружающей среды и обеспечение рационального природопользования</w:t>
            </w: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99" w:right="-90"/>
              <w:jc w:val="center"/>
              <w:rPr>
                <w:sz w:val="20"/>
                <w:szCs w:val="20"/>
              </w:rPr>
            </w:pPr>
            <w:r w:rsidRPr="00DF69DB">
              <w:rPr>
                <w:sz w:val="20"/>
                <w:szCs w:val="20"/>
              </w:rPr>
              <w:t>1</w:t>
            </w:r>
          </w:p>
        </w:tc>
        <w:tc>
          <w:tcPr>
            <w:tcW w:w="1093"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jc w:val="center"/>
              <w:rPr>
                <w:sz w:val="20"/>
                <w:szCs w:val="20"/>
              </w:rPr>
            </w:pPr>
            <w:r w:rsidRPr="00DF69DB">
              <w:rPr>
                <w:sz w:val="20"/>
                <w:szCs w:val="20"/>
              </w:rPr>
              <w:t>-</w:t>
            </w:r>
          </w:p>
        </w:tc>
        <w:tc>
          <w:tcPr>
            <w:tcW w:w="1264"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53"/>
              <w:jc w:val="right"/>
              <w:rPr>
                <w:sz w:val="20"/>
                <w:szCs w:val="20"/>
              </w:rPr>
            </w:pPr>
            <w:r w:rsidRPr="00DF69DB">
              <w:rPr>
                <w:sz w:val="20"/>
                <w:szCs w:val="20"/>
              </w:rPr>
              <w:t>3 964,9</w:t>
            </w:r>
          </w:p>
        </w:tc>
        <w:tc>
          <w:tcPr>
            <w:tcW w:w="1186"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81" w:right="34"/>
              <w:jc w:val="right"/>
              <w:rPr>
                <w:sz w:val="20"/>
                <w:szCs w:val="20"/>
              </w:rPr>
            </w:pPr>
            <w:r w:rsidRPr="00DF69DB">
              <w:rPr>
                <w:sz w:val="20"/>
                <w:szCs w:val="20"/>
              </w:rPr>
              <w:t>1 189,5</w:t>
            </w:r>
          </w:p>
        </w:tc>
        <w:tc>
          <w:tcPr>
            <w:tcW w:w="962"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206" w:right="-25"/>
              <w:jc w:val="right"/>
              <w:rPr>
                <w:sz w:val="20"/>
                <w:szCs w:val="20"/>
              </w:rPr>
            </w:pPr>
            <w:r w:rsidRPr="00DF69DB">
              <w:rPr>
                <w:sz w:val="20"/>
                <w:szCs w:val="20"/>
              </w:rPr>
              <w:t>0,0</w:t>
            </w: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108" w:right="-56"/>
              <w:jc w:val="right"/>
              <w:rPr>
                <w:sz w:val="20"/>
                <w:szCs w:val="20"/>
              </w:rPr>
            </w:pPr>
            <w:r w:rsidRPr="00DF69DB">
              <w:rPr>
                <w:sz w:val="20"/>
                <w:szCs w:val="20"/>
              </w:rPr>
              <w:t>1 189,5</w:t>
            </w:r>
          </w:p>
        </w:tc>
        <w:tc>
          <w:tcPr>
            <w:tcW w:w="929"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168" w:right="-24"/>
              <w:jc w:val="right"/>
              <w:rPr>
                <w:sz w:val="20"/>
                <w:szCs w:val="20"/>
              </w:rPr>
            </w:pPr>
            <w:r w:rsidRPr="00DF69DB">
              <w:rPr>
                <w:sz w:val="20"/>
                <w:szCs w:val="20"/>
              </w:rPr>
              <w:t>0,0</w:t>
            </w:r>
          </w:p>
        </w:tc>
      </w:tr>
      <w:tr w:rsidR="00922BB6" w:rsidRPr="00DF69DB" w:rsidTr="000B1846">
        <w:trPr>
          <w:trHeight w:val="300"/>
        </w:trPr>
        <w:tc>
          <w:tcPr>
            <w:tcW w:w="2357" w:type="dxa"/>
            <w:tcBorders>
              <w:top w:val="nil"/>
              <w:left w:val="single" w:sz="4" w:space="0" w:color="auto"/>
              <w:bottom w:val="single" w:sz="4" w:space="0" w:color="auto"/>
              <w:right w:val="single" w:sz="4" w:space="0" w:color="auto"/>
            </w:tcBorders>
            <w:shd w:val="clear" w:color="auto" w:fill="auto"/>
            <w:vAlign w:val="center"/>
            <w:hideMark/>
          </w:tcPr>
          <w:p w:rsidR="00191861" w:rsidRPr="00DF69DB" w:rsidRDefault="00191861" w:rsidP="00191861">
            <w:pPr>
              <w:ind w:right="9"/>
              <w:rPr>
                <w:sz w:val="20"/>
                <w:szCs w:val="20"/>
              </w:rPr>
            </w:pPr>
            <w:r w:rsidRPr="00DF69DB">
              <w:rPr>
                <w:sz w:val="20"/>
                <w:szCs w:val="20"/>
              </w:rPr>
              <w:t>Социальная поддержка населения</w:t>
            </w: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99" w:right="-90"/>
              <w:jc w:val="center"/>
              <w:rPr>
                <w:sz w:val="20"/>
                <w:szCs w:val="20"/>
              </w:rPr>
            </w:pPr>
            <w:r w:rsidRPr="00DF69DB">
              <w:rPr>
                <w:sz w:val="20"/>
                <w:szCs w:val="20"/>
              </w:rPr>
              <w:t>-</w:t>
            </w:r>
          </w:p>
        </w:tc>
        <w:tc>
          <w:tcPr>
            <w:tcW w:w="1093"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jc w:val="center"/>
              <w:rPr>
                <w:sz w:val="20"/>
                <w:szCs w:val="20"/>
              </w:rPr>
            </w:pPr>
            <w:r w:rsidRPr="00DF69DB">
              <w:rPr>
                <w:sz w:val="20"/>
                <w:szCs w:val="20"/>
              </w:rPr>
              <w:t>1</w:t>
            </w:r>
          </w:p>
        </w:tc>
        <w:tc>
          <w:tcPr>
            <w:tcW w:w="1264"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53"/>
              <w:jc w:val="right"/>
              <w:rPr>
                <w:sz w:val="20"/>
                <w:szCs w:val="20"/>
              </w:rPr>
            </w:pPr>
            <w:r w:rsidRPr="00DF69DB">
              <w:rPr>
                <w:sz w:val="20"/>
                <w:szCs w:val="20"/>
              </w:rPr>
              <w:t>743 428,9</w:t>
            </w:r>
          </w:p>
        </w:tc>
        <w:tc>
          <w:tcPr>
            <w:tcW w:w="1186"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81" w:right="34"/>
              <w:jc w:val="right"/>
              <w:rPr>
                <w:sz w:val="20"/>
                <w:szCs w:val="20"/>
              </w:rPr>
            </w:pPr>
            <w:r w:rsidRPr="00DF69DB">
              <w:rPr>
                <w:sz w:val="20"/>
                <w:szCs w:val="20"/>
              </w:rPr>
              <w:t>0,0</w:t>
            </w:r>
          </w:p>
        </w:tc>
        <w:tc>
          <w:tcPr>
            <w:tcW w:w="962"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206" w:right="-25"/>
              <w:jc w:val="right"/>
              <w:rPr>
                <w:sz w:val="20"/>
                <w:szCs w:val="20"/>
              </w:rPr>
            </w:pPr>
            <w:r w:rsidRPr="00DF69DB">
              <w:rPr>
                <w:sz w:val="20"/>
                <w:szCs w:val="20"/>
              </w:rPr>
              <w:t>0,0</w:t>
            </w: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108" w:right="-56"/>
              <w:jc w:val="right"/>
              <w:rPr>
                <w:sz w:val="20"/>
                <w:szCs w:val="20"/>
              </w:rPr>
            </w:pPr>
            <w:r w:rsidRPr="00DF69DB">
              <w:rPr>
                <w:sz w:val="20"/>
                <w:szCs w:val="20"/>
              </w:rPr>
              <w:t>0,0</w:t>
            </w:r>
          </w:p>
        </w:tc>
        <w:tc>
          <w:tcPr>
            <w:tcW w:w="929"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168" w:right="-24"/>
              <w:jc w:val="right"/>
              <w:rPr>
                <w:sz w:val="20"/>
                <w:szCs w:val="20"/>
              </w:rPr>
            </w:pPr>
            <w:r w:rsidRPr="00DF69DB">
              <w:rPr>
                <w:sz w:val="20"/>
                <w:szCs w:val="20"/>
              </w:rPr>
              <w:t>0,0</w:t>
            </w:r>
          </w:p>
        </w:tc>
      </w:tr>
      <w:tr w:rsidR="00922BB6" w:rsidRPr="00DF69DB" w:rsidTr="000B1846">
        <w:trPr>
          <w:trHeight w:val="300"/>
        </w:trPr>
        <w:tc>
          <w:tcPr>
            <w:tcW w:w="2357" w:type="dxa"/>
            <w:tcBorders>
              <w:top w:val="nil"/>
              <w:left w:val="single" w:sz="4" w:space="0" w:color="auto"/>
              <w:bottom w:val="single" w:sz="4" w:space="0" w:color="auto"/>
              <w:right w:val="single" w:sz="4" w:space="0" w:color="auto"/>
            </w:tcBorders>
            <w:shd w:val="clear" w:color="auto" w:fill="auto"/>
            <w:vAlign w:val="center"/>
            <w:hideMark/>
          </w:tcPr>
          <w:p w:rsidR="00191861" w:rsidRPr="00DF69DB" w:rsidRDefault="00191861" w:rsidP="00191861">
            <w:pPr>
              <w:ind w:right="9"/>
              <w:rPr>
                <w:sz w:val="20"/>
                <w:szCs w:val="20"/>
              </w:rPr>
            </w:pPr>
            <w:r w:rsidRPr="00DF69DB">
              <w:rPr>
                <w:sz w:val="20"/>
                <w:szCs w:val="20"/>
              </w:rPr>
              <w:t>Развитие здравоохранения</w:t>
            </w: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99" w:right="-90"/>
              <w:jc w:val="center"/>
              <w:rPr>
                <w:sz w:val="20"/>
                <w:szCs w:val="20"/>
              </w:rPr>
            </w:pPr>
            <w:r w:rsidRPr="00DF69DB">
              <w:rPr>
                <w:sz w:val="20"/>
                <w:szCs w:val="20"/>
              </w:rPr>
              <w:t>1</w:t>
            </w:r>
          </w:p>
        </w:tc>
        <w:tc>
          <w:tcPr>
            <w:tcW w:w="1093"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jc w:val="center"/>
              <w:rPr>
                <w:sz w:val="20"/>
                <w:szCs w:val="20"/>
              </w:rPr>
            </w:pPr>
            <w:r w:rsidRPr="00DF69DB">
              <w:rPr>
                <w:sz w:val="20"/>
                <w:szCs w:val="20"/>
              </w:rPr>
              <w:t>-</w:t>
            </w:r>
          </w:p>
        </w:tc>
        <w:tc>
          <w:tcPr>
            <w:tcW w:w="1264"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53"/>
              <w:jc w:val="right"/>
              <w:rPr>
                <w:sz w:val="20"/>
                <w:szCs w:val="20"/>
              </w:rPr>
            </w:pPr>
            <w:r w:rsidRPr="00DF69DB">
              <w:rPr>
                <w:sz w:val="20"/>
                <w:szCs w:val="20"/>
              </w:rPr>
              <w:t>22 497,8</w:t>
            </w:r>
          </w:p>
        </w:tc>
        <w:tc>
          <w:tcPr>
            <w:tcW w:w="1186"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81" w:right="34"/>
              <w:jc w:val="right"/>
              <w:rPr>
                <w:sz w:val="20"/>
                <w:szCs w:val="20"/>
              </w:rPr>
            </w:pPr>
            <w:r w:rsidRPr="00DF69DB">
              <w:rPr>
                <w:sz w:val="20"/>
                <w:szCs w:val="20"/>
              </w:rPr>
              <w:t>0,0</w:t>
            </w:r>
          </w:p>
        </w:tc>
        <w:tc>
          <w:tcPr>
            <w:tcW w:w="962"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206" w:right="-25"/>
              <w:jc w:val="right"/>
              <w:rPr>
                <w:sz w:val="20"/>
                <w:szCs w:val="20"/>
              </w:rPr>
            </w:pPr>
            <w:r w:rsidRPr="00DF69DB">
              <w:rPr>
                <w:sz w:val="20"/>
                <w:szCs w:val="20"/>
              </w:rPr>
              <w:t>0,0</w:t>
            </w: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108" w:right="-56"/>
              <w:jc w:val="right"/>
              <w:rPr>
                <w:sz w:val="20"/>
                <w:szCs w:val="20"/>
              </w:rPr>
            </w:pPr>
            <w:r w:rsidRPr="00DF69DB">
              <w:rPr>
                <w:sz w:val="20"/>
                <w:szCs w:val="20"/>
              </w:rPr>
              <w:t>0,0</w:t>
            </w:r>
          </w:p>
        </w:tc>
        <w:tc>
          <w:tcPr>
            <w:tcW w:w="929"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168" w:right="-24"/>
              <w:jc w:val="right"/>
              <w:rPr>
                <w:sz w:val="20"/>
                <w:szCs w:val="20"/>
              </w:rPr>
            </w:pPr>
            <w:r w:rsidRPr="00DF69DB">
              <w:rPr>
                <w:sz w:val="20"/>
                <w:szCs w:val="20"/>
              </w:rPr>
              <w:t>0,0</w:t>
            </w:r>
          </w:p>
        </w:tc>
      </w:tr>
      <w:tr w:rsidR="00922BB6" w:rsidRPr="00DF69DB" w:rsidTr="000B1846">
        <w:trPr>
          <w:trHeight w:val="300"/>
        </w:trPr>
        <w:tc>
          <w:tcPr>
            <w:tcW w:w="2357" w:type="dxa"/>
            <w:tcBorders>
              <w:top w:val="nil"/>
              <w:left w:val="single" w:sz="4" w:space="0" w:color="auto"/>
              <w:bottom w:val="single" w:sz="4" w:space="0" w:color="auto"/>
              <w:right w:val="single" w:sz="4" w:space="0" w:color="auto"/>
            </w:tcBorders>
            <w:shd w:val="clear" w:color="auto" w:fill="auto"/>
            <w:vAlign w:val="center"/>
            <w:hideMark/>
          </w:tcPr>
          <w:p w:rsidR="00191861" w:rsidRPr="00DF69DB" w:rsidRDefault="00191861" w:rsidP="00191861">
            <w:pPr>
              <w:ind w:right="9"/>
              <w:rPr>
                <w:b/>
                <w:bCs/>
                <w:sz w:val="20"/>
                <w:szCs w:val="20"/>
              </w:rPr>
            </w:pPr>
            <w:r w:rsidRPr="00DF69DB">
              <w:rPr>
                <w:b/>
                <w:bCs/>
                <w:sz w:val="20"/>
                <w:szCs w:val="20"/>
              </w:rPr>
              <w:t>Всего</w:t>
            </w: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99" w:right="-90"/>
              <w:jc w:val="center"/>
              <w:rPr>
                <w:b/>
                <w:bCs/>
                <w:sz w:val="20"/>
                <w:szCs w:val="20"/>
              </w:rPr>
            </w:pPr>
            <w:r w:rsidRPr="00DF69DB">
              <w:rPr>
                <w:b/>
                <w:bCs/>
                <w:sz w:val="20"/>
                <w:szCs w:val="20"/>
              </w:rPr>
              <w:t>23</w:t>
            </w:r>
          </w:p>
        </w:tc>
        <w:tc>
          <w:tcPr>
            <w:tcW w:w="1093"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jc w:val="center"/>
              <w:rPr>
                <w:b/>
                <w:bCs/>
                <w:sz w:val="20"/>
                <w:szCs w:val="20"/>
              </w:rPr>
            </w:pPr>
            <w:r w:rsidRPr="00DF69DB">
              <w:rPr>
                <w:b/>
                <w:bCs/>
                <w:sz w:val="20"/>
                <w:szCs w:val="20"/>
              </w:rPr>
              <w:t>40</w:t>
            </w:r>
          </w:p>
        </w:tc>
        <w:tc>
          <w:tcPr>
            <w:tcW w:w="1264"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53"/>
              <w:jc w:val="right"/>
              <w:rPr>
                <w:b/>
                <w:bCs/>
                <w:sz w:val="20"/>
                <w:szCs w:val="20"/>
              </w:rPr>
            </w:pPr>
            <w:r w:rsidRPr="00DF69DB">
              <w:rPr>
                <w:b/>
                <w:bCs/>
                <w:sz w:val="20"/>
                <w:szCs w:val="20"/>
              </w:rPr>
              <w:t>23 420 649,6</w:t>
            </w:r>
          </w:p>
        </w:tc>
        <w:tc>
          <w:tcPr>
            <w:tcW w:w="1186" w:type="dxa"/>
            <w:gridSpan w:val="2"/>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81" w:right="34"/>
              <w:jc w:val="right"/>
              <w:rPr>
                <w:b/>
                <w:bCs/>
                <w:sz w:val="20"/>
                <w:szCs w:val="20"/>
              </w:rPr>
            </w:pPr>
            <w:r w:rsidRPr="00DF69DB">
              <w:rPr>
                <w:b/>
                <w:bCs/>
                <w:sz w:val="20"/>
                <w:szCs w:val="20"/>
              </w:rPr>
              <w:t>8 822 988,1</w:t>
            </w:r>
          </w:p>
        </w:tc>
        <w:tc>
          <w:tcPr>
            <w:tcW w:w="962"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206" w:right="-25"/>
              <w:jc w:val="right"/>
              <w:rPr>
                <w:b/>
                <w:bCs/>
                <w:sz w:val="20"/>
                <w:szCs w:val="20"/>
              </w:rPr>
            </w:pPr>
            <w:r w:rsidRPr="00DF69DB">
              <w:rPr>
                <w:b/>
                <w:bCs/>
                <w:sz w:val="20"/>
                <w:szCs w:val="20"/>
              </w:rPr>
              <w:t>74 700,1</w:t>
            </w:r>
          </w:p>
        </w:tc>
        <w:tc>
          <w:tcPr>
            <w:tcW w:w="1077"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91861">
            <w:pPr>
              <w:ind w:left="-108" w:right="-56"/>
              <w:jc w:val="right"/>
              <w:rPr>
                <w:b/>
                <w:bCs/>
                <w:sz w:val="20"/>
                <w:szCs w:val="20"/>
              </w:rPr>
            </w:pPr>
            <w:r w:rsidRPr="00DF69DB">
              <w:rPr>
                <w:b/>
                <w:bCs/>
                <w:sz w:val="20"/>
                <w:szCs w:val="20"/>
              </w:rPr>
              <w:t>7 549 221,4</w:t>
            </w:r>
          </w:p>
        </w:tc>
        <w:tc>
          <w:tcPr>
            <w:tcW w:w="929" w:type="dxa"/>
            <w:tcBorders>
              <w:top w:val="nil"/>
              <w:left w:val="nil"/>
              <w:bottom w:val="single" w:sz="4" w:space="0" w:color="auto"/>
              <w:right w:val="single" w:sz="4" w:space="0" w:color="auto"/>
            </w:tcBorders>
            <w:shd w:val="clear" w:color="auto" w:fill="auto"/>
            <w:vAlign w:val="center"/>
            <w:hideMark/>
          </w:tcPr>
          <w:p w:rsidR="00191861" w:rsidRPr="00DF69DB" w:rsidRDefault="00191861" w:rsidP="001145BD">
            <w:pPr>
              <w:ind w:left="-168" w:right="-24"/>
              <w:jc w:val="right"/>
              <w:rPr>
                <w:b/>
                <w:bCs/>
                <w:sz w:val="20"/>
                <w:szCs w:val="20"/>
              </w:rPr>
            </w:pPr>
            <w:r w:rsidRPr="00DF69DB">
              <w:rPr>
                <w:b/>
                <w:bCs/>
                <w:sz w:val="20"/>
                <w:szCs w:val="20"/>
              </w:rPr>
              <w:t>181 697,2</w:t>
            </w:r>
          </w:p>
        </w:tc>
      </w:tr>
    </w:tbl>
    <w:p w:rsidR="008D194E" w:rsidRPr="008D194E" w:rsidRDefault="008D194E" w:rsidP="00191861">
      <w:pPr>
        <w:pStyle w:val="19"/>
        <w:spacing w:before="120"/>
        <w:ind w:firstLine="709"/>
        <w:rPr>
          <w:color w:val="auto"/>
          <w:sz w:val="6"/>
          <w:szCs w:val="6"/>
        </w:rPr>
      </w:pPr>
    </w:p>
    <w:p w:rsidR="00191861" w:rsidRPr="00467F9C" w:rsidRDefault="00191861" w:rsidP="00191861">
      <w:pPr>
        <w:pStyle w:val="19"/>
        <w:spacing w:before="120"/>
        <w:ind w:firstLine="709"/>
        <w:rPr>
          <w:rFonts w:eastAsia="Times New Roman"/>
          <w:color w:val="auto"/>
          <w:lang w:eastAsia="ru-RU"/>
        </w:rPr>
      </w:pPr>
      <w:r w:rsidRPr="00467F9C">
        <w:rPr>
          <w:color w:val="auto"/>
        </w:rPr>
        <w:t>В структуре государственных контрактов наибольший удельный вес занимают государственные контракты, заключенные в ходе исполнения государственных программ «Развитие транспортной инфраструктуры» (53,4%), «</w:t>
      </w:r>
      <w:r w:rsidRPr="00467F9C">
        <w:rPr>
          <w:rFonts w:eastAsia="Times New Roman"/>
          <w:color w:val="auto"/>
          <w:lang w:eastAsia="ru-RU"/>
        </w:rPr>
        <w:t>Развитие жилищно-коммунального хозяйства и водохозяйственного комплекса» (19,5%) и «Развитие образования и науки» (13,5%).</w:t>
      </w:r>
    </w:p>
    <w:p w:rsidR="00191861" w:rsidRPr="00467F9C" w:rsidRDefault="00191861" w:rsidP="00191861">
      <w:pPr>
        <w:tabs>
          <w:tab w:val="left" w:pos="709"/>
        </w:tabs>
        <w:spacing w:before="120"/>
        <w:ind w:firstLine="709"/>
        <w:jc w:val="both"/>
        <w:rPr>
          <w:b/>
          <w:sz w:val="28"/>
          <w:szCs w:val="28"/>
        </w:rPr>
      </w:pPr>
      <w:r w:rsidRPr="00467F9C">
        <w:rPr>
          <w:b/>
          <w:sz w:val="28"/>
          <w:szCs w:val="28"/>
        </w:rPr>
        <w:lastRenderedPageBreak/>
        <w:t>Выводы:</w:t>
      </w:r>
    </w:p>
    <w:p w:rsidR="00191861" w:rsidRPr="00467F9C" w:rsidRDefault="00191861" w:rsidP="00191861">
      <w:pPr>
        <w:pStyle w:val="41"/>
        <w:rPr>
          <w:rFonts w:eastAsia="Calibri"/>
          <w:color w:val="auto"/>
        </w:rPr>
      </w:pPr>
      <w:r w:rsidRPr="00467F9C">
        <w:rPr>
          <w:color w:val="auto"/>
        </w:rPr>
        <w:t xml:space="preserve">1. На территории Чукотского автономного округа реализуется девятнадцать государственных программ. </w:t>
      </w:r>
    </w:p>
    <w:p w:rsidR="00191861" w:rsidRPr="00467F9C" w:rsidRDefault="00191861" w:rsidP="00191861">
      <w:pPr>
        <w:pStyle w:val="41"/>
        <w:rPr>
          <w:rFonts w:eastAsia="Calibri"/>
          <w:color w:val="auto"/>
        </w:rPr>
      </w:pPr>
      <w:r w:rsidRPr="00467F9C">
        <w:rPr>
          <w:rFonts w:eastAsia="Calibri"/>
          <w:color w:val="auto"/>
        </w:rPr>
        <w:t>2. В рамках трёх государственных программ осуществляется реализация одиннадцати ведомственных целевых программ. </w:t>
      </w:r>
    </w:p>
    <w:p w:rsidR="00191861" w:rsidRPr="00467F9C" w:rsidRDefault="00191861" w:rsidP="00191861">
      <w:pPr>
        <w:pStyle w:val="af8"/>
        <w:tabs>
          <w:tab w:val="left" w:pos="709"/>
        </w:tabs>
        <w:ind w:firstLine="709"/>
        <w:jc w:val="both"/>
        <w:rPr>
          <w:bCs/>
          <w:sz w:val="28"/>
          <w:szCs w:val="28"/>
        </w:rPr>
      </w:pPr>
      <w:r w:rsidRPr="00467F9C">
        <w:rPr>
          <w:sz w:val="28"/>
          <w:szCs w:val="28"/>
        </w:rPr>
        <w:t xml:space="preserve">3. Объем финансовых ресурсов, предусмотренный паспортами государственных программ на их реализацию в 2022 году, составил 49 642 354,8 тыс. рублей. </w:t>
      </w:r>
    </w:p>
    <w:p w:rsidR="00191861" w:rsidRPr="00467F9C" w:rsidRDefault="00191861" w:rsidP="00191861">
      <w:pPr>
        <w:widowControl w:val="0"/>
        <w:tabs>
          <w:tab w:val="left" w:pos="709"/>
        </w:tabs>
        <w:spacing w:after="120"/>
        <w:ind w:firstLine="709"/>
        <w:contextualSpacing/>
        <w:jc w:val="both"/>
        <w:rPr>
          <w:sz w:val="28"/>
          <w:szCs w:val="28"/>
        </w:rPr>
      </w:pPr>
      <w:r w:rsidRPr="00467F9C">
        <w:rPr>
          <w:bCs/>
          <w:sz w:val="28"/>
          <w:szCs w:val="28"/>
        </w:rPr>
        <w:t xml:space="preserve">Законом об окружном бюджете на 2022 год финансирование государственных программ на 2022 год предусмотрено с общим объемом ассигнований </w:t>
      </w:r>
      <w:r w:rsidRPr="00467F9C">
        <w:rPr>
          <w:sz w:val="28"/>
          <w:szCs w:val="28"/>
        </w:rPr>
        <w:t xml:space="preserve">50 952 603,0 </w:t>
      </w:r>
      <w:r w:rsidRPr="00467F9C">
        <w:rPr>
          <w:bCs/>
          <w:sz w:val="28"/>
          <w:szCs w:val="28"/>
        </w:rPr>
        <w:t xml:space="preserve">тыс. рублей. </w:t>
      </w:r>
      <w:r w:rsidRPr="00467F9C">
        <w:rPr>
          <w:sz w:val="28"/>
          <w:szCs w:val="28"/>
        </w:rPr>
        <w:t>Доля ассигнований, утвержденных на реализацию госпрограмм, в общих расходах окружного бюджета на 2022 год составила 95,5%.</w:t>
      </w:r>
    </w:p>
    <w:p w:rsidR="00191861" w:rsidRPr="00467F9C" w:rsidRDefault="00191861" w:rsidP="00191861">
      <w:pPr>
        <w:widowControl w:val="0"/>
        <w:tabs>
          <w:tab w:val="left" w:pos="709"/>
        </w:tabs>
        <w:spacing w:after="120"/>
        <w:ind w:firstLine="709"/>
        <w:contextualSpacing/>
        <w:jc w:val="both"/>
        <w:rPr>
          <w:sz w:val="28"/>
          <w:szCs w:val="28"/>
        </w:rPr>
      </w:pPr>
      <w:r w:rsidRPr="00467F9C">
        <w:rPr>
          <w:sz w:val="28"/>
          <w:szCs w:val="28"/>
        </w:rPr>
        <w:t xml:space="preserve">Сводной бюджетной росписью по состоянию на 1 апреля 2022 года на реализацию госпрограмм утвержден объем бюджетных ассигнований в сумме 51 137 588,1 тыс. рублей. </w:t>
      </w:r>
    </w:p>
    <w:p w:rsidR="00191861" w:rsidRPr="00467F9C" w:rsidRDefault="00191861" w:rsidP="00191861">
      <w:pPr>
        <w:pStyle w:val="af8"/>
        <w:ind w:firstLine="709"/>
        <w:jc w:val="both"/>
        <w:rPr>
          <w:sz w:val="28"/>
          <w:szCs w:val="28"/>
        </w:rPr>
      </w:pPr>
      <w:r w:rsidRPr="00467F9C">
        <w:rPr>
          <w:sz w:val="28"/>
          <w:szCs w:val="28"/>
        </w:rPr>
        <w:t>4. В I квартале 2022 года на реализацию госпрограмм из окружного бюджета направлено 8 272 615,5 тыс. рублей или 16,2 % от утвержденных сводной бюджетной росписью бюджетных ассигнований.</w:t>
      </w:r>
    </w:p>
    <w:p w:rsidR="00191861" w:rsidRPr="00467F9C" w:rsidRDefault="00191861" w:rsidP="00191861">
      <w:pPr>
        <w:pStyle w:val="af8"/>
        <w:tabs>
          <w:tab w:val="left" w:pos="709"/>
        </w:tabs>
        <w:ind w:firstLine="709"/>
        <w:jc w:val="both"/>
        <w:rPr>
          <w:sz w:val="28"/>
          <w:szCs w:val="28"/>
        </w:rPr>
      </w:pPr>
      <w:r w:rsidRPr="00467F9C">
        <w:rPr>
          <w:sz w:val="28"/>
          <w:szCs w:val="28"/>
        </w:rPr>
        <w:t>Кассовые расходы на уровне от 20,3% до 49,4% от предусмотренных бюджетных ассигнований произведены по пяти государственным программам.</w:t>
      </w:r>
    </w:p>
    <w:p w:rsidR="00191861" w:rsidRPr="00467F9C" w:rsidRDefault="00191861" w:rsidP="00191861">
      <w:pPr>
        <w:pStyle w:val="af8"/>
        <w:tabs>
          <w:tab w:val="left" w:pos="709"/>
        </w:tabs>
        <w:ind w:firstLine="709"/>
        <w:jc w:val="both"/>
        <w:rPr>
          <w:sz w:val="28"/>
          <w:szCs w:val="28"/>
        </w:rPr>
      </w:pPr>
      <w:r w:rsidRPr="00467F9C">
        <w:rPr>
          <w:sz w:val="28"/>
          <w:szCs w:val="28"/>
        </w:rPr>
        <w:t>Менее 10% от предусмотренных ассигнований направлено на реализацию трех государственных программ.</w:t>
      </w:r>
    </w:p>
    <w:p w:rsidR="00191861" w:rsidRPr="00467F9C" w:rsidRDefault="00191861" w:rsidP="00191861">
      <w:pPr>
        <w:pStyle w:val="41"/>
        <w:rPr>
          <w:color w:val="auto"/>
        </w:rPr>
      </w:pPr>
      <w:r w:rsidRPr="00467F9C">
        <w:rPr>
          <w:color w:val="auto"/>
        </w:rPr>
        <w:t>В отчетном периоде не направлялись бюджетные ассигнования на реализацию мероприятий государственных программ «Обеспечение устойчивого сокращения непригодного для проживания жилищного фонда в Чукотском автономном округе», «</w:t>
      </w:r>
      <w:r w:rsidRPr="00467F9C">
        <w:rPr>
          <w:color w:val="auto"/>
          <w:lang w:eastAsia="ru-RU"/>
        </w:rPr>
        <w:t>Формирование комфортной городской среды в Чукотском автономном округе».</w:t>
      </w:r>
    </w:p>
    <w:p w:rsidR="00191861" w:rsidRPr="00467F9C" w:rsidRDefault="00191861" w:rsidP="00191861">
      <w:pPr>
        <w:ind w:firstLine="709"/>
        <w:contextualSpacing/>
        <w:jc w:val="both"/>
        <w:rPr>
          <w:sz w:val="28"/>
          <w:szCs w:val="28"/>
        </w:rPr>
      </w:pPr>
      <w:r w:rsidRPr="00467F9C">
        <w:rPr>
          <w:sz w:val="28"/>
          <w:szCs w:val="28"/>
        </w:rPr>
        <w:t>5. Фактическое выполнение мероприятий Госпрограмм составило                   8 274 625,5 тыс. рублей. Наиболее низкое выполнение произведено по государственной программе «Стимулирование экономической активности населения Чукотского автономного округа» - 50 943,9 тыс. рублей или 29,0% от направленных бюджетных ассигнований (175 730,7 тыс. рублей).</w:t>
      </w:r>
    </w:p>
    <w:p w:rsidR="00191861" w:rsidRPr="00467F9C" w:rsidRDefault="00191861" w:rsidP="00191861">
      <w:pPr>
        <w:pStyle w:val="41"/>
        <w:ind w:right="0"/>
        <w:rPr>
          <w:color w:val="auto"/>
        </w:rPr>
      </w:pPr>
      <w:r w:rsidRPr="00467F9C">
        <w:rPr>
          <w:color w:val="auto"/>
        </w:rPr>
        <w:t>Не выполнялись в отчетном периоде мероприятия двух государственных программ – «Обеспечение охраны общественного порядка и повышения безопасности дорожного движения в Чукотском автономном округе» (направлено бюджетных ассигнований в объеме 302,6 тыс. рублей) и «Формирование комфортной городской среды в Чукотском автономном округе» (финансирование в I квартале 2022 года не осуществлялось).</w:t>
      </w:r>
    </w:p>
    <w:p w:rsidR="00191861" w:rsidRPr="00467F9C" w:rsidRDefault="00191861" w:rsidP="00191861">
      <w:pPr>
        <w:pStyle w:val="41"/>
        <w:rPr>
          <w:color w:val="auto"/>
        </w:rPr>
      </w:pPr>
      <w:r w:rsidRPr="00467F9C">
        <w:rPr>
          <w:color w:val="auto"/>
        </w:rPr>
        <w:t xml:space="preserve">По остальным государственным программам выполнение составило от 62,2% и выше от объемов средств, направленных на реализацию государственных программ. </w:t>
      </w:r>
    </w:p>
    <w:p w:rsidR="00191861" w:rsidRPr="00467F9C" w:rsidRDefault="00191861" w:rsidP="00191861">
      <w:pPr>
        <w:pStyle w:val="41"/>
        <w:rPr>
          <w:color w:val="auto"/>
        </w:rPr>
      </w:pPr>
      <w:r w:rsidRPr="00467F9C">
        <w:rPr>
          <w:color w:val="auto"/>
        </w:rPr>
        <w:lastRenderedPageBreak/>
        <w:t>6. По состоянию на 1 апреля 2022 года действуют 63 государственных контракта для обеспечения государственных нужд на</w:t>
      </w:r>
      <w:r w:rsidRPr="00467F9C">
        <w:rPr>
          <w:b/>
          <w:color w:val="auto"/>
        </w:rPr>
        <w:t xml:space="preserve"> </w:t>
      </w:r>
      <w:r w:rsidRPr="00467F9C">
        <w:rPr>
          <w:color w:val="auto"/>
        </w:rPr>
        <w:t xml:space="preserve">общую сумму                      23 420 649,6 тыс. рублей, заключенных в рамках 10 государственных программ. </w:t>
      </w:r>
    </w:p>
    <w:p w:rsidR="00191861" w:rsidRPr="00467F9C" w:rsidRDefault="00191861" w:rsidP="00191861">
      <w:pPr>
        <w:pStyle w:val="41"/>
        <w:rPr>
          <w:color w:val="auto"/>
        </w:rPr>
      </w:pPr>
      <w:r w:rsidRPr="00467F9C">
        <w:rPr>
          <w:color w:val="auto"/>
        </w:rPr>
        <w:t>С начала реализации государственных контрактов на их исполнение направлено бюджетных ассигнований в сумме 8 822 988,1 тыс. рублей (из них в 1 квартале 2022 года – 74 700,1 тыс. рублей), выполнено работ на сумму                      7 549 221,4 тыс. рублей (из них в I квартале 2022 года – 181 697,2 тыс. рублей).</w:t>
      </w:r>
    </w:p>
    <w:p w:rsidR="00191861" w:rsidRPr="00467F9C" w:rsidRDefault="00191861" w:rsidP="00191861">
      <w:pPr>
        <w:pStyle w:val="41"/>
        <w:rPr>
          <w:color w:val="auto"/>
          <w:lang w:eastAsia="ru-RU"/>
        </w:rPr>
      </w:pPr>
      <w:r w:rsidRPr="00467F9C">
        <w:rPr>
          <w:color w:val="auto"/>
        </w:rPr>
        <w:t>В структуре государственных контрактов наибольший удельный вес занимают государственные контракты, заключенные в ходе исполнения государственных программ «Развитие транспортной инфраструктуры» (53,4%), «</w:t>
      </w:r>
      <w:r w:rsidRPr="00467F9C">
        <w:rPr>
          <w:color w:val="auto"/>
          <w:lang w:eastAsia="ru-RU"/>
        </w:rPr>
        <w:t>Развитие жилищно-коммунального хозяйства и водохозяйственного комплекса» (19,5%) и «Развитие образования и науки» (13,5%).</w:t>
      </w:r>
    </w:p>
    <w:p w:rsidR="00191861" w:rsidRPr="00467F9C" w:rsidRDefault="00191861" w:rsidP="00191861">
      <w:pPr>
        <w:pStyle w:val="ConsPlusNonformat"/>
        <w:ind w:firstLine="708"/>
        <w:jc w:val="both"/>
        <w:rPr>
          <w:rFonts w:ascii="Times New Roman" w:hAnsi="Times New Roman" w:cs="Times New Roman"/>
          <w:sz w:val="28"/>
          <w:szCs w:val="28"/>
        </w:rPr>
      </w:pPr>
    </w:p>
    <w:p w:rsidR="000B7B23" w:rsidRDefault="00191861" w:rsidP="00191861">
      <w:pPr>
        <w:pStyle w:val="ConsPlusNonformat"/>
        <w:ind w:firstLine="708"/>
        <w:jc w:val="both"/>
        <w:rPr>
          <w:rFonts w:ascii="Times New Roman" w:hAnsi="Times New Roman" w:cs="Times New Roman"/>
          <w:sz w:val="28"/>
          <w:szCs w:val="28"/>
        </w:rPr>
      </w:pPr>
      <w:r w:rsidRPr="00467F9C">
        <w:rPr>
          <w:rFonts w:ascii="Times New Roman" w:hAnsi="Times New Roman" w:cs="Times New Roman"/>
          <w:sz w:val="28"/>
          <w:szCs w:val="28"/>
        </w:rPr>
        <w:t>Приложения: Информация о ходе реализации государственных программ Чукотского автономного округа за 1 квартал 2022 года на 4 л.</w:t>
      </w:r>
    </w:p>
    <w:p w:rsidR="000B7B23" w:rsidRDefault="000B7B23">
      <w:pPr>
        <w:spacing w:after="200" w:line="276" w:lineRule="auto"/>
        <w:rPr>
          <w:rFonts w:eastAsiaTheme="minorEastAsia"/>
          <w:sz w:val="28"/>
          <w:szCs w:val="28"/>
        </w:rPr>
      </w:pPr>
      <w:r>
        <w:rPr>
          <w:sz w:val="28"/>
          <w:szCs w:val="28"/>
        </w:rPr>
        <w:br w:type="page"/>
      </w:r>
    </w:p>
    <w:p w:rsidR="000B7B23" w:rsidRPr="00D200C8" w:rsidRDefault="000B7B23" w:rsidP="004F7088">
      <w:pPr>
        <w:jc w:val="center"/>
        <w:rPr>
          <w:b/>
          <w:sz w:val="28"/>
          <w:szCs w:val="28"/>
        </w:rPr>
      </w:pPr>
      <w:r>
        <w:rPr>
          <w:b/>
          <w:sz w:val="28"/>
          <w:szCs w:val="28"/>
        </w:rPr>
        <w:lastRenderedPageBreak/>
        <w:t>ОТЧЕТ</w:t>
      </w:r>
    </w:p>
    <w:p w:rsidR="000B7B23" w:rsidRPr="00D200C8" w:rsidRDefault="000B7B23" w:rsidP="004F7088">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о </w:t>
      </w:r>
      <w:r w:rsidRPr="00D200C8">
        <w:rPr>
          <w:rFonts w:ascii="Times New Roman" w:hAnsi="Times New Roman" w:cs="Times New Roman"/>
          <w:b/>
          <w:sz w:val="28"/>
          <w:szCs w:val="28"/>
        </w:rPr>
        <w:t>результата</w:t>
      </w:r>
      <w:r>
        <w:rPr>
          <w:rFonts w:ascii="Times New Roman" w:hAnsi="Times New Roman" w:cs="Times New Roman"/>
          <w:b/>
          <w:sz w:val="28"/>
          <w:szCs w:val="28"/>
        </w:rPr>
        <w:t>х</w:t>
      </w:r>
      <w:r w:rsidRPr="00D200C8">
        <w:rPr>
          <w:rFonts w:ascii="Times New Roman" w:hAnsi="Times New Roman" w:cs="Times New Roman"/>
          <w:b/>
          <w:sz w:val="28"/>
          <w:szCs w:val="28"/>
        </w:rPr>
        <w:t xml:space="preserve"> контрольного мероприятия </w:t>
      </w:r>
    </w:p>
    <w:p w:rsidR="000B7B23" w:rsidRPr="004F7088" w:rsidRDefault="000B7B23" w:rsidP="004F7088">
      <w:pPr>
        <w:pStyle w:val="ConsPlusNonformat"/>
        <w:jc w:val="center"/>
        <w:rPr>
          <w:rFonts w:ascii="Times New Roman" w:hAnsi="Times New Roman" w:cs="Times New Roman"/>
          <w:b/>
          <w:color w:val="000000"/>
          <w:sz w:val="28"/>
          <w:szCs w:val="28"/>
        </w:rPr>
      </w:pPr>
      <w:r w:rsidRPr="004F7088">
        <w:rPr>
          <w:rFonts w:ascii="Times New Roman" w:hAnsi="Times New Roman" w:cs="Times New Roman"/>
          <w:b/>
          <w:color w:val="000000"/>
          <w:sz w:val="28"/>
          <w:szCs w:val="28"/>
        </w:rPr>
        <w:t>«Проверка финансово-хозяйственной деятельности Некоммерческой организации «Фонд поддержки молодежи» за 2019-2021 годы»</w:t>
      </w:r>
    </w:p>
    <w:p w:rsidR="000B7B23" w:rsidRPr="00D200C8" w:rsidRDefault="000B7B23" w:rsidP="004F7088">
      <w:pPr>
        <w:widowControl w:val="0"/>
        <w:autoSpaceDE w:val="0"/>
        <w:autoSpaceDN w:val="0"/>
        <w:adjustRightInd w:val="0"/>
        <w:jc w:val="center"/>
        <w:rPr>
          <w:sz w:val="28"/>
          <w:szCs w:val="28"/>
        </w:rPr>
      </w:pPr>
    </w:p>
    <w:p w:rsidR="000B7B23" w:rsidRPr="00780741" w:rsidRDefault="000B7B23" w:rsidP="004F7088">
      <w:pPr>
        <w:jc w:val="center"/>
      </w:pPr>
      <w:r w:rsidRPr="00D200C8">
        <w:rPr>
          <w:sz w:val="28"/>
          <w:szCs w:val="28"/>
        </w:rPr>
        <w:tab/>
      </w:r>
      <w:r w:rsidRPr="00780741">
        <w:t>Утвержден Коллегией Счетной палаты Чукотского автономного округа</w:t>
      </w:r>
    </w:p>
    <w:p w:rsidR="000B7B23" w:rsidRPr="00780741" w:rsidRDefault="000B7B23" w:rsidP="004F7088">
      <w:pPr>
        <w:jc w:val="center"/>
      </w:pPr>
      <w:r>
        <w:t>(</w:t>
      </w:r>
      <w:r w:rsidRPr="00780741">
        <w:t xml:space="preserve">протокол от </w:t>
      </w:r>
      <w:r>
        <w:t>31 мая</w:t>
      </w:r>
      <w:r w:rsidRPr="00780741">
        <w:t xml:space="preserve"> 202</w:t>
      </w:r>
      <w:r>
        <w:t>2</w:t>
      </w:r>
      <w:r w:rsidRPr="00780741">
        <w:t xml:space="preserve"> года №</w:t>
      </w:r>
      <w:r>
        <w:t>11</w:t>
      </w:r>
      <w:r w:rsidRPr="00780741">
        <w:t>)</w:t>
      </w:r>
    </w:p>
    <w:p w:rsidR="000B7B23" w:rsidRPr="00D200C8" w:rsidRDefault="000B7B23" w:rsidP="004F7088">
      <w:pPr>
        <w:rPr>
          <w:sz w:val="28"/>
          <w:szCs w:val="28"/>
        </w:rPr>
      </w:pPr>
    </w:p>
    <w:p w:rsidR="000B7B23" w:rsidRPr="00D200C8" w:rsidRDefault="000B7B23" w:rsidP="004F7088">
      <w:pPr>
        <w:pStyle w:val="ConsPlusNonformat"/>
        <w:ind w:firstLine="708"/>
        <w:jc w:val="both"/>
        <w:rPr>
          <w:rFonts w:ascii="Times New Roman" w:hAnsi="Times New Roman" w:cs="Times New Roman"/>
          <w:sz w:val="28"/>
          <w:szCs w:val="28"/>
        </w:rPr>
      </w:pPr>
      <w:r w:rsidRPr="00D200C8">
        <w:rPr>
          <w:rFonts w:ascii="Times New Roman" w:hAnsi="Times New Roman" w:cs="Times New Roman"/>
          <w:b/>
          <w:sz w:val="28"/>
          <w:szCs w:val="28"/>
        </w:rPr>
        <w:t>Основание для проведения контрольного мероприятия:</w:t>
      </w:r>
      <w:r w:rsidRPr="00D200C8">
        <w:rPr>
          <w:rFonts w:ascii="Times New Roman" w:hAnsi="Times New Roman" w:cs="Times New Roman"/>
          <w:sz w:val="28"/>
          <w:szCs w:val="28"/>
        </w:rPr>
        <w:t xml:space="preserve"> </w:t>
      </w:r>
      <w:bookmarkStart w:id="72" w:name="_Hlk104474612"/>
      <w:r w:rsidRPr="00D200C8">
        <w:rPr>
          <w:rFonts w:ascii="Times New Roman" w:hAnsi="Times New Roman" w:cs="Times New Roman"/>
          <w:sz w:val="28"/>
          <w:szCs w:val="28"/>
        </w:rPr>
        <w:t>пункт 1.17. Плана работы Счетной палаты Чукотского автономного округа</w:t>
      </w:r>
      <w:r>
        <w:rPr>
          <w:rStyle w:val="ab"/>
          <w:rFonts w:ascii="Times New Roman" w:hAnsi="Times New Roman" w:cs="Times New Roman"/>
          <w:sz w:val="28"/>
          <w:szCs w:val="28"/>
        </w:rPr>
        <w:footnoteReference w:id="138"/>
      </w:r>
      <w:r w:rsidRPr="00D200C8">
        <w:rPr>
          <w:rFonts w:ascii="Times New Roman" w:hAnsi="Times New Roman" w:cs="Times New Roman"/>
          <w:sz w:val="28"/>
          <w:szCs w:val="28"/>
        </w:rPr>
        <w:t xml:space="preserve"> на 2022 год.</w:t>
      </w:r>
    </w:p>
    <w:bookmarkEnd w:id="72"/>
    <w:p w:rsidR="000B7B23" w:rsidRPr="00D200C8" w:rsidRDefault="000B7B23" w:rsidP="004F7088">
      <w:pPr>
        <w:pStyle w:val="ConsPlusNonformat"/>
        <w:jc w:val="both"/>
        <w:rPr>
          <w:rFonts w:ascii="Times New Roman" w:hAnsi="Times New Roman" w:cs="Times New Roman"/>
          <w:sz w:val="16"/>
          <w:szCs w:val="16"/>
        </w:rPr>
      </w:pPr>
    </w:p>
    <w:p w:rsidR="000B7B23" w:rsidRPr="00D200C8" w:rsidRDefault="000B7B23" w:rsidP="004F7088">
      <w:pPr>
        <w:widowControl w:val="0"/>
        <w:autoSpaceDE w:val="0"/>
        <w:autoSpaceDN w:val="0"/>
        <w:adjustRightInd w:val="0"/>
        <w:ind w:firstLine="708"/>
        <w:jc w:val="both"/>
        <w:rPr>
          <w:color w:val="000000"/>
          <w:sz w:val="28"/>
          <w:szCs w:val="28"/>
        </w:rPr>
      </w:pPr>
      <w:r w:rsidRPr="00D200C8">
        <w:rPr>
          <w:b/>
          <w:sz w:val="28"/>
          <w:szCs w:val="28"/>
        </w:rPr>
        <w:t>Предмет контрольного мероприятия:</w:t>
      </w:r>
      <w:r w:rsidRPr="00D200C8">
        <w:rPr>
          <w:sz w:val="28"/>
          <w:szCs w:val="28"/>
        </w:rPr>
        <w:t xml:space="preserve"> процесс </w:t>
      </w:r>
      <w:r w:rsidRPr="00D200C8">
        <w:rPr>
          <w:color w:val="000000"/>
          <w:sz w:val="28"/>
          <w:szCs w:val="28"/>
        </w:rPr>
        <w:t xml:space="preserve">использования </w:t>
      </w:r>
      <w:r w:rsidRPr="00D200C8">
        <w:rPr>
          <w:sz w:val="28"/>
          <w:szCs w:val="28"/>
        </w:rPr>
        <w:t xml:space="preserve">финансовых ресурсов на </w:t>
      </w:r>
      <w:r w:rsidRPr="00D200C8">
        <w:rPr>
          <w:color w:val="000000"/>
          <w:sz w:val="28"/>
          <w:szCs w:val="28"/>
        </w:rPr>
        <w:t xml:space="preserve">осуществление </w:t>
      </w:r>
      <w:r w:rsidRPr="00D200C8">
        <w:rPr>
          <w:sz w:val="28"/>
          <w:szCs w:val="28"/>
        </w:rPr>
        <w:t>финансово-хозяйственной деятельности</w:t>
      </w:r>
      <w:r w:rsidRPr="00D200C8">
        <w:rPr>
          <w:color w:val="000000"/>
          <w:sz w:val="28"/>
          <w:szCs w:val="28"/>
        </w:rPr>
        <w:t xml:space="preserve"> Некоммерческой организацией «Фонд поддержки молодежи»</w:t>
      </w:r>
      <w:r>
        <w:rPr>
          <w:rStyle w:val="ab"/>
          <w:color w:val="000000"/>
          <w:sz w:val="28"/>
          <w:szCs w:val="28"/>
        </w:rPr>
        <w:footnoteReference w:id="139"/>
      </w:r>
      <w:r w:rsidRPr="00D200C8">
        <w:rPr>
          <w:color w:val="000000"/>
          <w:sz w:val="28"/>
          <w:szCs w:val="28"/>
        </w:rPr>
        <w:t xml:space="preserve"> в 2019-2021 годах.</w:t>
      </w:r>
    </w:p>
    <w:p w:rsidR="000B7B23" w:rsidRPr="00D200C8" w:rsidRDefault="000B7B23" w:rsidP="004F7088">
      <w:pPr>
        <w:pStyle w:val="ConsPlusNonformat"/>
        <w:ind w:firstLine="708"/>
        <w:jc w:val="both"/>
        <w:rPr>
          <w:rFonts w:ascii="Times New Roman" w:hAnsi="Times New Roman" w:cs="Times New Roman"/>
          <w:sz w:val="16"/>
          <w:szCs w:val="16"/>
        </w:rPr>
      </w:pPr>
    </w:p>
    <w:p w:rsidR="000B7B23" w:rsidRPr="00D200C8" w:rsidRDefault="000B7B23" w:rsidP="004F7088">
      <w:pPr>
        <w:ind w:firstLine="708"/>
        <w:jc w:val="both"/>
        <w:rPr>
          <w:color w:val="000000"/>
          <w:sz w:val="28"/>
          <w:szCs w:val="28"/>
        </w:rPr>
      </w:pPr>
      <w:r w:rsidRPr="00D200C8">
        <w:rPr>
          <w:b/>
          <w:sz w:val="28"/>
          <w:szCs w:val="28"/>
        </w:rPr>
        <w:t xml:space="preserve">Цель контрольного мероприятия: </w:t>
      </w:r>
      <w:r w:rsidRPr="00D200C8">
        <w:rPr>
          <w:sz w:val="28"/>
          <w:szCs w:val="28"/>
        </w:rPr>
        <w:t xml:space="preserve">проверить </w:t>
      </w:r>
      <w:r>
        <w:rPr>
          <w:sz w:val="28"/>
          <w:szCs w:val="28"/>
        </w:rPr>
        <w:t>целевое использование</w:t>
      </w:r>
      <w:r w:rsidRPr="00D200C8">
        <w:rPr>
          <w:sz w:val="28"/>
          <w:szCs w:val="28"/>
        </w:rPr>
        <w:t xml:space="preserve"> финансовых ресурсов, направленных в 2019-2021 годах на осуществление финансово-хозяйственной деятельности </w:t>
      </w:r>
      <w:r w:rsidRPr="00D200C8">
        <w:rPr>
          <w:color w:val="000000"/>
          <w:sz w:val="28"/>
          <w:szCs w:val="28"/>
        </w:rPr>
        <w:t>Фонда.</w:t>
      </w:r>
    </w:p>
    <w:p w:rsidR="000B7B23" w:rsidRPr="00D200C8" w:rsidRDefault="000B7B23" w:rsidP="004F7088">
      <w:pPr>
        <w:pStyle w:val="ConsPlusNonformat"/>
        <w:ind w:firstLine="708"/>
        <w:jc w:val="both"/>
        <w:rPr>
          <w:rFonts w:ascii="Times New Roman" w:hAnsi="Times New Roman" w:cs="Times New Roman"/>
          <w:b/>
          <w:sz w:val="16"/>
          <w:szCs w:val="16"/>
        </w:rPr>
      </w:pPr>
    </w:p>
    <w:p w:rsidR="000B7B23" w:rsidRPr="00D200C8" w:rsidRDefault="000B7B23" w:rsidP="004F7088">
      <w:pPr>
        <w:pStyle w:val="ConsPlusNonformat"/>
        <w:ind w:firstLine="708"/>
        <w:jc w:val="both"/>
        <w:rPr>
          <w:rFonts w:ascii="Times New Roman" w:hAnsi="Times New Roman" w:cs="Times New Roman"/>
          <w:b/>
          <w:sz w:val="28"/>
          <w:szCs w:val="28"/>
        </w:rPr>
      </w:pPr>
      <w:r w:rsidRPr="00D200C8">
        <w:rPr>
          <w:rFonts w:ascii="Times New Roman" w:hAnsi="Times New Roman" w:cs="Times New Roman"/>
          <w:b/>
          <w:sz w:val="28"/>
          <w:szCs w:val="28"/>
        </w:rPr>
        <w:t>Вопросы</w:t>
      </w:r>
      <w:r>
        <w:rPr>
          <w:rFonts w:ascii="Times New Roman" w:hAnsi="Times New Roman" w:cs="Times New Roman"/>
          <w:b/>
          <w:sz w:val="28"/>
          <w:szCs w:val="28"/>
        </w:rPr>
        <w:t xml:space="preserve"> контрольного мероприятия</w:t>
      </w:r>
      <w:r w:rsidRPr="00D200C8">
        <w:rPr>
          <w:rFonts w:ascii="Times New Roman" w:hAnsi="Times New Roman" w:cs="Times New Roman"/>
          <w:b/>
          <w:sz w:val="28"/>
          <w:szCs w:val="28"/>
        </w:rPr>
        <w:t xml:space="preserve">: </w:t>
      </w:r>
    </w:p>
    <w:p w:rsidR="000B7B23" w:rsidRDefault="000B7B23" w:rsidP="004F7088">
      <w:pPr>
        <w:pStyle w:val="ConsPlusNonformat"/>
        <w:ind w:firstLine="708"/>
        <w:jc w:val="both"/>
        <w:rPr>
          <w:rFonts w:ascii="Times New Roman" w:hAnsi="Times New Roman" w:cs="Times New Roman"/>
          <w:sz w:val="28"/>
          <w:szCs w:val="28"/>
        </w:rPr>
      </w:pPr>
      <w:bookmarkStart w:id="73" w:name="_Hlk62124538"/>
      <w:r w:rsidRPr="00D200C8">
        <w:rPr>
          <w:rFonts w:ascii="Times New Roman" w:hAnsi="Times New Roman" w:cs="Times New Roman"/>
          <w:sz w:val="28"/>
          <w:szCs w:val="28"/>
        </w:rPr>
        <w:t>1. </w:t>
      </w:r>
      <w:bookmarkStart w:id="74" w:name="_Hlk62806951"/>
      <w:r>
        <w:rPr>
          <w:rFonts w:ascii="Times New Roman" w:hAnsi="Times New Roman"/>
          <w:sz w:val="28"/>
          <w:szCs w:val="28"/>
        </w:rPr>
        <w:t>Оценка</w:t>
      </w:r>
      <w:r w:rsidRPr="00202086">
        <w:rPr>
          <w:rFonts w:ascii="Times New Roman" w:hAnsi="Times New Roman"/>
          <w:sz w:val="28"/>
          <w:szCs w:val="28"/>
        </w:rPr>
        <w:t xml:space="preserve"> организаци</w:t>
      </w:r>
      <w:r>
        <w:rPr>
          <w:rFonts w:ascii="Times New Roman" w:hAnsi="Times New Roman"/>
          <w:sz w:val="28"/>
          <w:szCs w:val="28"/>
        </w:rPr>
        <w:t xml:space="preserve">и </w:t>
      </w:r>
      <w:r w:rsidRPr="00202086">
        <w:rPr>
          <w:rFonts w:ascii="Times New Roman" w:hAnsi="Times New Roman"/>
          <w:sz w:val="28"/>
          <w:szCs w:val="28"/>
        </w:rPr>
        <w:t>и ведени</w:t>
      </w:r>
      <w:r>
        <w:rPr>
          <w:rFonts w:ascii="Times New Roman" w:hAnsi="Times New Roman"/>
          <w:sz w:val="28"/>
          <w:szCs w:val="28"/>
        </w:rPr>
        <w:t>я</w:t>
      </w:r>
      <w:r w:rsidRPr="00202086">
        <w:rPr>
          <w:rFonts w:ascii="Times New Roman" w:hAnsi="Times New Roman"/>
          <w:sz w:val="28"/>
          <w:szCs w:val="28"/>
        </w:rPr>
        <w:t xml:space="preserve"> бухгалтерского учета Фонда</w:t>
      </w:r>
      <w:r>
        <w:rPr>
          <w:rFonts w:ascii="Times New Roman" w:hAnsi="Times New Roman"/>
          <w:sz w:val="28"/>
          <w:szCs w:val="28"/>
        </w:rPr>
        <w:t>.</w:t>
      </w:r>
    </w:p>
    <w:p w:rsidR="000B7B23" w:rsidRDefault="000B7B23" w:rsidP="004F7088">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2. </w:t>
      </w:r>
      <w:r w:rsidRPr="00D07102">
        <w:rPr>
          <w:rFonts w:ascii="Times New Roman" w:hAnsi="Times New Roman" w:cs="Times New Roman"/>
          <w:sz w:val="28"/>
          <w:szCs w:val="28"/>
        </w:rPr>
        <w:t xml:space="preserve">Использование средств, предоставленных </w:t>
      </w:r>
      <w:r>
        <w:rPr>
          <w:rFonts w:ascii="Times New Roman" w:hAnsi="Times New Roman" w:cs="Times New Roman"/>
          <w:sz w:val="28"/>
          <w:szCs w:val="28"/>
        </w:rPr>
        <w:t>на</w:t>
      </w:r>
      <w:r w:rsidRPr="00D07102">
        <w:rPr>
          <w:rFonts w:ascii="Times New Roman" w:hAnsi="Times New Roman" w:cs="Times New Roman"/>
          <w:sz w:val="28"/>
          <w:szCs w:val="28"/>
        </w:rPr>
        <w:t xml:space="preserve"> обеспечение финансово-хозяйственной деятельности Фонда</w:t>
      </w:r>
      <w:r>
        <w:rPr>
          <w:rFonts w:ascii="Times New Roman" w:hAnsi="Times New Roman" w:cs="Times New Roman"/>
          <w:sz w:val="28"/>
          <w:szCs w:val="28"/>
        </w:rPr>
        <w:t>.</w:t>
      </w:r>
    </w:p>
    <w:p w:rsidR="000B7B23" w:rsidRDefault="000B7B23" w:rsidP="004F7088">
      <w:pPr>
        <w:pStyle w:val="ConsPlusNonformat"/>
        <w:ind w:firstLine="708"/>
        <w:jc w:val="both"/>
        <w:rPr>
          <w:rFonts w:ascii="Times New Roman" w:hAnsi="Times New Roman" w:cs="Times New Roman"/>
          <w:color w:val="000000"/>
          <w:sz w:val="28"/>
          <w:szCs w:val="28"/>
        </w:rPr>
      </w:pPr>
      <w:r>
        <w:rPr>
          <w:rFonts w:ascii="Times New Roman" w:hAnsi="Times New Roman" w:cs="Times New Roman"/>
          <w:sz w:val="28"/>
          <w:szCs w:val="28"/>
        </w:rPr>
        <w:t>2.1. </w:t>
      </w:r>
      <w:r w:rsidRPr="00D07102">
        <w:rPr>
          <w:rFonts w:ascii="Times New Roman" w:hAnsi="Times New Roman" w:cs="Times New Roman"/>
          <w:sz w:val="28"/>
          <w:szCs w:val="28"/>
        </w:rPr>
        <w:t xml:space="preserve">Использование средств субсидии, предоставленной на финансовое обеспечение затрат на осуществление уставной деятельности Фонда в </w:t>
      </w:r>
      <w:r w:rsidRPr="00D07102">
        <w:rPr>
          <w:rFonts w:ascii="Times New Roman" w:hAnsi="Times New Roman" w:cs="Times New Roman"/>
          <w:color w:val="000000"/>
          <w:sz w:val="28"/>
          <w:szCs w:val="28"/>
        </w:rPr>
        <w:t>2019-2021 годах</w:t>
      </w:r>
      <w:r>
        <w:rPr>
          <w:rFonts w:ascii="Times New Roman" w:hAnsi="Times New Roman" w:cs="Times New Roman"/>
          <w:color w:val="000000"/>
          <w:sz w:val="28"/>
          <w:szCs w:val="28"/>
        </w:rPr>
        <w:t>.</w:t>
      </w:r>
    </w:p>
    <w:p w:rsidR="000B7B23" w:rsidRDefault="000B7B23" w:rsidP="004F7088">
      <w:pPr>
        <w:pStyle w:val="ConsPlusNonformat"/>
        <w:ind w:firstLine="708"/>
        <w:jc w:val="both"/>
        <w:rPr>
          <w:rFonts w:ascii="Times New Roman" w:hAnsi="Times New Roman"/>
          <w:sz w:val="27"/>
          <w:szCs w:val="27"/>
        </w:rPr>
      </w:pPr>
      <w:r w:rsidRPr="00D07102">
        <w:rPr>
          <w:rFonts w:ascii="Times New Roman" w:hAnsi="Times New Roman" w:cs="Times New Roman"/>
          <w:sz w:val="28"/>
          <w:szCs w:val="28"/>
        </w:rPr>
        <w:t xml:space="preserve">2.2. Использование </w:t>
      </w:r>
      <w:r w:rsidRPr="00D07102">
        <w:rPr>
          <w:rFonts w:ascii="Times New Roman" w:hAnsi="Times New Roman"/>
          <w:sz w:val="27"/>
          <w:szCs w:val="27"/>
        </w:rPr>
        <w:t>субсидии из резервного фонда Правительства Чукотского автономного округа</w:t>
      </w:r>
      <w:r>
        <w:rPr>
          <w:rFonts w:ascii="Times New Roman" w:hAnsi="Times New Roman"/>
          <w:sz w:val="27"/>
          <w:szCs w:val="27"/>
        </w:rPr>
        <w:t>.</w:t>
      </w:r>
    </w:p>
    <w:p w:rsidR="000B7B23" w:rsidRDefault="000B7B23" w:rsidP="004F7088">
      <w:pPr>
        <w:pStyle w:val="ConsPlusNonformat"/>
        <w:ind w:firstLine="708"/>
        <w:jc w:val="both"/>
        <w:rPr>
          <w:rFonts w:ascii="Times New Roman" w:hAnsi="Times New Roman"/>
          <w:sz w:val="28"/>
          <w:szCs w:val="28"/>
        </w:rPr>
      </w:pPr>
      <w:r>
        <w:rPr>
          <w:rFonts w:ascii="Times New Roman" w:hAnsi="Times New Roman" w:cs="Times New Roman"/>
          <w:sz w:val="28"/>
          <w:szCs w:val="28"/>
        </w:rPr>
        <w:t>2.3. </w:t>
      </w:r>
      <w:r w:rsidRPr="00D07102">
        <w:rPr>
          <w:rFonts w:ascii="Times New Roman" w:hAnsi="Times New Roman" w:cs="Times New Roman"/>
          <w:sz w:val="28"/>
          <w:szCs w:val="28"/>
        </w:rPr>
        <w:t xml:space="preserve">Использование </w:t>
      </w:r>
      <w:r w:rsidRPr="00D07102">
        <w:rPr>
          <w:rFonts w:ascii="Times New Roman" w:hAnsi="Times New Roman"/>
          <w:sz w:val="28"/>
          <w:szCs w:val="28"/>
        </w:rPr>
        <w:t>гранта на реализацию проекта «окружной конкурс по сбору твердых коммунальных отходов «Чистые игры»</w:t>
      </w:r>
      <w:r>
        <w:rPr>
          <w:rFonts w:ascii="Times New Roman" w:hAnsi="Times New Roman"/>
          <w:sz w:val="28"/>
          <w:szCs w:val="28"/>
        </w:rPr>
        <w:t>.</w:t>
      </w:r>
    </w:p>
    <w:p w:rsidR="000B7B23" w:rsidRPr="00D07102" w:rsidRDefault="000B7B23" w:rsidP="004F7088">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2.4. </w:t>
      </w:r>
      <w:r w:rsidRPr="00D07102">
        <w:rPr>
          <w:rFonts w:ascii="Times New Roman" w:hAnsi="Times New Roman" w:cs="Times New Roman"/>
          <w:sz w:val="28"/>
          <w:szCs w:val="28"/>
        </w:rPr>
        <w:t>Использование денежного обеспечения, предоставленного Фонду Н</w:t>
      </w:r>
      <w:r>
        <w:rPr>
          <w:rFonts w:ascii="Times New Roman" w:hAnsi="Times New Roman" w:cs="Times New Roman"/>
          <w:sz w:val="28"/>
          <w:szCs w:val="28"/>
        </w:rPr>
        <w:t>екоммерческой организацией</w:t>
      </w:r>
      <w:r w:rsidRPr="00D07102">
        <w:rPr>
          <w:rFonts w:ascii="Times New Roman" w:hAnsi="Times New Roman" w:cs="Times New Roman"/>
          <w:sz w:val="28"/>
          <w:szCs w:val="28"/>
        </w:rPr>
        <w:t xml:space="preserve"> «Фонд развития экономики и прямых инвестиций Чукотского автономного округа»</w:t>
      </w:r>
    </w:p>
    <w:p w:rsidR="000B7B23" w:rsidRPr="00D200C8" w:rsidRDefault="000B7B23" w:rsidP="004F7088">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3</w:t>
      </w:r>
      <w:r w:rsidRPr="00D200C8">
        <w:rPr>
          <w:rFonts w:ascii="Times New Roman" w:hAnsi="Times New Roman" w:cs="Times New Roman"/>
          <w:sz w:val="28"/>
          <w:szCs w:val="28"/>
        </w:rPr>
        <w:t>. </w:t>
      </w:r>
      <w:bookmarkEnd w:id="73"/>
      <w:bookmarkEnd w:id="74"/>
      <w:r w:rsidRPr="00D200C8">
        <w:rPr>
          <w:rFonts w:ascii="Times New Roman" w:hAnsi="Times New Roman" w:cs="Times New Roman"/>
          <w:sz w:val="28"/>
          <w:szCs w:val="28"/>
        </w:rPr>
        <w:t>Результаты проверок, проводимых в проверяемом периоде иными контрольными органами.</w:t>
      </w:r>
    </w:p>
    <w:p w:rsidR="000B7B23" w:rsidRPr="00D200C8" w:rsidRDefault="000B7B23" w:rsidP="004F7088">
      <w:pPr>
        <w:pStyle w:val="ConsPlusNonformat"/>
        <w:ind w:firstLine="708"/>
        <w:jc w:val="both"/>
        <w:rPr>
          <w:rFonts w:ascii="Times New Roman" w:hAnsi="Times New Roman" w:cs="Times New Roman"/>
          <w:b/>
          <w:sz w:val="16"/>
          <w:szCs w:val="16"/>
        </w:rPr>
      </w:pPr>
    </w:p>
    <w:p w:rsidR="000B7B23" w:rsidRPr="00D200C8" w:rsidRDefault="000B7B23" w:rsidP="004F7088">
      <w:pPr>
        <w:ind w:firstLine="709"/>
        <w:jc w:val="both"/>
        <w:rPr>
          <w:color w:val="000000"/>
          <w:sz w:val="28"/>
          <w:szCs w:val="28"/>
        </w:rPr>
      </w:pPr>
      <w:r w:rsidRPr="00D200C8">
        <w:rPr>
          <w:b/>
          <w:sz w:val="28"/>
          <w:szCs w:val="28"/>
        </w:rPr>
        <w:t xml:space="preserve">Объект контрольного мероприятия: </w:t>
      </w:r>
      <w:r w:rsidRPr="00D200C8">
        <w:rPr>
          <w:color w:val="000000"/>
          <w:sz w:val="28"/>
          <w:szCs w:val="28"/>
        </w:rPr>
        <w:t>Некоммерческая организация «Фонд поддержки молодежи».</w:t>
      </w:r>
    </w:p>
    <w:p w:rsidR="000B7B23" w:rsidRPr="00D200C8" w:rsidRDefault="000B7B23" w:rsidP="004F7088">
      <w:pPr>
        <w:pStyle w:val="ConsPlusNonformat"/>
        <w:ind w:firstLine="708"/>
        <w:jc w:val="both"/>
        <w:rPr>
          <w:rFonts w:ascii="Times New Roman" w:hAnsi="Times New Roman" w:cs="Times New Roman"/>
          <w:b/>
          <w:sz w:val="16"/>
          <w:szCs w:val="16"/>
        </w:rPr>
      </w:pPr>
    </w:p>
    <w:p w:rsidR="000B7B23" w:rsidRPr="00D200C8" w:rsidRDefault="000B7B23" w:rsidP="004F7088">
      <w:pPr>
        <w:pStyle w:val="ConsPlusNonformat"/>
        <w:ind w:firstLine="708"/>
        <w:jc w:val="both"/>
        <w:rPr>
          <w:rFonts w:ascii="Times New Roman" w:hAnsi="Times New Roman" w:cs="Times New Roman"/>
          <w:sz w:val="28"/>
          <w:szCs w:val="28"/>
        </w:rPr>
      </w:pPr>
      <w:r w:rsidRPr="00D200C8">
        <w:rPr>
          <w:rFonts w:ascii="Times New Roman" w:hAnsi="Times New Roman" w:cs="Times New Roman"/>
          <w:b/>
          <w:sz w:val="28"/>
          <w:szCs w:val="28"/>
        </w:rPr>
        <w:t>Проверяемый период деятельности:</w:t>
      </w:r>
      <w:r w:rsidRPr="00D200C8">
        <w:rPr>
          <w:rFonts w:ascii="Times New Roman" w:hAnsi="Times New Roman" w:cs="Times New Roman"/>
          <w:sz w:val="28"/>
          <w:szCs w:val="28"/>
        </w:rPr>
        <w:t xml:space="preserve"> 2019-2021 годы. </w:t>
      </w:r>
    </w:p>
    <w:p w:rsidR="000B7B23" w:rsidRPr="00D200C8" w:rsidRDefault="000B7B23" w:rsidP="004F7088">
      <w:pPr>
        <w:pStyle w:val="ConsPlusNonformat"/>
        <w:ind w:firstLine="708"/>
        <w:jc w:val="both"/>
        <w:rPr>
          <w:rFonts w:ascii="Times New Roman" w:hAnsi="Times New Roman" w:cs="Times New Roman"/>
          <w:sz w:val="16"/>
          <w:szCs w:val="16"/>
        </w:rPr>
      </w:pPr>
    </w:p>
    <w:p w:rsidR="000B7B23" w:rsidRDefault="000B7B23" w:rsidP="004F7088">
      <w:pPr>
        <w:pStyle w:val="ConsPlusNonformat"/>
        <w:ind w:firstLine="708"/>
        <w:jc w:val="both"/>
        <w:rPr>
          <w:rFonts w:ascii="Times New Roman" w:hAnsi="Times New Roman" w:cs="Times New Roman"/>
          <w:sz w:val="28"/>
          <w:szCs w:val="28"/>
        </w:rPr>
      </w:pPr>
      <w:r w:rsidRPr="00D200C8">
        <w:rPr>
          <w:rFonts w:ascii="Times New Roman" w:hAnsi="Times New Roman" w:cs="Times New Roman"/>
          <w:b/>
          <w:sz w:val="28"/>
          <w:szCs w:val="28"/>
        </w:rPr>
        <w:t xml:space="preserve">Сроки начала и окончания проведения контрольного мероприятия: </w:t>
      </w:r>
      <w:r w:rsidRPr="00D200C8">
        <w:rPr>
          <w:rFonts w:ascii="Times New Roman" w:hAnsi="Times New Roman" w:cs="Times New Roman"/>
          <w:sz w:val="28"/>
          <w:szCs w:val="28"/>
        </w:rPr>
        <w:t xml:space="preserve">с 6 апреля по </w:t>
      </w:r>
      <w:r>
        <w:rPr>
          <w:rFonts w:ascii="Times New Roman" w:hAnsi="Times New Roman" w:cs="Times New Roman"/>
          <w:sz w:val="28"/>
          <w:szCs w:val="28"/>
        </w:rPr>
        <w:t>23</w:t>
      </w:r>
      <w:r w:rsidRPr="00D200C8">
        <w:rPr>
          <w:rFonts w:ascii="Times New Roman" w:hAnsi="Times New Roman" w:cs="Times New Roman"/>
          <w:sz w:val="28"/>
          <w:szCs w:val="28"/>
        </w:rPr>
        <w:t xml:space="preserve"> мая 2022 года.</w:t>
      </w:r>
    </w:p>
    <w:p w:rsidR="000B7B23" w:rsidRPr="00D200C8" w:rsidRDefault="000B7B23" w:rsidP="004F7088">
      <w:pPr>
        <w:pStyle w:val="ConsPlusNonformat"/>
        <w:ind w:firstLine="708"/>
        <w:jc w:val="both"/>
        <w:rPr>
          <w:rFonts w:ascii="Times New Roman" w:hAnsi="Times New Roman" w:cs="Times New Roman"/>
          <w:sz w:val="16"/>
          <w:szCs w:val="16"/>
        </w:rPr>
      </w:pPr>
    </w:p>
    <w:p w:rsidR="000B7B23" w:rsidRPr="00823B5A" w:rsidRDefault="000B7B23" w:rsidP="004F7088">
      <w:pPr>
        <w:jc w:val="both"/>
        <w:rPr>
          <w:b/>
          <w:sz w:val="28"/>
          <w:szCs w:val="28"/>
        </w:rPr>
      </w:pPr>
      <w:r w:rsidRPr="00D200C8">
        <w:rPr>
          <w:sz w:val="28"/>
          <w:szCs w:val="28"/>
        </w:rPr>
        <w:lastRenderedPageBreak/>
        <w:tab/>
      </w:r>
      <w:r w:rsidRPr="00823B5A">
        <w:rPr>
          <w:b/>
          <w:sz w:val="28"/>
          <w:szCs w:val="28"/>
        </w:rPr>
        <w:t xml:space="preserve">Краткая характеристика деятельности объекта проверки </w:t>
      </w:r>
      <w:r>
        <w:rPr>
          <w:b/>
          <w:sz w:val="28"/>
          <w:szCs w:val="28"/>
        </w:rPr>
        <w:t xml:space="preserve">и </w:t>
      </w:r>
      <w:r w:rsidRPr="00823B5A">
        <w:rPr>
          <w:b/>
          <w:sz w:val="28"/>
          <w:szCs w:val="28"/>
        </w:rPr>
        <w:t xml:space="preserve">проверяемой сферы </w:t>
      </w:r>
    </w:p>
    <w:p w:rsidR="000B7B23" w:rsidRPr="00D200C8" w:rsidRDefault="000B7B23" w:rsidP="004F7088">
      <w:pPr>
        <w:jc w:val="both"/>
        <w:rPr>
          <w:b/>
          <w:sz w:val="16"/>
          <w:szCs w:val="16"/>
        </w:rPr>
      </w:pPr>
    </w:p>
    <w:p w:rsidR="000B7B23" w:rsidRPr="00D200C8" w:rsidRDefault="000B7B23" w:rsidP="004F7088">
      <w:pPr>
        <w:ind w:firstLine="709"/>
        <w:jc w:val="both"/>
        <w:rPr>
          <w:color w:val="000000"/>
          <w:sz w:val="28"/>
          <w:szCs w:val="28"/>
        </w:rPr>
      </w:pPr>
      <w:r w:rsidRPr="00D200C8">
        <w:rPr>
          <w:color w:val="000000"/>
          <w:sz w:val="28"/>
          <w:szCs w:val="28"/>
        </w:rPr>
        <w:t xml:space="preserve">Фонд </w:t>
      </w:r>
      <w:r w:rsidRPr="00D200C8">
        <w:rPr>
          <w:sz w:val="28"/>
          <w:szCs w:val="28"/>
        </w:rPr>
        <w:t>создан в соответствии с Гражданским кодексом Российской Федерации, Федеральным законом от 12 января 1996 года №7-ФЗ «О некоммерческих организациях»</w:t>
      </w:r>
      <w:r>
        <w:rPr>
          <w:rStyle w:val="ab"/>
          <w:sz w:val="28"/>
          <w:szCs w:val="28"/>
        </w:rPr>
        <w:footnoteReference w:id="140"/>
      </w:r>
      <w:r w:rsidRPr="00D200C8">
        <w:rPr>
          <w:sz w:val="28"/>
          <w:szCs w:val="28"/>
        </w:rPr>
        <w:t>, на основании Распоряжения Правительства Чукотского автономного округа от 13 декабря 2017 года №519-рп</w:t>
      </w:r>
      <w:r>
        <w:rPr>
          <w:rStyle w:val="ab"/>
          <w:color w:val="000000"/>
          <w:sz w:val="28"/>
          <w:szCs w:val="28"/>
        </w:rPr>
        <w:footnoteReference w:id="141"/>
      </w:r>
      <w:r w:rsidRPr="00D200C8">
        <w:rPr>
          <w:color w:val="000000"/>
          <w:sz w:val="28"/>
          <w:szCs w:val="28"/>
        </w:rPr>
        <w:t xml:space="preserve">. </w:t>
      </w:r>
    </w:p>
    <w:p w:rsidR="000B7B23" w:rsidRPr="00D200C8" w:rsidRDefault="000B7B23" w:rsidP="004F7088">
      <w:pPr>
        <w:ind w:firstLine="709"/>
        <w:jc w:val="both"/>
        <w:rPr>
          <w:color w:val="000000"/>
          <w:sz w:val="28"/>
          <w:szCs w:val="28"/>
        </w:rPr>
      </w:pPr>
      <w:r w:rsidRPr="00D200C8">
        <w:rPr>
          <w:color w:val="000000"/>
          <w:sz w:val="28"/>
          <w:szCs w:val="28"/>
        </w:rPr>
        <w:t>Учредителем Фонда является Чукотский автономный округ, функции и полномочия которого осуществляет Аппарат Губернатора и Правительства Чукотского автономного округа</w:t>
      </w:r>
      <w:r>
        <w:rPr>
          <w:rStyle w:val="ab"/>
          <w:color w:val="000000"/>
          <w:sz w:val="28"/>
          <w:szCs w:val="28"/>
        </w:rPr>
        <w:footnoteReference w:id="142"/>
      </w:r>
      <w:r w:rsidRPr="00D200C8">
        <w:rPr>
          <w:color w:val="000000"/>
          <w:sz w:val="28"/>
          <w:szCs w:val="28"/>
        </w:rPr>
        <w:t>.</w:t>
      </w:r>
    </w:p>
    <w:p w:rsidR="000B7B23" w:rsidRPr="00D200C8" w:rsidRDefault="000B7B23" w:rsidP="004F7088">
      <w:pPr>
        <w:ind w:firstLine="709"/>
        <w:jc w:val="both"/>
        <w:rPr>
          <w:sz w:val="28"/>
          <w:szCs w:val="28"/>
        </w:rPr>
      </w:pPr>
      <w:r w:rsidRPr="00D200C8">
        <w:rPr>
          <w:color w:val="000000"/>
          <w:sz w:val="28"/>
          <w:szCs w:val="28"/>
        </w:rPr>
        <w:t xml:space="preserve">Фонд является юридическим лицом, обладает </w:t>
      </w:r>
      <w:r>
        <w:rPr>
          <w:color w:val="000000"/>
          <w:sz w:val="28"/>
          <w:szCs w:val="28"/>
        </w:rPr>
        <w:t>о</w:t>
      </w:r>
      <w:r w:rsidRPr="00D200C8">
        <w:rPr>
          <w:color w:val="000000"/>
          <w:sz w:val="28"/>
          <w:szCs w:val="28"/>
        </w:rPr>
        <w:t xml:space="preserve">бособленным имуществом, имеет самостоятельный баланс, расчетные и иные счета в банках. Фонд осуществляет свою деятельность на </w:t>
      </w:r>
      <w:r w:rsidRPr="00D200C8">
        <w:rPr>
          <w:sz w:val="28"/>
          <w:szCs w:val="28"/>
        </w:rPr>
        <w:t>основании Устава, утвержденного в установленном порядке.</w:t>
      </w:r>
    </w:p>
    <w:p w:rsidR="000B7B23" w:rsidRPr="00D200C8" w:rsidRDefault="000B7B23" w:rsidP="004F7088">
      <w:pPr>
        <w:ind w:firstLine="709"/>
        <w:jc w:val="both"/>
        <w:rPr>
          <w:sz w:val="28"/>
          <w:szCs w:val="28"/>
        </w:rPr>
      </w:pPr>
      <w:r w:rsidRPr="00FB279F">
        <w:rPr>
          <w:sz w:val="28"/>
          <w:szCs w:val="28"/>
        </w:rPr>
        <w:t>Целью создания и деятельности Фонда является поддержка молодежи и содействие молодежи в самоопределении в личных жизненных, долгосрочных и краткосрочных целях.</w:t>
      </w:r>
      <w:r>
        <w:rPr>
          <w:sz w:val="28"/>
          <w:szCs w:val="28"/>
        </w:rPr>
        <w:t xml:space="preserve"> </w:t>
      </w:r>
    </w:p>
    <w:p w:rsidR="000B7B23" w:rsidRPr="00D200C8" w:rsidRDefault="000B7B23" w:rsidP="004F7088">
      <w:pPr>
        <w:ind w:firstLine="709"/>
        <w:jc w:val="both"/>
        <w:rPr>
          <w:sz w:val="28"/>
          <w:szCs w:val="28"/>
        </w:rPr>
      </w:pPr>
      <w:r w:rsidRPr="00D200C8">
        <w:rPr>
          <w:sz w:val="28"/>
          <w:szCs w:val="28"/>
        </w:rPr>
        <w:t>Предметом деятельности Фонда является осуществление в соответствии с законодательством Российской Федерации следующих видов деятельности, направленных на достижение вышеуказанной цели:</w:t>
      </w:r>
    </w:p>
    <w:p w:rsidR="000B7B23" w:rsidRPr="00D200C8" w:rsidRDefault="000B7B23" w:rsidP="004F7088">
      <w:pPr>
        <w:ind w:firstLine="709"/>
        <w:jc w:val="both"/>
        <w:rPr>
          <w:sz w:val="28"/>
          <w:szCs w:val="28"/>
        </w:rPr>
      </w:pPr>
      <w:r w:rsidRPr="00D200C8">
        <w:rPr>
          <w:sz w:val="28"/>
          <w:szCs w:val="28"/>
        </w:rPr>
        <w:t>- участие в улучшении информационного обеспечения молодежи, повышении качества информационных продуктов о государственных программах и проектах, ориентированных на молодежь;</w:t>
      </w:r>
    </w:p>
    <w:p w:rsidR="000B7B23" w:rsidRPr="00D200C8" w:rsidRDefault="000B7B23" w:rsidP="004F7088">
      <w:pPr>
        <w:ind w:firstLine="709"/>
        <w:jc w:val="both"/>
        <w:rPr>
          <w:sz w:val="28"/>
          <w:szCs w:val="28"/>
        </w:rPr>
      </w:pPr>
      <w:r w:rsidRPr="00D200C8">
        <w:rPr>
          <w:sz w:val="28"/>
          <w:szCs w:val="28"/>
        </w:rPr>
        <w:t>- обеспечение связей с общественностью, оказание юридической помощи на безвозмездной или на льготной основе гражданам и некоммерческим организациям и правовое просвещение населения в части реализации молодежной политики;</w:t>
      </w:r>
    </w:p>
    <w:p w:rsidR="000B7B23" w:rsidRPr="00D200C8" w:rsidRDefault="000B7B23" w:rsidP="004F7088">
      <w:pPr>
        <w:ind w:firstLine="709"/>
        <w:jc w:val="both"/>
        <w:rPr>
          <w:sz w:val="28"/>
          <w:szCs w:val="28"/>
        </w:rPr>
      </w:pPr>
      <w:r w:rsidRPr="00D200C8">
        <w:rPr>
          <w:sz w:val="28"/>
          <w:szCs w:val="28"/>
        </w:rPr>
        <w:t>- создание и использование б</w:t>
      </w:r>
      <w:r>
        <w:rPr>
          <w:sz w:val="28"/>
          <w:szCs w:val="28"/>
        </w:rPr>
        <w:t>а</w:t>
      </w:r>
      <w:r w:rsidRPr="00D200C8">
        <w:rPr>
          <w:sz w:val="28"/>
          <w:szCs w:val="28"/>
        </w:rPr>
        <w:t>з данных и информационных ресурсов информационно-телекоммуникационной сети «Интернет», разработка и обеспечение функционирования официального сайта Фонда;</w:t>
      </w:r>
    </w:p>
    <w:p w:rsidR="000B7B23" w:rsidRPr="00D200C8" w:rsidRDefault="000B7B23" w:rsidP="004F7088">
      <w:pPr>
        <w:ind w:firstLine="709"/>
        <w:jc w:val="both"/>
        <w:rPr>
          <w:sz w:val="28"/>
          <w:szCs w:val="28"/>
        </w:rPr>
      </w:pPr>
      <w:r w:rsidRPr="00D200C8">
        <w:rPr>
          <w:sz w:val="28"/>
          <w:szCs w:val="28"/>
        </w:rPr>
        <w:t>- участие в привлечении молодежи к процессам выработки, подготовки и реализации решений исполнительных органов государственной власти Чукотского автономного округа по актуальным вопросам общественного развития;</w:t>
      </w:r>
    </w:p>
    <w:p w:rsidR="000B7B23" w:rsidRPr="00D200C8" w:rsidRDefault="000B7B23" w:rsidP="004F7088">
      <w:pPr>
        <w:ind w:firstLine="709"/>
        <w:jc w:val="both"/>
        <w:rPr>
          <w:sz w:val="28"/>
          <w:szCs w:val="28"/>
        </w:rPr>
      </w:pPr>
      <w:r w:rsidRPr="00D200C8">
        <w:rPr>
          <w:sz w:val="28"/>
          <w:szCs w:val="28"/>
        </w:rPr>
        <w:t>- организация мероприятий в сфере молодежной политики, направленных на вовлечение молодежи в предпринимательскую, добровольческую деятельность, а также на развитие гражданской активности молодежи и формирование здорового образа жизни, и прочая деятельность, направленная</w:t>
      </w:r>
      <w:r>
        <w:rPr>
          <w:sz w:val="28"/>
          <w:szCs w:val="28"/>
        </w:rPr>
        <w:t xml:space="preserve"> на</w:t>
      </w:r>
      <w:r w:rsidRPr="00D200C8">
        <w:rPr>
          <w:sz w:val="28"/>
          <w:szCs w:val="28"/>
        </w:rPr>
        <w:t xml:space="preserve"> реализацию цели.</w:t>
      </w:r>
    </w:p>
    <w:p w:rsidR="000B7B23" w:rsidRPr="00D200C8" w:rsidRDefault="000B7B23" w:rsidP="004F7088">
      <w:pPr>
        <w:ind w:firstLine="709"/>
        <w:jc w:val="both"/>
        <w:rPr>
          <w:sz w:val="28"/>
          <w:szCs w:val="28"/>
        </w:rPr>
      </w:pPr>
      <w:bookmarkStart w:id="75" w:name="_Hlk68011528"/>
      <w:r w:rsidRPr="00D200C8">
        <w:rPr>
          <w:sz w:val="28"/>
          <w:szCs w:val="28"/>
        </w:rPr>
        <w:lastRenderedPageBreak/>
        <w:t xml:space="preserve">Органами управления </w:t>
      </w:r>
      <w:r>
        <w:rPr>
          <w:sz w:val="28"/>
          <w:szCs w:val="28"/>
        </w:rPr>
        <w:t xml:space="preserve">и контроля </w:t>
      </w:r>
      <w:r w:rsidRPr="00D200C8">
        <w:rPr>
          <w:sz w:val="28"/>
          <w:szCs w:val="28"/>
        </w:rPr>
        <w:t>Фонда являются: Совет Фонда, директор Фонда, Попечительский Совет Фонда, Совет по использованию целевого капитала Фонда (в случае формирования Фонда целевого капитала).</w:t>
      </w:r>
    </w:p>
    <w:p w:rsidR="000B7B23" w:rsidRPr="00D200C8" w:rsidRDefault="000B7B23" w:rsidP="004F7088">
      <w:pPr>
        <w:ind w:firstLine="709"/>
        <w:jc w:val="both"/>
        <w:rPr>
          <w:sz w:val="28"/>
          <w:szCs w:val="28"/>
        </w:rPr>
      </w:pPr>
      <w:r w:rsidRPr="00D200C8">
        <w:rPr>
          <w:sz w:val="28"/>
          <w:szCs w:val="28"/>
        </w:rPr>
        <w:t xml:space="preserve">Высшим коллегиальным органом управления Фонда является Совет Фонда, в соответствии с пунктом 7.9. Устава осуществляет следующие полномочия: </w:t>
      </w:r>
    </w:p>
    <w:p w:rsidR="000B7B23" w:rsidRPr="00D200C8" w:rsidRDefault="000B7B23" w:rsidP="004F7088">
      <w:pPr>
        <w:ind w:firstLine="709"/>
        <w:jc w:val="both"/>
        <w:rPr>
          <w:sz w:val="28"/>
          <w:szCs w:val="28"/>
        </w:rPr>
      </w:pPr>
      <w:r w:rsidRPr="00D200C8">
        <w:rPr>
          <w:sz w:val="28"/>
          <w:szCs w:val="28"/>
        </w:rPr>
        <w:t>- определяет приоритетные направления деятельности Фонда, принципы формирования и использования имущества Фонда;</w:t>
      </w:r>
    </w:p>
    <w:p w:rsidR="000B7B23" w:rsidRPr="00D200C8" w:rsidRDefault="000B7B23" w:rsidP="004F7088">
      <w:pPr>
        <w:ind w:firstLine="709"/>
        <w:jc w:val="both"/>
        <w:rPr>
          <w:sz w:val="28"/>
          <w:szCs w:val="28"/>
        </w:rPr>
      </w:pPr>
      <w:r w:rsidRPr="00D200C8">
        <w:rPr>
          <w:sz w:val="28"/>
          <w:szCs w:val="28"/>
        </w:rPr>
        <w:t>- принимает решения о формировании второго и последующих составов Попечительского Совета Фонда, о досрочном прекращении его полномочий;</w:t>
      </w:r>
    </w:p>
    <w:p w:rsidR="000B7B23" w:rsidRPr="00D200C8" w:rsidRDefault="000B7B23" w:rsidP="004F7088">
      <w:pPr>
        <w:ind w:firstLine="709"/>
        <w:jc w:val="both"/>
        <w:rPr>
          <w:sz w:val="28"/>
          <w:szCs w:val="28"/>
        </w:rPr>
      </w:pPr>
      <w:r w:rsidRPr="00D200C8">
        <w:rPr>
          <w:sz w:val="28"/>
          <w:szCs w:val="28"/>
        </w:rPr>
        <w:t>- принимает решение о назначении и досрочном прекращении полномочий директора Фонда, установлении размера вознаграждения директору Фонда;</w:t>
      </w:r>
    </w:p>
    <w:p w:rsidR="000B7B23" w:rsidRPr="00D200C8" w:rsidRDefault="000B7B23" w:rsidP="004F7088">
      <w:pPr>
        <w:ind w:firstLine="709"/>
        <w:jc w:val="both"/>
        <w:rPr>
          <w:sz w:val="28"/>
          <w:szCs w:val="28"/>
        </w:rPr>
      </w:pPr>
      <w:r w:rsidRPr="00D200C8">
        <w:rPr>
          <w:sz w:val="28"/>
          <w:szCs w:val="28"/>
        </w:rPr>
        <w:t>- ежегодно по представлению директором Фонда утверждает годовой отчет и годовую бухгалтерскую (финансовую) отчетность Фонда в составе, предусмотренном Уставом;</w:t>
      </w:r>
    </w:p>
    <w:p w:rsidR="000B7B23" w:rsidRPr="00D200C8" w:rsidRDefault="000B7B23" w:rsidP="004F7088">
      <w:pPr>
        <w:ind w:firstLine="709"/>
        <w:jc w:val="both"/>
        <w:rPr>
          <w:sz w:val="28"/>
          <w:szCs w:val="28"/>
        </w:rPr>
      </w:pPr>
      <w:r w:rsidRPr="00D200C8">
        <w:rPr>
          <w:sz w:val="28"/>
          <w:szCs w:val="28"/>
        </w:rPr>
        <w:t>- ежегодно утверждает представляемую директором Фонда смету доходов и расходов на содержание Фонда, а также вносит в нее изменения.</w:t>
      </w:r>
    </w:p>
    <w:p w:rsidR="000B7B23" w:rsidRPr="00D200C8" w:rsidRDefault="000B7B23" w:rsidP="004F7088">
      <w:pPr>
        <w:ind w:firstLine="709"/>
        <w:jc w:val="both"/>
        <w:rPr>
          <w:sz w:val="28"/>
          <w:szCs w:val="28"/>
        </w:rPr>
      </w:pPr>
      <w:r w:rsidRPr="00D200C8">
        <w:rPr>
          <w:sz w:val="28"/>
          <w:szCs w:val="28"/>
        </w:rPr>
        <w:t>Надзор за деятельностью Фонда, принятием Советом Фонда и директором Фонда решений, и обеспечением их исполнения, осуществляет Попечительский Совет Фонда.</w:t>
      </w:r>
    </w:p>
    <w:p w:rsidR="000B7B23" w:rsidRPr="00D200C8" w:rsidRDefault="000B7B23" w:rsidP="004F7088">
      <w:pPr>
        <w:ind w:firstLine="709"/>
        <w:jc w:val="both"/>
        <w:rPr>
          <w:sz w:val="28"/>
          <w:szCs w:val="28"/>
        </w:rPr>
      </w:pPr>
      <w:r w:rsidRPr="00D200C8">
        <w:rPr>
          <w:sz w:val="28"/>
          <w:szCs w:val="28"/>
        </w:rPr>
        <w:t>В соответствии с требованиями Федерального закона №7-ФЗ и Устава Фонда, приказом учредителя от 15 января 2018 года №6-од утвержден первый состав Совета Фонда и Попечительского Совета Фонда. Решением Совета Фонда от 9 января 2019 года утвержден новый состав Попечительского Совета Фонда. В проверяемом периоде в состав Совета Фонда внесены изменения</w:t>
      </w:r>
      <w:r>
        <w:rPr>
          <w:rStyle w:val="ab"/>
          <w:sz w:val="28"/>
          <w:szCs w:val="28"/>
        </w:rPr>
        <w:footnoteReference w:id="143"/>
      </w:r>
      <w:r>
        <w:rPr>
          <w:sz w:val="28"/>
          <w:szCs w:val="28"/>
        </w:rPr>
        <w:t>.</w:t>
      </w:r>
    </w:p>
    <w:p w:rsidR="000B7B23" w:rsidRPr="00D200C8" w:rsidRDefault="000B7B23" w:rsidP="004F7088">
      <w:pPr>
        <w:ind w:firstLine="709"/>
        <w:jc w:val="both"/>
        <w:rPr>
          <w:sz w:val="28"/>
          <w:szCs w:val="28"/>
        </w:rPr>
      </w:pPr>
      <w:r w:rsidRPr="00D200C8">
        <w:rPr>
          <w:sz w:val="28"/>
          <w:szCs w:val="28"/>
        </w:rPr>
        <w:t>Единоличным исполнительным органом Фонда является директор Фонда, осуществляющий текущее управление деятельностью Фонда, в рамках полномочий, определенных Уставом.</w:t>
      </w:r>
    </w:p>
    <w:bookmarkEnd w:id="75"/>
    <w:p w:rsidR="000B7B23" w:rsidRPr="00D200C8" w:rsidRDefault="000B7B23" w:rsidP="004F7088">
      <w:pPr>
        <w:ind w:firstLine="709"/>
        <w:jc w:val="both"/>
        <w:rPr>
          <w:sz w:val="28"/>
          <w:szCs w:val="28"/>
        </w:rPr>
      </w:pPr>
      <w:r w:rsidRPr="00D200C8">
        <w:rPr>
          <w:sz w:val="28"/>
          <w:szCs w:val="28"/>
        </w:rPr>
        <w:t>В проверяемом периоде, в целях регулирования уставной деятельности Фонда, утверждены следующие локальные нормативные акты:</w:t>
      </w:r>
    </w:p>
    <w:p w:rsidR="000B7B23" w:rsidRPr="00D43B4E" w:rsidRDefault="000B7B23" w:rsidP="004F7088">
      <w:pPr>
        <w:ind w:firstLine="708"/>
        <w:jc w:val="both"/>
      </w:pPr>
      <w:r w:rsidRPr="00D200C8">
        <w:rPr>
          <w:sz w:val="28"/>
          <w:szCs w:val="28"/>
        </w:rPr>
        <w:t>- Учетная политика Фонда</w:t>
      </w:r>
      <w:r>
        <w:rPr>
          <w:rStyle w:val="ab"/>
          <w:sz w:val="28"/>
          <w:szCs w:val="28"/>
        </w:rPr>
        <w:footnoteReference w:id="144"/>
      </w:r>
      <w:r>
        <w:rPr>
          <w:sz w:val="28"/>
          <w:szCs w:val="28"/>
        </w:rPr>
        <w:t>;</w:t>
      </w:r>
    </w:p>
    <w:p w:rsidR="000B7B23" w:rsidRPr="00D200C8" w:rsidRDefault="000B7B23" w:rsidP="004F7088">
      <w:pPr>
        <w:ind w:firstLine="709"/>
        <w:jc w:val="both"/>
        <w:rPr>
          <w:sz w:val="28"/>
          <w:szCs w:val="28"/>
        </w:rPr>
      </w:pPr>
      <w:r w:rsidRPr="00D200C8">
        <w:rPr>
          <w:sz w:val="28"/>
          <w:szCs w:val="28"/>
        </w:rPr>
        <w:t>- Правила внутреннего трудового распорядка Фонда</w:t>
      </w:r>
      <w:r>
        <w:rPr>
          <w:rStyle w:val="ab"/>
          <w:sz w:val="28"/>
          <w:szCs w:val="28"/>
        </w:rPr>
        <w:footnoteReference w:id="145"/>
      </w:r>
      <w:r w:rsidRPr="00D200C8">
        <w:rPr>
          <w:sz w:val="28"/>
          <w:szCs w:val="28"/>
        </w:rPr>
        <w:t>;</w:t>
      </w:r>
    </w:p>
    <w:p w:rsidR="000B7B23" w:rsidRPr="00D200C8" w:rsidRDefault="000B7B23" w:rsidP="004F7088">
      <w:pPr>
        <w:ind w:firstLine="709"/>
        <w:jc w:val="both"/>
        <w:rPr>
          <w:sz w:val="28"/>
          <w:szCs w:val="28"/>
        </w:rPr>
      </w:pPr>
      <w:r w:rsidRPr="00D200C8">
        <w:rPr>
          <w:sz w:val="28"/>
          <w:szCs w:val="28"/>
        </w:rPr>
        <w:t>- Порядок и размеры возмещения расходов работникам аппарата Фонда, связанных со служебными командировками</w:t>
      </w:r>
      <w:r>
        <w:rPr>
          <w:rStyle w:val="ab"/>
          <w:sz w:val="28"/>
          <w:szCs w:val="28"/>
        </w:rPr>
        <w:footnoteReference w:id="146"/>
      </w:r>
      <w:r w:rsidRPr="00D200C8">
        <w:rPr>
          <w:sz w:val="28"/>
          <w:szCs w:val="28"/>
        </w:rPr>
        <w:t>.</w:t>
      </w:r>
    </w:p>
    <w:p w:rsidR="000B7B23" w:rsidRPr="00D200C8" w:rsidRDefault="000B7B23" w:rsidP="004F7088">
      <w:pPr>
        <w:ind w:firstLine="709"/>
        <w:jc w:val="both"/>
        <w:rPr>
          <w:sz w:val="28"/>
          <w:szCs w:val="28"/>
        </w:rPr>
      </w:pPr>
      <w:r w:rsidRPr="00D200C8">
        <w:rPr>
          <w:sz w:val="28"/>
          <w:szCs w:val="28"/>
        </w:rPr>
        <w:t>Штатная численность Фонда утверждена в соответствии с пунктом 8.6. Устава и в проверяемом периоде составляла</w:t>
      </w:r>
      <w:r>
        <w:rPr>
          <w:sz w:val="28"/>
          <w:szCs w:val="28"/>
        </w:rPr>
        <w:t xml:space="preserve"> 5 штатных единиц.</w:t>
      </w:r>
    </w:p>
    <w:p w:rsidR="000B7B23" w:rsidRPr="00D200C8" w:rsidRDefault="000B7B23" w:rsidP="004F7088">
      <w:pPr>
        <w:ind w:firstLine="709"/>
        <w:jc w:val="both"/>
        <w:rPr>
          <w:sz w:val="28"/>
          <w:szCs w:val="28"/>
        </w:rPr>
      </w:pPr>
      <w:r w:rsidRPr="00D200C8">
        <w:rPr>
          <w:sz w:val="28"/>
          <w:szCs w:val="28"/>
        </w:rPr>
        <w:t>Назначение на должность директора Фонда осуществлялось на основании Решений Совета Фонда. Должность директора Фонда в</w:t>
      </w:r>
      <w:r>
        <w:rPr>
          <w:sz w:val="28"/>
          <w:szCs w:val="28"/>
        </w:rPr>
        <w:t xml:space="preserve"> </w:t>
      </w:r>
      <w:r w:rsidRPr="00D200C8">
        <w:rPr>
          <w:sz w:val="28"/>
          <w:szCs w:val="28"/>
        </w:rPr>
        <w:t>2019-2021 годах замещали:</w:t>
      </w:r>
    </w:p>
    <w:p w:rsidR="000B7B23" w:rsidRPr="00D200C8" w:rsidRDefault="000B7B23" w:rsidP="004F7088">
      <w:pPr>
        <w:widowControl w:val="0"/>
        <w:autoSpaceDE w:val="0"/>
        <w:autoSpaceDN w:val="0"/>
        <w:adjustRightInd w:val="0"/>
        <w:ind w:firstLine="708"/>
        <w:jc w:val="both"/>
        <w:rPr>
          <w:sz w:val="28"/>
          <w:szCs w:val="28"/>
        </w:rPr>
      </w:pPr>
      <w:r w:rsidRPr="00D200C8">
        <w:rPr>
          <w:sz w:val="28"/>
          <w:szCs w:val="28"/>
        </w:rPr>
        <w:t>- </w:t>
      </w:r>
      <w:r>
        <w:rPr>
          <w:sz w:val="28"/>
          <w:szCs w:val="28"/>
        </w:rPr>
        <w:t>п</w:t>
      </w:r>
      <w:r w:rsidRPr="00D200C8">
        <w:rPr>
          <w:sz w:val="28"/>
          <w:szCs w:val="28"/>
        </w:rPr>
        <w:t xml:space="preserve">о 16 ноября 2020 года – Ушанов А.Н. (протокол Совета Фонда от         </w:t>
      </w:r>
      <w:r w:rsidRPr="00D200C8">
        <w:rPr>
          <w:sz w:val="28"/>
          <w:szCs w:val="28"/>
        </w:rPr>
        <w:lastRenderedPageBreak/>
        <w:t>27</w:t>
      </w:r>
      <w:r>
        <w:rPr>
          <w:sz w:val="28"/>
          <w:szCs w:val="28"/>
        </w:rPr>
        <w:t>.02.</w:t>
      </w:r>
      <w:r w:rsidRPr="00D200C8">
        <w:rPr>
          <w:sz w:val="28"/>
          <w:szCs w:val="28"/>
        </w:rPr>
        <w:t>2018 г</w:t>
      </w:r>
      <w:r>
        <w:rPr>
          <w:sz w:val="28"/>
          <w:szCs w:val="28"/>
        </w:rPr>
        <w:t>.</w:t>
      </w:r>
      <w:r w:rsidRPr="00D200C8">
        <w:rPr>
          <w:sz w:val="28"/>
          <w:szCs w:val="28"/>
        </w:rPr>
        <w:t xml:space="preserve"> №1; приказ </w:t>
      </w:r>
      <w:r>
        <w:rPr>
          <w:sz w:val="28"/>
          <w:szCs w:val="28"/>
        </w:rPr>
        <w:t xml:space="preserve">Председателя </w:t>
      </w:r>
      <w:r w:rsidRPr="00D200C8">
        <w:rPr>
          <w:sz w:val="28"/>
          <w:szCs w:val="28"/>
        </w:rPr>
        <w:t>Совета Фонда от 22.12.2018 г. №22-к);</w:t>
      </w:r>
    </w:p>
    <w:p w:rsidR="000B7B23" w:rsidRPr="00D200C8" w:rsidRDefault="000B7B23" w:rsidP="004F7088">
      <w:pPr>
        <w:widowControl w:val="0"/>
        <w:autoSpaceDE w:val="0"/>
        <w:autoSpaceDN w:val="0"/>
        <w:adjustRightInd w:val="0"/>
        <w:ind w:firstLine="708"/>
        <w:jc w:val="both"/>
        <w:rPr>
          <w:sz w:val="28"/>
          <w:szCs w:val="28"/>
        </w:rPr>
      </w:pPr>
      <w:r w:rsidRPr="00D200C8">
        <w:rPr>
          <w:sz w:val="28"/>
          <w:szCs w:val="28"/>
        </w:rPr>
        <w:t xml:space="preserve">- с 17 ноября 2020 года – </w:t>
      </w:r>
      <w:proofErr w:type="spellStart"/>
      <w:r w:rsidRPr="00D200C8">
        <w:rPr>
          <w:sz w:val="28"/>
          <w:szCs w:val="28"/>
        </w:rPr>
        <w:t>Бедункевич</w:t>
      </w:r>
      <w:proofErr w:type="spellEnd"/>
      <w:r w:rsidRPr="00D200C8">
        <w:rPr>
          <w:sz w:val="28"/>
          <w:szCs w:val="28"/>
        </w:rPr>
        <w:t xml:space="preserve"> В.Л. (протокол Совета Фонда от 13</w:t>
      </w:r>
      <w:r>
        <w:rPr>
          <w:sz w:val="28"/>
          <w:szCs w:val="28"/>
        </w:rPr>
        <w:t>.11.</w:t>
      </w:r>
      <w:r w:rsidRPr="00D200C8">
        <w:rPr>
          <w:sz w:val="28"/>
          <w:szCs w:val="28"/>
        </w:rPr>
        <w:t>2020 года б/н; приказ Председателя Совета Фонда от 17.11.2020 г. №04-01/16-к).</w:t>
      </w:r>
    </w:p>
    <w:p w:rsidR="000B7B23" w:rsidRPr="00D200C8" w:rsidRDefault="000B7B23" w:rsidP="004F7088">
      <w:pPr>
        <w:ind w:firstLine="709"/>
        <w:jc w:val="both"/>
        <w:rPr>
          <w:sz w:val="28"/>
          <w:szCs w:val="28"/>
        </w:rPr>
      </w:pPr>
      <w:r w:rsidRPr="00D200C8">
        <w:rPr>
          <w:sz w:val="28"/>
          <w:szCs w:val="28"/>
        </w:rPr>
        <w:t xml:space="preserve">Должностной оклад директору Фонда устанавливался в соответствии со штатным расписанием. </w:t>
      </w:r>
    </w:p>
    <w:p w:rsidR="000B7B23" w:rsidRDefault="000B7B23" w:rsidP="004F7088">
      <w:pPr>
        <w:ind w:firstLine="709"/>
        <w:jc w:val="both"/>
        <w:rPr>
          <w:sz w:val="28"/>
          <w:szCs w:val="28"/>
        </w:rPr>
      </w:pPr>
      <w:r w:rsidRPr="00D200C8">
        <w:rPr>
          <w:sz w:val="28"/>
          <w:szCs w:val="28"/>
        </w:rPr>
        <w:t>Трудовые договоры с руководителями Фонда заключались председателем Совета Фонда на основании решений Совета Фонда</w:t>
      </w:r>
      <w:r>
        <w:rPr>
          <w:sz w:val="28"/>
          <w:szCs w:val="28"/>
        </w:rPr>
        <w:t>.</w:t>
      </w:r>
    </w:p>
    <w:p w:rsidR="000B7B23" w:rsidRDefault="000B7B23" w:rsidP="004F7088">
      <w:pPr>
        <w:widowControl w:val="0"/>
        <w:autoSpaceDE w:val="0"/>
        <w:autoSpaceDN w:val="0"/>
        <w:adjustRightInd w:val="0"/>
        <w:ind w:firstLine="708"/>
        <w:jc w:val="both"/>
        <w:rPr>
          <w:sz w:val="28"/>
          <w:szCs w:val="28"/>
        </w:rPr>
      </w:pPr>
      <w:r>
        <w:rPr>
          <w:sz w:val="28"/>
          <w:szCs w:val="28"/>
        </w:rPr>
        <w:t xml:space="preserve">В </w:t>
      </w:r>
      <w:r w:rsidRPr="00FC5410">
        <w:rPr>
          <w:sz w:val="28"/>
          <w:szCs w:val="28"/>
        </w:rPr>
        <w:t xml:space="preserve">проверяемом периоде ведение бухгалтерского учета </w:t>
      </w:r>
      <w:r>
        <w:rPr>
          <w:sz w:val="28"/>
          <w:szCs w:val="28"/>
        </w:rPr>
        <w:t>в Фонде было возложено на</w:t>
      </w:r>
      <w:r w:rsidRPr="00FC5410">
        <w:rPr>
          <w:sz w:val="28"/>
          <w:szCs w:val="28"/>
        </w:rPr>
        <w:t xml:space="preserve"> главн</w:t>
      </w:r>
      <w:r>
        <w:rPr>
          <w:sz w:val="28"/>
          <w:szCs w:val="28"/>
        </w:rPr>
        <w:t>ого</w:t>
      </w:r>
      <w:r w:rsidRPr="00FC5410">
        <w:rPr>
          <w:sz w:val="28"/>
          <w:szCs w:val="28"/>
        </w:rPr>
        <w:t xml:space="preserve"> бухгалтер</w:t>
      </w:r>
      <w:r>
        <w:rPr>
          <w:sz w:val="28"/>
          <w:szCs w:val="28"/>
        </w:rPr>
        <w:t>а</w:t>
      </w:r>
      <w:r w:rsidRPr="00FC5410">
        <w:rPr>
          <w:sz w:val="28"/>
          <w:szCs w:val="28"/>
        </w:rPr>
        <w:t xml:space="preserve"> </w:t>
      </w:r>
      <w:proofErr w:type="spellStart"/>
      <w:r w:rsidRPr="00FC5410">
        <w:rPr>
          <w:sz w:val="28"/>
          <w:szCs w:val="28"/>
        </w:rPr>
        <w:t>Гребцов</w:t>
      </w:r>
      <w:r>
        <w:rPr>
          <w:sz w:val="28"/>
          <w:szCs w:val="28"/>
        </w:rPr>
        <w:t>у</w:t>
      </w:r>
      <w:proofErr w:type="spellEnd"/>
      <w:r w:rsidRPr="00FC5410">
        <w:rPr>
          <w:sz w:val="28"/>
          <w:szCs w:val="28"/>
        </w:rPr>
        <w:t xml:space="preserve"> Н.Н.: с 1 сентября 2018 года – по договору гражданско-правового характера, с 9 января 2019 года</w:t>
      </w:r>
      <w:r>
        <w:rPr>
          <w:sz w:val="28"/>
          <w:szCs w:val="28"/>
        </w:rPr>
        <w:t xml:space="preserve"> </w:t>
      </w:r>
      <w:r w:rsidRPr="00FC5410">
        <w:rPr>
          <w:sz w:val="28"/>
          <w:szCs w:val="28"/>
        </w:rPr>
        <w:t>– на условиях внешнего совместительства</w:t>
      </w:r>
      <w:r>
        <w:rPr>
          <w:sz w:val="28"/>
          <w:szCs w:val="28"/>
        </w:rPr>
        <w:t>. Т</w:t>
      </w:r>
      <w:r w:rsidRPr="00FC5410">
        <w:rPr>
          <w:sz w:val="28"/>
          <w:szCs w:val="28"/>
        </w:rPr>
        <w:t xml:space="preserve">рудовой договор </w:t>
      </w:r>
      <w:r>
        <w:rPr>
          <w:sz w:val="28"/>
          <w:szCs w:val="28"/>
        </w:rPr>
        <w:t xml:space="preserve">с главным бухгалтером </w:t>
      </w:r>
      <w:r w:rsidRPr="00FC5410">
        <w:rPr>
          <w:sz w:val="28"/>
          <w:szCs w:val="28"/>
        </w:rPr>
        <w:t>расторгнут 28 февраля 2022 года</w:t>
      </w:r>
      <w:r>
        <w:rPr>
          <w:sz w:val="28"/>
          <w:szCs w:val="28"/>
        </w:rPr>
        <w:t>.</w:t>
      </w:r>
    </w:p>
    <w:p w:rsidR="000B7B23" w:rsidRDefault="000B7B23" w:rsidP="004F7088">
      <w:pPr>
        <w:autoSpaceDE w:val="0"/>
        <w:autoSpaceDN w:val="0"/>
        <w:adjustRightInd w:val="0"/>
        <w:ind w:firstLine="708"/>
        <w:jc w:val="both"/>
        <w:rPr>
          <w:sz w:val="28"/>
          <w:szCs w:val="28"/>
        </w:rPr>
      </w:pPr>
      <w:r>
        <w:rPr>
          <w:sz w:val="28"/>
          <w:szCs w:val="28"/>
        </w:rPr>
        <w:t xml:space="preserve">В связи с отсутствием регистров бухгалтерского учета, финансовой отчетности, значительного объема первичных учетных документов, подтверждающих факт хозяйственной жизни Фонда в 2019-2021 годах, Счетной палатой осуществлена проверка финансово-хозяйственной деятельности Фонда путем сопоставления отчетов об использовании субсидий с первичными учетными документами, представленными Фондом. </w:t>
      </w:r>
    </w:p>
    <w:p w:rsidR="000B7B23" w:rsidRDefault="000B7B23" w:rsidP="004F7088">
      <w:pPr>
        <w:autoSpaceDE w:val="0"/>
        <w:autoSpaceDN w:val="0"/>
        <w:adjustRightInd w:val="0"/>
        <w:ind w:firstLine="708"/>
        <w:jc w:val="both"/>
        <w:rPr>
          <w:sz w:val="28"/>
          <w:szCs w:val="28"/>
        </w:rPr>
      </w:pPr>
      <w:r w:rsidRPr="00D200C8">
        <w:rPr>
          <w:sz w:val="28"/>
          <w:szCs w:val="28"/>
        </w:rPr>
        <w:t>В ходе контрольного мероприятия установлено следующее.</w:t>
      </w:r>
    </w:p>
    <w:p w:rsidR="000B7B23" w:rsidRPr="00DE48EA" w:rsidRDefault="000B7B23" w:rsidP="004F7088">
      <w:pPr>
        <w:widowControl w:val="0"/>
        <w:autoSpaceDE w:val="0"/>
        <w:autoSpaceDN w:val="0"/>
        <w:adjustRightInd w:val="0"/>
        <w:ind w:firstLine="708"/>
        <w:jc w:val="both"/>
        <w:rPr>
          <w:b/>
          <w:sz w:val="28"/>
          <w:szCs w:val="28"/>
        </w:rPr>
      </w:pPr>
      <w:r w:rsidRPr="00DE48EA">
        <w:rPr>
          <w:b/>
          <w:sz w:val="28"/>
          <w:szCs w:val="28"/>
        </w:rPr>
        <w:t>1. Организация и ведение бухгалтерского учета Фонда</w:t>
      </w:r>
    </w:p>
    <w:p w:rsidR="000B7B23" w:rsidRPr="00202086" w:rsidRDefault="000B7B23" w:rsidP="004F7088">
      <w:pPr>
        <w:widowControl w:val="0"/>
        <w:autoSpaceDE w:val="0"/>
        <w:autoSpaceDN w:val="0"/>
        <w:adjustRightInd w:val="0"/>
        <w:ind w:firstLine="708"/>
        <w:jc w:val="both"/>
        <w:rPr>
          <w:sz w:val="16"/>
          <w:szCs w:val="16"/>
        </w:rPr>
      </w:pPr>
    </w:p>
    <w:p w:rsidR="000B7B23" w:rsidRDefault="000B7B23" w:rsidP="004F7088">
      <w:pPr>
        <w:autoSpaceDE w:val="0"/>
        <w:autoSpaceDN w:val="0"/>
        <w:adjustRightInd w:val="0"/>
        <w:ind w:firstLine="708"/>
        <w:jc w:val="both"/>
        <w:rPr>
          <w:sz w:val="28"/>
          <w:szCs w:val="28"/>
        </w:rPr>
      </w:pPr>
      <w:r>
        <w:rPr>
          <w:sz w:val="28"/>
          <w:szCs w:val="28"/>
        </w:rPr>
        <w:t>В нарушение пункта 1 статьи 7 Закона о бухгалтерском учете</w:t>
      </w:r>
      <w:r>
        <w:rPr>
          <w:rStyle w:val="ab"/>
          <w:sz w:val="28"/>
          <w:szCs w:val="28"/>
        </w:rPr>
        <w:footnoteReference w:id="147"/>
      </w:r>
      <w:r>
        <w:rPr>
          <w:sz w:val="28"/>
          <w:szCs w:val="28"/>
        </w:rPr>
        <w:t xml:space="preserve"> </w:t>
      </w:r>
      <w:r w:rsidRPr="00777B08">
        <w:rPr>
          <w:sz w:val="28"/>
          <w:szCs w:val="28"/>
        </w:rPr>
        <w:t xml:space="preserve">и подпункта 6 пункта 8.6. Устава Фонда, </w:t>
      </w:r>
      <w:r>
        <w:rPr>
          <w:sz w:val="28"/>
          <w:szCs w:val="28"/>
        </w:rPr>
        <w:t>руководителем Фонда не надлежащим образом организовано ведение бухгалтерского учета</w:t>
      </w:r>
      <w:r w:rsidRPr="00271331">
        <w:rPr>
          <w:sz w:val="28"/>
          <w:szCs w:val="28"/>
        </w:rPr>
        <w:t xml:space="preserve"> </w:t>
      </w:r>
      <w:r>
        <w:rPr>
          <w:sz w:val="28"/>
          <w:szCs w:val="28"/>
        </w:rPr>
        <w:t>и хранение документов бухгалтерского учета организации.</w:t>
      </w:r>
    </w:p>
    <w:p w:rsidR="000B7B23" w:rsidRDefault="000B7B23" w:rsidP="004F7088">
      <w:pPr>
        <w:widowControl w:val="0"/>
        <w:autoSpaceDE w:val="0"/>
        <w:autoSpaceDN w:val="0"/>
        <w:adjustRightInd w:val="0"/>
        <w:ind w:firstLine="708"/>
        <w:jc w:val="both"/>
        <w:rPr>
          <w:sz w:val="28"/>
          <w:szCs w:val="28"/>
        </w:rPr>
      </w:pPr>
      <w:r>
        <w:rPr>
          <w:sz w:val="28"/>
          <w:szCs w:val="28"/>
        </w:rPr>
        <w:t>В нарушение статей 10,11 З</w:t>
      </w:r>
      <w:r w:rsidRPr="00D02F22">
        <w:rPr>
          <w:sz w:val="28"/>
          <w:szCs w:val="28"/>
        </w:rPr>
        <w:t>акон</w:t>
      </w:r>
      <w:r>
        <w:rPr>
          <w:sz w:val="28"/>
          <w:szCs w:val="28"/>
        </w:rPr>
        <w:t>а</w:t>
      </w:r>
      <w:r w:rsidRPr="00D02F22">
        <w:rPr>
          <w:sz w:val="28"/>
          <w:szCs w:val="28"/>
        </w:rPr>
        <w:t xml:space="preserve"> </w:t>
      </w:r>
      <w:r>
        <w:rPr>
          <w:sz w:val="28"/>
          <w:szCs w:val="28"/>
        </w:rPr>
        <w:t>о</w:t>
      </w:r>
      <w:r w:rsidRPr="00D02F22">
        <w:rPr>
          <w:sz w:val="28"/>
          <w:szCs w:val="28"/>
        </w:rPr>
        <w:t xml:space="preserve"> бухгалтерском учете</w:t>
      </w:r>
      <w:r>
        <w:rPr>
          <w:sz w:val="28"/>
          <w:szCs w:val="28"/>
        </w:rPr>
        <w:t xml:space="preserve"> в проверяемом периоде главным бухгалтером Фонда не осуществлялась своевременная регистрация и накопление в </w:t>
      </w:r>
      <w:hyperlink r:id="rId24" w:history="1">
        <w:r w:rsidRPr="00B46CD4">
          <w:rPr>
            <w:sz w:val="28"/>
            <w:szCs w:val="28"/>
          </w:rPr>
          <w:t>регистрах</w:t>
        </w:r>
      </w:hyperlink>
      <w:r w:rsidRPr="00B46CD4">
        <w:rPr>
          <w:sz w:val="28"/>
          <w:szCs w:val="28"/>
        </w:rPr>
        <w:t xml:space="preserve"> бухгалтерского учета</w:t>
      </w:r>
      <w:r>
        <w:rPr>
          <w:sz w:val="28"/>
          <w:szCs w:val="28"/>
        </w:rPr>
        <w:t xml:space="preserve"> </w:t>
      </w:r>
      <w:r w:rsidRPr="00B46CD4">
        <w:rPr>
          <w:sz w:val="28"/>
          <w:szCs w:val="28"/>
        </w:rPr>
        <w:t>данны</w:t>
      </w:r>
      <w:r>
        <w:rPr>
          <w:sz w:val="28"/>
          <w:szCs w:val="28"/>
        </w:rPr>
        <w:t>х</w:t>
      </w:r>
      <w:r w:rsidRPr="00B46CD4">
        <w:rPr>
          <w:sz w:val="28"/>
          <w:szCs w:val="28"/>
        </w:rPr>
        <w:t>, содержащи</w:t>
      </w:r>
      <w:r>
        <w:rPr>
          <w:sz w:val="28"/>
          <w:szCs w:val="28"/>
        </w:rPr>
        <w:t>х</w:t>
      </w:r>
      <w:r w:rsidRPr="00B46CD4">
        <w:rPr>
          <w:sz w:val="28"/>
          <w:szCs w:val="28"/>
        </w:rPr>
        <w:t>ся в первичных учетных документах</w:t>
      </w:r>
      <w:r>
        <w:rPr>
          <w:sz w:val="28"/>
          <w:szCs w:val="28"/>
        </w:rPr>
        <w:t xml:space="preserve">, не велся бухгалтерский учет посредством двойной записи на счетах бухгалтерского учета, не осуществлялась инвентаризация активов и обязательств. </w:t>
      </w:r>
    </w:p>
    <w:p w:rsidR="000B7B23" w:rsidRDefault="000B7B23" w:rsidP="004F7088">
      <w:pPr>
        <w:pStyle w:val="ConsPlusNonformat"/>
        <w:ind w:firstLine="708"/>
        <w:jc w:val="both"/>
        <w:rPr>
          <w:rFonts w:ascii="Times New Roman" w:hAnsi="Times New Roman" w:cs="Times New Roman"/>
          <w:color w:val="000000"/>
          <w:sz w:val="28"/>
          <w:szCs w:val="28"/>
        </w:rPr>
      </w:pPr>
      <w:r w:rsidRPr="00D200C8">
        <w:rPr>
          <w:rFonts w:ascii="Times New Roman" w:hAnsi="Times New Roman" w:cs="Times New Roman"/>
          <w:sz w:val="28"/>
          <w:szCs w:val="28"/>
        </w:rPr>
        <w:t xml:space="preserve">В ходе проверки составлен акт </w:t>
      </w:r>
      <w:r w:rsidRPr="00D200C8">
        <w:rPr>
          <w:rFonts w:ascii="Times New Roman" w:hAnsi="Times New Roman" w:cs="Times New Roman"/>
          <w:color w:val="000000"/>
          <w:sz w:val="28"/>
          <w:szCs w:val="28"/>
        </w:rPr>
        <w:t xml:space="preserve">по факту непредставления должностным лицам Счетной палаты Чукотского автономного округа документов и материалов, необходимых для проведения контрольного мероприятия, от </w:t>
      </w:r>
      <w:r>
        <w:rPr>
          <w:rFonts w:ascii="Times New Roman" w:hAnsi="Times New Roman" w:cs="Times New Roman"/>
          <w:color w:val="000000"/>
          <w:sz w:val="28"/>
          <w:szCs w:val="28"/>
        </w:rPr>
        <w:t xml:space="preserve">            </w:t>
      </w:r>
      <w:r w:rsidRPr="00D200C8">
        <w:rPr>
          <w:rFonts w:ascii="Times New Roman" w:hAnsi="Times New Roman" w:cs="Times New Roman"/>
          <w:color w:val="000000"/>
          <w:sz w:val="28"/>
          <w:szCs w:val="28"/>
        </w:rPr>
        <w:t>26 апреля 2022 года</w:t>
      </w:r>
      <w:r>
        <w:rPr>
          <w:rStyle w:val="ab"/>
          <w:rFonts w:ascii="Times New Roman" w:hAnsi="Times New Roman" w:cs="Times New Roman"/>
          <w:color w:val="000000"/>
          <w:sz w:val="28"/>
          <w:szCs w:val="28"/>
        </w:rPr>
        <w:footnoteReference w:id="148"/>
      </w:r>
      <w:r w:rsidRPr="00D200C8">
        <w:rPr>
          <w:rFonts w:ascii="Times New Roman" w:hAnsi="Times New Roman" w:cs="Times New Roman"/>
          <w:color w:val="000000"/>
          <w:sz w:val="28"/>
          <w:szCs w:val="28"/>
        </w:rPr>
        <w:t>.</w:t>
      </w:r>
    </w:p>
    <w:p w:rsidR="000B7B23" w:rsidRDefault="000B7B23" w:rsidP="004F7088">
      <w:pPr>
        <w:autoSpaceDE w:val="0"/>
        <w:autoSpaceDN w:val="0"/>
        <w:adjustRightInd w:val="0"/>
        <w:ind w:firstLine="708"/>
        <w:jc w:val="both"/>
        <w:rPr>
          <w:sz w:val="28"/>
          <w:szCs w:val="28"/>
        </w:rPr>
      </w:pPr>
      <w:r>
        <w:rPr>
          <w:sz w:val="28"/>
          <w:szCs w:val="28"/>
        </w:rPr>
        <w:t>Таким образом, главным бухгалтером Фонда не выполнены обязанности ведения бухгалтерского учета, установленные статьей 6 Закона о бухгалтерском учете и трудовым договором.</w:t>
      </w:r>
    </w:p>
    <w:p w:rsidR="000B7B23" w:rsidRDefault="000B7B23" w:rsidP="004F7088">
      <w:pPr>
        <w:autoSpaceDE w:val="0"/>
        <w:autoSpaceDN w:val="0"/>
        <w:adjustRightInd w:val="0"/>
        <w:ind w:firstLine="708"/>
        <w:jc w:val="both"/>
        <w:rPr>
          <w:sz w:val="28"/>
          <w:szCs w:val="28"/>
        </w:rPr>
      </w:pPr>
      <w:r w:rsidRPr="00271331">
        <w:rPr>
          <w:sz w:val="28"/>
          <w:szCs w:val="28"/>
        </w:rPr>
        <w:t>Фондом не представлена проверке отчетность за 2019-2021 годы в составе, определенном пунктом 4.9. Устава, утвержденная Советом Фонда</w:t>
      </w:r>
      <w:r>
        <w:rPr>
          <w:sz w:val="28"/>
          <w:szCs w:val="28"/>
        </w:rPr>
        <w:t>.</w:t>
      </w:r>
    </w:p>
    <w:p w:rsidR="000B7B23" w:rsidRDefault="000B7B23" w:rsidP="004F7088">
      <w:pPr>
        <w:autoSpaceDE w:val="0"/>
        <w:autoSpaceDN w:val="0"/>
        <w:adjustRightInd w:val="0"/>
        <w:ind w:firstLine="708"/>
        <w:jc w:val="both"/>
        <w:rPr>
          <w:sz w:val="28"/>
          <w:szCs w:val="28"/>
          <w:highlight w:val="cyan"/>
        </w:rPr>
      </w:pPr>
      <w:bookmarkStart w:id="77" w:name="_Hlk101425576"/>
      <w:r w:rsidRPr="00EB7657">
        <w:rPr>
          <w:sz w:val="28"/>
          <w:szCs w:val="28"/>
        </w:rPr>
        <w:lastRenderedPageBreak/>
        <w:t xml:space="preserve">В проверяемом периоде главным бухгалтером Фонда составлялась упрощенная бухгалтерская (финансовая) отчетность. В то же время, Учетной политикой Фонда не предусмотрены упрощенные способы ведения бухгалтерского учета, включая упрощенную бухгалтерскую отчетность. Кроме того, вышеуказанная отчетность не дает достоверное представление о финансовом результате деятельности Фонда и движении денежных средств за отчетный период, так как составлена </w:t>
      </w:r>
      <w:r>
        <w:rPr>
          <w:sz w:val="28"/>
          <w:szCs w:val="28"/>
        </w:rPr>
        <w:t xml:space="preserve">в нарушение требований </w:t>
      </w:r>
      <w:r w:rsidRPr="00EB7657">
        <w:rPr>
          <w:sz w:val="28"/>
          <w:szCs w:val="28"/>
        </w:rPr>
        <w:t>пункт</w:t>
      </w:r>
      <w:r>
        <w:rPr>
          <w:sz w:val="28"/>
          <w:szCs w:val="28"/>
        </w:rPr>
        <w:t>а</w:t>
      </w:r>
      <w:r w:rsidRPr="00EB7657">
        <w:rPr>
          <w:sz w:val="28"/>
          <w:szCs w:val="28"/>
        </w:rPr>
        <w:t xml:space="preserve"> 1 статьи 13 Закона о бухгалтерском учете</w:t>
      </w:r>
      <w:r>
        <w:rPr>
          <w:sz w:val="28"/>
          <w:szCs w:val="28"/>
        </w:rPr>
        <w:t>,</w:t>
      </w:r>
      <w:r w:rsidRPr="00EB7657">
        <w:rPr>
          <w:sz w:val="28"/>
          <w:szCs w:val="28"/>
        </w:rPr>
        <w:t xml:space="preserve"> в отсутствии основных регистров бухгалтерского учета: Журналов-ордеров, Главной книги</w:t>
      </w:r>
      <w:r>
        <w:rPr>
          <w:sz w:val="28"/>
          <w:szCs w:val="28"/>
        </w:rPr>
        <w:t>.</w:t>
      </w:r>
    </w:p>
    <w:bookmarkEnd w:id="77"/>
    <w:p w:rsidR="000B7B23" w:rsidRDefault="000B7B23" w:rsidP="004F7088">
      <w:pPr>
        <w:ind w:firstLine="708"/>
        <w:jc w:val="both"/>
        <w:rPr>
          <w:sz w:val="28"/>
          <w:szCs w:val="28"/>
        </w:rPr>
      </w:pPr>
      <w:r w:rsidRPr="00EB7657">
        <w:rPr>
          <w:color w:val="000000"/>
          <w:sz w:val="28"/>
          <w:szCs w:val="28"/>
        </w:rPr>
        <w:t>В нарушение пункта 2 статьи 7</w:t>
      </w:r>
      <w:r w:rsidRPr="00EB7657">
        <w:rPr>
          <w:sz w:val="28"/>
          <w:szCs w:val="28"/>
        </w:rPr>
        <w:t xml:space="preserve"> Федерального закона №7-ФЗ, отчеты об использовании своего имущества</w:t>
      </w:r>
      <w:r w:rsidRPr="00EB7657">
        <w:rPr>
          <w:color w:val="000000"/>
          <w:sz w:val="28"/>
          <w:szCs w:val="28"/>
        </w:rPr>
        <w:t xml:space="preserve"> </w:t>
      </w:r>
      <w:r w:rsidRPr="00EB7657">
        <w:rPr>
          <w:sz w:val="28"/>
          <w:szCs w:val="28"/>
        </w:rPr>
        <w:t>за 2019-2021 годы</w:t>
      </w:r>
      <w:r w:rsidRPr="00EB7657">
        <w:rPr>
          <w:color w:val="000000"/>
          <w:sz w:val="28"/>
          <w:szCs w:val="28"/>
        </w:rPr>
        <w:t xml:space="preserve"> Фондом не публиковались</w:t>
      </w:r>
      <w:r w:rsidRPr="00EB7657">
        <w:rPr>
          <w:sz w:val="28"/>
          <w:szCs w:val="28"/>
        </w:rPr>
        <w:t>.</w:t>
      </w:r>
    </w:p>
    <w:p w:rsidR="000B7B23" w:rsidRPr="00D200C8" w:rsidRDefault="000B7B23" w:rsidP="004F7088">
      <w:pPr>
        <w:pStyle w:val="ConsPlusNonformat"/>
        <w:ind w:firstLine="709"/>
        <w:jc w:val="both"/>
        <w:rPr>
          <w:rFonts w:ascii="Times New Roman" w:hAnsi="Times New Roman" w:cs="Times New Roman"/>
          <w:sz w:val="16"/>
          <w:szCs w:val="16"/>
        </w:rPr>
      </w:pPr>
    </w:p>
    <w:p w:rsidR="000B7B23" w:rsidRDefault="000B7B23" w:rsidP="004F7088">
      <w:pPr>
        <w:pStyle w:val="ConsPlusNonformat"/>
        <w:ind w:firstLine="708"/>
        <w:jc w:val="both"/>
        <w:rPr>
          <w:rFonts w:ascii="Times New Roman" w:hAnsi="Times New Roman" w:cs="Times New Roman"/>
          <w:b/>
          <w:sz w:val="28"/>
          <w:szCs w:val="28"/>
        </w:rPr>
      </w:pPr>
      <w:r>
        <w:rPr>
          <w:rFonts w:ascii="Times New Roman" w:hAnsi="Times New Roman" w:cs="Times New Roman"/>
          <w:b/>
          <w:sz w:val="28"/>
          <w:szCs w:val="28"/>
        </w:rPr>
        <w:t>2</w:t>
      </w:r>
      <w:r w:rsidRPr="00D200C8">
        <w:rPr>
          <w:rFonts w:ascii="Times New Roman" w:hAnsi="Times New Roman" w:cs="Times New Roman"/>
          <w:b/>
          <w:sz w:val="28"/>
          <w:szCs w:val="28"/>
        </w:rPr>
        <w:t>. </w:t>
      </w:r>
      <w:r>
        <w:rPr>
          <w:rFonts w:ascii="Times New Roman" w:hAnsi="Times New Roman" w:cs="Times New Roman"/>
          <w:b/>
          <w:sz w:val="28"/>
          <w:szCs w:val="28"/>
        </w:rPr>
        <w:t>Использование средств, предоставленных Фонду на финансовое обеспечение финансово-хозяйственной деятельности Фонда</w:t>
      </w:r>
    </w:p>
    <w:p w:rsidR="000B7B23" w:rsidRDefault="000B7B23" w:rsidP="004F7088">
      <w:pPr>
        <w:pStyle w:val="ConsPlusNonformat"/>
        <w:spacing w:before="120"/>
        <w:ind w:firstLine="709"/>
        <w:jc w:val="both"/>
        <w:rPr>
          <w:rFonts w:ascii="Times New Roman" w:hAnsi="Times New Roman"/>
          <w:sz w:val="28"/>
          <w:szCs w:val="28"/>
        </w:rPr>
      </w:pPr>
      <w:r>
        <w:rPr>
          <w:rFonts w:ascii="Times New Roman" w:hAnsi="Times New Roman"/>
          <w:sz w:val="28"/>
          <w:szCs w:val="28"/>
        </w:rPr>
        <w:t>В 2019 – 2021 годах ф</w:t>
      </w:r>
      <w:r w:rsidRPr="00D200C8">
        <w:rPr>
          <w:rFonts w:ascii="Times New Roman" w:hAnsi="Times New Roman"/>
          <w:sz w:val="28"/>
          <w:szCs w:val="28"/>
        </w:rPr>
        <w:t>инансово-хозяйственная деятельность Фонда осуществлялась за счет бюджетных средств</w:t>
      </w:r>
      <w:r>
        <w:rPr>
          <w:rFonts w:ascii="Times New Roman" w:hAnsi="Times New Roman"/>
          <w:sz w:val="28"/>
          <w:szCs w:val="28"/>
        </w:rPr>
        <w:t xml:space="preserve"> </w:t>
      </w:r>
      <w:r w:rsidRPr="00403AF4">
        <w:rPr>
          <w:rFonts w:ascii="Times New Roman" w:hAnsi="Times New Roman" w:cs="Times New Roman"/>
          <w:sz w:val="28"/>
          <w:szCs w:val="28"/>
        </w:rPr>
        <w:t xml:space="preserve">и </w:t>
      </w:r>
      <w:r w:rsidRPr="00E25404">
        <w:rPr>
          <w:rFonts w:ascii="Times New Roman" w:hAnsi="Times New Roman"/>
          <w:sz w:val="28"/>
          <w:szCs w:val="28"/>
        </w:rPr>
        <w:t>денежно</w:t>
      </w:r>
      <w:r>
        <w:rPr>
          <w:rFonts w:ascii="Times New Roman" w:hAnsi="Times New Roman"/>
          <w:sz w:val="28"/>
          <w:szCs w:val="28"/>
        </w:rPr>
        <w:t>го</w:t>
      </w:r>
      <w:r w:rsidRPr="00E25404">
        <w:rPr>
          <w:rFonts w:ascii="Times New Roman" w:hAnsi="Times New Roman"/>
          <w:sz w:val="28"/>
          <w:szCs w:val="28"/>
        </w:rPr>
        <w:t xml:space="preserve"> обеспечени</w:t>
      </w:r>
      <w:r>
        <w:rPr>
          <w:rFonts w:ascii="Times New Roman" w:hAnsi="Times New Roman"/>
          <w:sz w:val="28"/>
          <w:szCs w:val="28"/>
        </w:rPr>
        <w:t>я</w:t>
      </w:r>
      <w:r w:rsidRPr="00E25404">
        <w:rPr>
          <w:rFonts w:ascii="Times New Roman" w:hAnsi="Times New Roman"/>
          <w:sz w:val="28"/>
          <w:szCs w:val="28"/>
        </w:rPr>
        <w:t>, предоставленно</w:t>
      </w:r>
      <w:r>
        <w:rPr>
          <w:rFonts w:ascii="Times New Roman" w:hAnsi="Times New Roman"/>
          <w:sz w:val="28"/>
          <w:szCs w:val="28"/>
        </w:rPr>
        <w:t>го</w:t>
      </w:r>
      <w:r w:rsidRPr="00E25404">
        <w:rPr>
          <w:rFonts w:ascii="Times New Roman" w:hAnsi="Times New Roman"/>
          <w:sz w:val="28"/>
          <w:szCs w:val="28"/>
        </w:rPr>
        <w:t xml:space="preserve"> </w:t>
      </w:r>
      <w:r w:rsidRPr="00403AF4">
        <w:rPr>
          <w:rFonts w:ascii="Times New Roman" w:hAnsi="Times New Roman"/>
          <w:sz w:val="28"/>
          <w:szCs w:val="28"/>
        </w:rPr>
        <w:t>Некоммерческой организацией «Фонд развития экономики и прямых инвестиций Чукотского автономного округа»</w:t>
      </w:r>
      <w:r>
        <w:rPr>
          <w:rFonts w:ascii="Times New Roman" w:hAnsi="Times New Roman"/>
          <w:sz w:val="28"/>
          <w:szCs w:val="28"/>
        </w:rPr>
        <w:t xml:space="preserve"> </w:t>
      </w:r>
      <w:r w:rsidRPr="00E25404">
        <w:rPr>
          <w:rFonts w:ascii="Times New Roman" w:hAnsi="Times New Roman"/>
          <w:sz w:val="28"/>
          <w:szCs w:val="28"/>
        </w:rPr>
        <w:t>в целях оказания поддержки субъектам малого и среднего предпринимательства округа</w:t>
      </w:r>
      <w:r>
        <w:rPr>
          <w:rFonts w:ascii="Times New Roman" w:hAnsi="Times New Roman"/>
          <w:sz w:val="28"/>
          <w:szCs w:val="28"/>
        </w:rPr>
        <w:t xml:space="preserve">. </w:t>
      </w:r>
    </w:p>
    <w:p w:rsidR="000B7B23" w:rsidRDefault="000B7B23" w:rsidP="004F7088">
      <w:pPr>
        <w:pStyle w:val="ConsPlusNonformat"/>
        <w:ind w:firstLine="708"/>
        <w:jc w:val="both"/>
        <w:rPr>
          <w:rFonts w:ascii="Times New Roman" w:hAnsi="Times New Roman"/>
          <w:sz w:val="28"/>
          <w:szCs w:val="28"/>
        </w:rPr>
      </w:pPr>
      <w:r>
        <w:rPr>
          <w:rFonts w:ascii="Times New Roman" w:hAnsi="Times New Roman"/>
          <w:sz w:val="28"/>
          <w:szCs w:val="28"/>
        </w:rPr>
        <w:t>Информация об источниках финансирования деятельности Фонда, поступлении и использовании Фондом финансовых ресурсов отражена в таблице №1</w:t>
      </w:r>
    </w:p>
    <w:p w:rsidR="000B7B23" w:rsidRPr="00D200C8" w:rsidRDefault="000B7B23" w:rsidP="004F7088">
      <w:pPr>
        <w:autoSpaceDE w:val="0"/>
        <w:autoSpaceDN w:val="0"/>
        <w:adjustRightInd w:val="0"/>
        <w:ind w:firstLine="708"/>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200C8">
        <w:rPr>
          <w:sz w:val="28"/>
          <w:szCs w:val="28"/>
        </w:rPr>
        <w:t>Таблица 1</w:t>
      </w:r>
    </w:p>
    <w:p w:rsidR="000B7B23" w:rsidRPr="00D200C8" w:rsidRDefault="000B7B23" w:rsidP="004F7088">
      <w:pPr>
        <w:autoSpaceDE w:val="0"/>
        <w:autoSpaceDN w:val="0"/>
        <w:adjustRightInd w:val="0"/>
        <w:ind w:firstLine="708"/>
        <w:jc w:val="right"/>
        <w:rPr>
          <w:sz w:val="28"/>
          <w:szCs w:val="28"/>
        </w:rPr>
      </w:pPr>
      <w:r w:rsidRPr="00D200C8">
        <w:rPr>
          <w:sz w:val="28"/>
          <w:szCs w:val="28"/>
        </w:rPr>
        <w:t>(тыс. рублей)</w:t>
      </w:r>
    </w:p>
    <w:tbl>
      <w:tblPr>
        <w:tblW w:w="9733" w:type="dxa"/>
        <w:jc w:val="center"/>
        <w:tblLook w:val="04A0" w:firstRow="1" w:lastRow="0" w:firstColumn="1" w:lastColumn="0" w:noHBand="0" w:noVBand="1"/>
      </w:tblPr>
      <w:tblGrid>
        <w:gridCol w:w="2689"/>
        <w:gridCol w:w="850"/>
        <w:gridCol w:w="906"/>
        <w:gridCol w:w="829"/>
        <w:gridCol w:w="794"/>
        <w:gridCol w:w="848"/>
        <w:gridCol w:w="849"/>
        <w:gridCol w:w="666"/>
        <w:gridCol w:w="635"/>
        <w:gridCol w:w="667"/>
      </w:tblGrid>
      <w:tr w:rsidR="000B7B23" w:rsidRPr="00F03897" w:rsidTr="00F03897">
        <w:trPr>
          <w:trHeight w:val="453"/>
          <w:tblHeader/>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7B23" w:rsidRPr="00F03897" w:rsidRDefault="000B7B23" w:rsidP="004F7088">
            <w:pPr>
              <w:jc w:val="center"/>
              <w:rPr>
                <w:color w:val="000000"/>
                <w:sz w:val="20"/>
                <w:szCs w:val="20"/>
              </w:rPr>
            </w:pPr>
            <w:r w:rsidRPr="00F03897">
              <w:rPr>
                <w:color w:val="000000"/>
                <w:sz w:val="20"/>
                <w:szCs w:val="20"/>
              </w:rPr>
              <w:t xml:space="preserve">Наименование </w:t>
            </w:r>
          </w:p>
        </w:tc>
        <w:tc>
          <w:tcPr>
            <w:tcW w:w="2585" w:type="dxa"/>
            <w:gridSpan w:val="3"/>
            <w:tcBorders>
              <w:top w:val="single" w:sz="4" w:space="0" w:color="auto"/>
              <w:left w:val="nil"/>
              <w:bottom w:val="single" w:sz="4" w:space="0" w:color="auto"/>
              <w:right w:val="single" w:sz="4" w:space="0" w:color="auto"/>
            </w:tcBorders>
            <w:shd w:val="clear" w:color="auto" w:fill="auto"/>
            <w:hideMark/>
          </w:tcPr>
          <w:p w:rsidR="000B7B23" w:rsidRPr="00F03897" w:rsidRDefault="000B7B23" w:rsidP="004F7088">
            <w:pPr>
              <w:jc w:val="center"/>
              <w:rPr>
                <w:color w:val="000000"/>
                <w:sz w:val="20"/>
                <w:szCs w:val="20"/>
              </w:rPr>
            </w:pPr>
            <w:r w:rsidRPr="00F03897">
              <w:rPr>
                <w:color w:val="000000"/>
                <w:sz w:val="20"/>
                <w:szCs w:val="20"/>
              </w:rPr>
              <w:t>Финансирование</w:t>
            </w:r>
          </w:p>
        </w:tc>
        <w:tc>
          <w:tcPr>
            <w:tcW w:w="2491" w:type="dxa"/>
            <w:gridSpan w:val="3"/>
            <w:tcBorders>
              <w:top w:val="single" w:sz="4" w:space="0" w:color="auto"/>
              <w:left w:val="nil"/>
              <w:bottom w:val="single" w:sz="4" w:space="0" w:color="auto"/>
              <w:right w:val="single" w:sz="4" w:space="0" w:color="auto"/>
            </w:tcBorders>
            <w:shd w:val="clear" w:color="auto" w:fill="auto"/>
            <w:hideMark/>
          </w:tcPr>
          <w:p w:rsidR="000B7B23" w:rsidRPr="00F03897" w:rsidRDefault="000B7B23" w:rsidP="004F7088">
            <w:pPr>
              <w:ind w:left="-105" w:right="-107"/>
              <w:jc w:val="center"/>
              <w:rPr>
                <w:color w:val="000000"/>
                <w:sz w:val="20"/>
                <w:szCs w:val="20"/>
              </w:rPr>
            </w:pPr>
            <w:r w:rsidRPr="00F03897">
              <w:rPr>
                <w:color w:val="000000"/>
                <w:sz w:val="20"/>
                <w:szCs w:val="20"/>
              </w:rPr>
              <w:t>Использование (данные отчетов об использовании средств)</w:t>
            </w:r>
          </w:p>
        </w:tc>
        <w:tc>
          <w:tcPr>
            <w:tcW w:w="1968" w:type="dxa"/>
            <w:gridSpan w:val="3"/>
            <w:tcBorders>
              <w:top w:val="single" w:sz="4" w:space="0" w:color="auto"/>
              <w:left w:val="single" w:sz="4" w:space="0" w:color="auto"/>
              <w:bottom w:val="single" w:sz="4" w:space="0" w:color="auto"/>
              <w:right w:val="single" w:sz="4" w:space="0" w:color="auto"/>
            </w:tcBorders>
            <w:shd w:val="clear" w:color="auto" w:fill="auto"/>
            <w:hideMark/>
          </w:tcPr>
          <w:p w:rsidR="000B7B23" w:rsidRPr="00F03897" w:rsidRDefault="000B7B23" w:rsidP="004F7088">
            <w:pPr>
              <w:jc w:val="center"/>
              <w:rPr>
                <w:color w:val="000000"/>
                <w:sz w:val="20"/>
                <w:szCs w:val="20"/>
              </w:rPr>
            </w:pPr>
            <w:r w:rsidRPr="00F03897">
              <w:rPr>
                <w:color w:val="000000"/>
                <w:sz w:val="20"/>
                <w:szCs w:val="20"/>
              </w:rPr>
              <w:t>Исполнение, %</w:t>
            </w:r>
          </w:p>
        </w:tc>
      </w:tr>
      <w:tr w:rsidR="000B7B23" w:rsidRPr="00F03897" w:rsidTr="00F03897">
        <w:trPr>
          <w:trHeight w:val="44"/>
          <w:tblHeader/>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0B7B23" w:rsidRPr="00F03897" w:rsidRDefault="000B7B23" w:rsidP="004F7088">
            <w:pPr>
              <w:rPr>
                <w:color w:val="000000"/>
                <w:sz w:val="20"/>
                <w:szCs w:val="20"/>
              </w:rPr>
            </w:pPr>
          </w:p>
        </w:tc>
        <w:tc>
          <w:tcPr>
            <w:tcW w:w="850" w:type="dxa"/>
            <w:tcBorders>
              <w:top w:val="nil"/>
              <w:left w:val="nil"/>
              <w:bottom w:val="single" w:sz="4" w:space="0" w:color="auto"/>
              <w:right w:val="single" w:sz="4" w:space="0" w:color="auto"/>
            </w:tcBorders>
            <w:shd w:val="clear" w:color="auto" w:fill="auto"/>
            <w:hideMark/>
          </w:tcPr>
          <w:p w:rsidR="000B7B23" w:rsidRPr="00F03897" w:rsidRDefault="000B7B23" w:rsidP="00F03897">
            <w:pPr>
              <w:ind w:left="-103" w:right="-64"/>
              <w:jc w:val="center"/>
              <w:rPr>
                <w:color w:val="000000"/>
                <w:sz w:val="20"/>
                <w:szCs w:val="20"/>
              </w:rPr>
            </w:pPr>
            <w:r w:rsidRPr="00F03897">
              <w:rPr>
                <w:color w:val="000000"/>
                <w:sz w:val="20"/>
                <w:szCs w:val="20"/>
              </w:rPr>
              <w:t>2019</w:t>
            </w:r>
          </w:p>
        </w:tc>
        <w:tc>
          <w:tcPr>
            <w:tcW w:w="906" w:type="dxa"/>
            <w:tcBorders>
              <w:top w:val="nil"/>
              <w:left w:val="nil"/>
              <w:bottom w:val="single" w:sz="4" w:space="0" w:color="auto"/>
              <w:right w:val="single" w:sz="4" w:space="0" w:color="auto"/>
            </w:tcBorders>
            <w:shd w:val="clear" w:color="auto" w:fill="auto"/>
            <w:hideMark/>
          </w:tcPr>
          <w:p w:rsidR="000B7B23" w:rsidRPr="00F03897" w:rsidRDefault="000B7B23" w:rsidP="004F7088">
            <w:pPr>
              <w:jc w:val="center"/>
              <w:rPr>
                <w:color w:val="000000"/>
                <w:sz w:val="20"/>
                <w:szCs w:val="20"/>
              </w:rPr>
            </w:pPr>
            <w:r w:rsidRPr="00F03897">
              <w:rPr>
                <w:color w:val="000000"/>
                <w:sz w:val="20"/>
                <w:szCs w:val="20"/>
              </w:rPr>
              <w:t>2020</w:t>
            </w:r>
          </w:p>
        </w:tc>
        <w:tc>
          <w:tcPr>
            <w:tcW w:w="829" w:type="dxa"/>
            <w:tcBorders>
              <w:top w:val="nil"/>
              <w:left w:val="nil"/>
              <w:bottom w:val="single" w:sz="4" w:space="0" w:color="auto"/>
              <w:right w:val="single" w:sz="4" w:space="0" w:color="auto"/>
            </w:tcBorders>
            <w:shd w:val="clear" w:color="auto" w:fill="auto"/>
            <w:hideMark/>
          </w:tcPr>
          <w:p w:rsidR="000B7B23" w:rsidRPr="00F03897" w:rsidRDefault="000B7B23" w:rsidP="00F03897">
            <w:pPr>
              <w:ind w:left="-87" w:right="-52"/>
              <w:jc w:val="center"/>
              <w:rPr>
                <w:color w:val="000000"/>
                <w:sz w:val="20"/>
                <w:szCs w:val="20"/>
              </w:rPr>
            </w:pPr>
            <w:r w:rsidRPr="00F03897">
              <w:rPr>
                <w:color w:val="000000"/>
                <w:sz w:val="20"/>
                <w:szCs w:val="20"/>
              </w:rPr>
              <w:t>2021</w:t>
            </w:r>
          </w:p>
        </w:tc>
        <w:tc>
          <w:tcPr>
            <w:tcW w:w="794" w:type="dxa"/>
            <w:tcBorders>
              <w:top w:val="nil"/>
              <w:left w:val="nil"/>
              <w:bottom w:val="single" w:sz="4" w:space="0" w:color="auto"/>
              <w:right w:val="single" w:sz="4" w:space="0" w:color="auto"/>
            </w:tcBorders>
            <w:shd w:val="clear" w:color="auto" w:fill="auto"/>
            <w:hideMark/>
          </w:tcPr>
          <w:p w:rsidR="000B7B23" w:rsidRPr="00F03897" w:rsidRDefault="000B7B23" w:rsidP="00F03897">
            <w:pPr>
              <w:ind w:left="-161" w:right="-121"/>
              <w:jc w:val="center"/>
              <w:rPr>
                <w:color w:val="000000"/>
                <w:sz w:val="20"/>
                <w:szCs w:val="20"/>
              </w:rPr>
            </w:pPr>
            <w:r w:rsidRPr="00F03897">
              <w:rPr>
                <w:color w:val="000000"/>
                <w:sz w:val="20"/>
                <w:szCs w:val="20"/>
              </w:rPr>
              <w:t>2019</w:t>
            </w:r>
          </w:p>
        </w:tc>
        <w:tc>
          <w:tcPr>
            <w:tcW w:w="848" w:type="dxa"/>
            <w:tcBorders>
              <w:top w:val="nil"/>
              <w:left w:val="nil"/>
              <w:bottom w:val="single" w:sz="4" w:space="0" w:color="auto"/>
              <w:right w:val="nil"/>
            </w:tcBorders>
            <w:shd w:val="clear" w:color="auto" w:fill="auto"/>
            <w:hideMark/>
          </w:tcPr>
          <w:p w:rsidR="000B7B23" w:rsidRPr="00F03897" w:rsidRDefault="000B7B23" w:rsidP="00F03897">
            <w:pPr>
              <w:ind w:left="-105" w:right="-43"/>
              <w:jc w:val="center"/>
              <w:rPr>
                <w:color w:val="000000"/>
                <w:sz w:val="20"/>
                <w:szCs w:val="20"/>
              </w:rPr>
            </w:pPr>
            <w:r w:rsidRPr="00F03897">
              <w:rPr>
                <w:color w:val="000000"/>
                <w:sz w:val="20"/>
                <w:szCs w:val="20"/>
              </w:rPr>
              <w:t>2020</w:t>
            </w:r>
          </w:p>
        </w:tc>
        <w:tc>
          <w:tcPr>
            <w:tcW w:w="849" w:type="dxa"/>
            <w:tcBorders>
              <w:top w:val="nil"/>
              <w:left w:val="single" w:sz="4" w:space="0" w:color="auto"/>
              <w:bottom w:val="single" w:sz="4" w:space="0" w:color="auto"/>
              <w:right w:val="nil"/>
            </w:tcBorders>
            <w:shd w:val="clear" w:color="auto" w:fill="auto"/>
            <w:hideMark/>
          </w:tcPr>
          <w:p w:rsidR="000B7B23" w:rsidRPr="00F03897" w:rsidRDefault="000B7B23" w:rsidP="00F03897">
            <w:pPr>
              <w:ind w:left="-115" w:right="-46"/>
              <w:jc w:val="center"/>
              <w:rPr>
                <w:color w:val="000000"/>
                <w:sz w:val="20"/>
                <w:szCs w:val="20"/>
              </w:rPr>
            </w:pPr>
            <w:r w:rsidRPr="00F03897">
              <w:rPr>
                <w:color w:val="000000"/>
                <w:sz w:val="20"/>
                <w:szCs w:val="20"/>
              </w:rPr>
              <w:t>2021</w:t>
            </w:r>
          </w:p>
        </w:tc>
        <w:tc>
          <w:tcPr>
            <w:tcW w:w="666" w:type="dxa"/>
            <w:tcBorders>
              <w:top w:val="nil"/>
              <w:left w:val="single" w:sz="4" w:space="0" w:color="auto"/>
              <w:bottom w:val="single" w:sz="4" w:space="0" w:color="auto"/>
              <w:right w:val="single" w:sz="4" w:space="0" w:color="auto"/>
            </w:tcBorders>
            <w:shd w:val="clear" w:color="auto" w:fill="auto"/>
            <w:hideMark/>
          </w:tcPr>
          <w:p w:rsidR="000B7B23" w:rsidRPr="00F03897" w:rsidRDefault="000B7B23" w:rsidP="004F7088">
            <w:pPr>
              <w:jc w:val="center"/>
              <w:rPr>
                <w:color w:val="000000"/>
                <w:sz w:val="20"/>
                <w:szCs w:val="20"/>
              </w:rPr>
            </w:pPr>
            <w:r w:rsidRPr="00F03897">
              <w:rPr>
                <w:color w:val="000000"/>
                <w:sz w:val="20"/>
                <w:szCs w:val="20"/>
              </w:rPr>
              <w:t>2019</w:t>
            </w:r>
          </w:p>
        </w:tc>
        <w:tc>
          <w:tcPr>
            <w:tcW w:w="635" w:type="dxa"/>
            <w:tcBorders>
              <w:top w:val="nil"/>
              <w:left w:val="nil"/>
              <w:bottom w:val="single" w:sz="4" w:space="0" w:color="auto"/>
              <w:right w:val="single" w:sz="4" w:space="0" w:color="auto"/>
            </w:tcBorders>
            <w:shd w:val="clear" w:color="auto" w:fill="auto"/>
            <w:hideMark/>
          </w:tcPr>
          <w:p w:rsidR="000B7B23" w:rsidRPr="00F03897" w:rsidRDefault="000B7B23" w:rsidP="004F7088">
            <w:pPr>
              <w:jc w:val="center"/>
              <w:rPr>
                <w:color w:val="000000"/>
                <w:sz w:val="20"/>
                <w:szCs w:val="20"/>
              </w:rPr>
            </w:pPr>
            <w:r w:rsidRPr="00F03897">
              <w:rPr>
                <w:color w:val="000000"/>
                <w:sz w:val="20"/>
                <w:szCs w:val="20"/>
              </w:rPr>
              <w:t>2020</w:t>
            </w:r>
          </w:p>
        </w:tc>
        <w:tc>
          <w:tcPr>
            <w:tcW w:w="667" w:type="dxa"/>
            <w:tcBorders>
              <w:top w:val="nil"/>
              <w:left w:val="nil"/>
              <w:bottom w:val="single" w:sz="4" w:space="0" w:color="auto"/>
              <w:right w:val="single" w:sz="4" w:space="0" w:color="auto"/>
            </w:tcBorders>
            <w:shd w:val="clear" w:color="auto" w:fill="auto"/>
            <w:hideMark/>
          </w:tcPr>
          <w:p w:rsidR="000B7B23" w:rsidRPr="00F03897" w:rsidRDefault="000B7B23" w:rsidP="004F7088">
            <w:pPr>
              <w:jc w:val="center"/>
              <w:rPr>
                <w:color w:val="000000"/>
                <w:sz w:val="20"/>
                <w:szCs w:val="20"/>
              </w:rPr>
            </w:pPr>
            <w:r w:rsidRPr="00F03897">
              <w:rPr>
                <w:color w:val="000000"/>
                <w:sz w:val="20"/>
                <w:szCs w:val="20"/>
              </w:rPr>
              <w:t>2021</w:t>
            </w:r>
          </w:p>
        </w:tc>
      </w:tr>
      <w:tr w:rsidR="000B7B23" w:rsidRPr="00F03897" w:rsidTr="00F03897">
        <w:trPr>
          <w:trHeight w:val="44"/>
          <w:tblHeader/>
          <w:jc w:val="center"/>
        </w:trPr>
        <w:tc>
          <w:tcPr>
            <w:tcW w:w="2689" w:type="dxa"/>
            <w:tcBorders>
              <w:top w:val="nil"/>
              <w:left w:val="single" w:sz="4" w:space="0" w:color="auto"/>
              <w:bottom w:val="single" w:sz="4" w:space="0" w:color="auto"/>
              <w:right w:val="single" w:sz="4" w:space="0" w:color="auto"/>
            </w:tcBorders>
            <w:shd w:val="clear" w:color="auto" w:fill="auto"/>
          </w:tcPr>
          <w:p w:rsidR="000B7B23" w:rsidRPr="00F03897" w:rsidRDefault="000B7B23" w:rsidP="004F7088">
            <w:pPr>
              <w:jc w:val="center"/>
              <w:rPr>
                <w:bCs/>
                <w:color w:val="000000"/>
                <w:sz w:val="20"/>
                <w:szCs w:val="20"/>
              </w:rPr>
            </w:pPr>
            <w:r w:rsidRPr="00F03897">
              <w:rPr>
                <w:bCs/>
                <w:color w:val="000000"/>
                <w:sz w:val="20"/>
                <w:szCs w:val="20"/>
              </w:rPr>
              <w:t>1</w:t>
            </w:r>
          </w:p>
        </w:tc>
        <w:tc>
          <w:tcPr>
            <w:tcW w:w="850" w:type="dxa"/>
            <w:tcBorders>
              <w:top w:val="nil"/>
              <w:left w:val="nil"/>
              <w:bottom w:val="single" w:sz="4" w:space="0" w:color="auto"/>
              <w:right w:val="single" w:sz="4" w:space="0" w:color="auto"/>
            </w:tcBorders>
            <w:shd w:val="clear" w:color="auto" w:fill="auto"/>
            <w:vAlign w:val="center"/>
          </w:tcPr>
          <w:p w:rsidR="000B7B23" w:rsidRPr="00F03897" w:rsidRDefault="000B7B23" w:rsidP="00F03897">
            <w:pPr>
              <w:ind w:left="-103" w:right="-64"/>
              <w:jc w:val="center"/>
              <w:rPr>
                <w:bCs/>
                <w:color w:val="000000"/>
                <w:sz w:val="20"/>
                <w:szCs w:val="20"/>
              </w:rPr>
            </w:pPr>
            <w:r w:rsidRPr="00F03897">
              <w:rPr>
                <w:bCs/>
                <w:color w:val="000000"/>
                <w:sz w:val="20"/>
                <w:szCs w:val="20"/>
              </w:rPr>
              <w:t>2</w:t>
            </w:r>
          </w:p>
        </w:tc>
        <w:tc>
          <w:tcPr>
            <w:tcW w:w="906" w:type="dxa"/>
            <w:tcBorders>
              <w:top w:val="nil"/>
              <w:left w:val="nil"/>
              <w:bottom w:val="single" w:sz="4" w:space="0" w:color="auto"/>
              <w:right w:val="single" w:sz="4" w:space="0" w:color="auto"/>
            </w:tcBorders>
            <w:shd w:val="clear" w:color="auto" w:fill="auto"/>
            <w:vAlign w:val="center"/>
          </w:tcPr>
          <w:p w:rsidR="000B7B23" w:rsidRPr="00F03897" w:rsidRDefault="000B7B23" w:rsidP="00F03897">
            <w:pPr>
              <w:ind w:left="-253" w:right="-191"/>
              <w:jc w:val="center"/>
              <w:rPr>
                <w:bCs/>
                <w:color w:val="000000"/>
                <w:sz w:val="20"/>
                <w:szCs w:val="20"/>
              </w:rPr>
            </w:pPr>
            <w:r w:rsidRPr="00F03897">
              <w:rPr>
                <w:bCs/>
                <w:color w:val="000000"/>
                <w:sz w:val="20"/>
                <w:szCs w:val="20"/>
              </w:rPr>
              <w:t>3</w:t>
            </w:r>
          </w:p>
        </w:tc>
        <w:tc>
          <w:tcPr>
            <w:tcW w:w="829" w:type="dxa"/>
            <w:tcBorders>
              <w:top w:val="nil"/>
              <w:left w:val="nil"/>
              <w:bottom w:val="single" w:sz="4" w:space="0" w:color="auto"/>
              <w:right w:val="single" w:sz="4" w:space="0" w:color="auto"/>
            </w:tcBorders>
            <w:shd w:val="clear" w:color="auto" w:fill="auto"/>
            <w:vAlign w:val="center"/>
          </w:tcPr>
          <w:p w:rsidR="000B7B23" w:rsidRPr="00F03897" w:rsidRDefault="000B7B23" w:rsidP="00F03897">
            <w:pPr>
              <w:ind w:left="-87" w:right="-52"/>
              <w:jc w:val="center"/>
              <w:rPr>
                <w:bCs/>
                <w:color w:val="000000"/>
                <w:sz w:val="20"/>
                <w:szCs w:val="20"/>
              </w:rPr>
            </w:pPr>
            <w:r w:rsidRPr="00F03897">
              <w:rPr>
                <w:bCs/>
                <w:color w:val="000000"/>
                <w:sz w:val="20"/>
                <w:szCs w:val="20"/>
              </w:rPr>
              <w:t>4</w:t>
            </w:r>
          </w:p>
        </w:tc>
        <w:tc>
          <w:tcPr>
            <w:tcW w:w="794" w:type="dxa"/>
            <w:tcBorders>
              <w:top w:val="nil"/>
              <w:left w:val="nil"/>
              <w:bottom w:val="single" w:sz="4" w:space="0" w:color="auto"/>
              <w:right w:val="single" w:sz="4" w:space="0" w:color="auto"/>
            </w:tcBorders>
            <w:shd w:val="clear" w:color="auto" w:fill="auto"/>
            <w:vAlign w:val="center"/>
          </w:tcPr>
          <w:p w:rsidR="000B7B23" w:rsidRPr="00F03897" w:rsidRDefault="000B7B23" w:rsidP="00F03897">
            <w:pPr>
              <w:ind w:left="-161" w:right="-121"/>
              <w:jc w:val="center"/>
              <w:rPr>
                <w:bCs/>
                <w:color w:val="000000"/>
                <w:sz w:val="20"/>
                <w:szCs w:val="20"/>
              </w:rPr>
            </w:pPr>
            <w:r w:rsidRPr="00F03897">
              <w:rPr>
                <w:bCs/>
                <w:color w:val="000000"/>
                <w:sz w:val="20"/>
                <w:szCs w:val="20"/>
              </w:rPr>
              <w:t>5</w:t>
            </w:r>
          </w:p>
        </w:tc>
        <w:tc>
          <w:tcPr>
            <w:tcW w:w="848" w:type="dxa"/>
            <w:tcBorders>
              <w:top w:val="nil"/>
              <w:left w:val="nil"/>
              <w:bottom w:val="single" w:sz="4" w:space="0" w:color="auto"/>
              <w:right w:val="single" w:sz="4" w:space="0" w:color="auto"/>
            </w:tcBorders>
            <w:shd w:val="clear" w:color="auto" w:fill="auto"/>
            <w:vAlign w:val="center"/>
          </w:tcPr>
          <w:p w:rsidR="000B7B23" w:rsidRPr="00F03897" w:rsidRDefault="000B7B23" w:rsidP="00F03897">
            <w:pPr>
              <w:ind w:left="-105" w:right="-43"/>
              <w:jc w:val="center"/>
              <w:rPr>
                <w:bCs/>
                <w:color w:val="000000"/>
                <w:sz w:val="20"/>
                <w:szCs w:val="20"/>
              </w:rPr>
            </w:pPr>
            <w:r w:rsidRPr="00F03897">
              <w:rPr>
                <w:bCs/>
                <w:color w:val="000000"/>
                <w:sz w:val="20"/>
                <w:szCs w:val="20"/>
              </w:rPr>
              <w:t>6</w:t>
            </w:r>
          </w:p>
        </w:tc>
        <w:tc>
          <w:tcPr>
            <w:tcW w:w="849" w:type="dxa"/>
            <w:tcBorders>
              <w:top w:val="nil"/>
              <w:left w:val="nil"/>
              <w:bottom w:val="single" w:sz="4" w:space="0" w:color="auto"/>
              <w:right w:val="single" w:sz="4" w:space="0" w:color="auto"/>
            </w:tcBorders>
            <w:shd w:val="clear" w:color="auto" w:fill="auto"/>
            <w:vAlign w:val="center"/>
          </w:tcPr>
          <w:p w:rsidR="000B7B23" w:rsidRPr="00F03897" w:rsidRDefault="000B7B23" w:rsidP="00F03897">
            <w:pPr>
              <w:ind w:left="-115" w:right="-46"/>
              <w:jc w:val="center"/>
              <w:rPr>
                <w:bCs/>
                <w:color w:val="000000"/>
                <w:sz w:val="20"/>
                <w:szCs w:val="20"/>
              </w:rPr>
            </w:pPr>
            <w:r w:rsidRPr="00F03897">
              <w:rPr>
                <w:bCs/>
                <w:color w:val="000000"/>
                <w:sz w:val="20"/>
                <w:szCs w:val="20"/>
              </w:rPr>
              <w:t>7</w:t>
            </w:r>
          </w:p>
        </w:tc>
        <w:tc>
          <w:tcPr>
            <w:tcW w:w="666" w:type="dxa"/>
            <w:tcBorders>
              <w:top w:val="nil"/>
              <w:left w:val="nil"/>
              <w:bottom w:val="single" w:sz="4" w:space="0" w:color="auto"/>
              <w:right w:val="single" w:sz="4" w:space="0" w:color="auto"/>
            </w:tcBorders>
            <w:shd w:val="clear" w:color="auto" w:fill="auto"/>
            <w:vAlign w:val="center"/>
          </w:tcPr>
          <w:p w:rsidR="000B7B23" w:rsidRPr="00F03897" w:rsidRDefault="000B7B23" w:rsidP="004F7088">
            <w:pPr>
              <w:jc w:val="center"/>
              <w:rPr>
                <w:bCs/>
                <w:color w:val="000000"/>
                <w:sz w:val="20"/>
                <w:szCs w:val="20"/>
              </w:rPr>
            </w:pPr>
            <w:r w:rsidRPr="00F03897">
              <w:rPr>
                <w:bCs/>
                <w:color w:val="000000"/>
                <w:sz w:val="20"/>
                <w:szCs w:val="20"/>
              </w:rPr>
              <w:t>8</w:t>
            </w:r>
          </w:p>
        </w:tc>
        <w:tc>
          <w:tcPr>
            <w:tcW w:w="635" w:type="dxa"/>
            <w:tcBorders>
              <w:top w:val="nil"/>
              <w:left w:val="nil"/>
              <w:bottom w:val="single" w:sz="4" w:space="0" w:color="auto"/>
              <w:right w:val="single" w:sz="4" w:space="0" w:color="auto"/>
            </w:tcBorders>
            <w:shd w:val="clear" w:color="auto" w:fill="auto"/>
            <w:vAlign w:val="center"/>
          </w:tcPr>
          <w:p w:rsidR="000B7B23" w:rsidRPr="00F03897" w:rsidRDefault="000B7B23" w:rsidP="004F7088">
            <w:pPr>
              <w:jc w:val="center"/>
              <w:rPr>
                <w:bCs/>
                <w:color w:val="000000"/>
                <w:sz w:val="20"/>
                <w:szCs w:val="20"/>
              </w:rPr>
            </w:pPr>
            <w:r w:rsidRPr="00F03897">
              <w:rPr>
                <w:bCs/>
                <w:color w:val="000000"/>
                <w:sz w:val="20"/>
                <w:szCs w:val="20"/>
              </w:rPr>
              <w:t>9</w:t>
            </w:r>
          </w:p>
        </w:tc>
        <w:tc>
          <w:tcPr>
            <w:tcW w:w="667" w:type="dxa"/>
            <w:tcBorders>
              <w:top w:val="nil"/>
              <w:left w:val="nil"/>
              <w:bottom w:val="single" w:sz="4" w:space="0" w:color="auto"/>
              <w:right w:val="single" w:sz="4" w:space="0" w:color="auto"/>
            </w:tcBorders>
            <w:shd w:val="clear" w:color="auto" w:fill="auto"/>
            <w:vAlign w:val="center"/>
          </w:tcPr>
          <w:p w:rsidR="000B7B23" w:rsidRPr="00F03897" w:rsidRDefault="000B7B23" w:rsidP="004F7088">
            <w:pPr>
              <w:jc w:val="center"/>
              <w:rPr>
                <w:bCs/>
                <w:color w:val="000000"/>
                <w:sz w:val="20"/>
                <w:szCs w:val="20"/>
              </w:rPr>
            </w:pPr>
            <w:r w:rsidRPr="00F03897">
              <w:rPr>
                <w:bCs/>
                <w:color w:val="000000"/>
                <w:sz w:val="20"/>
                <w:szCs w:val="20"/>
              </w:rPr>
              <w:t>10</w:t>
            </w:r>
          </w:p>
        </w:tc>
      </w:tr>
      <w:tr w:rsidR="000B7B23" w:rsidRPr="00F03897" w:rsidTr="00F03897">
        <w:trPr>
          <w:trHeight w:val="44"/>
          <w:jc w:val="center"/>
        </w:trPr>
        <w:tc>
          <w:tcPr>
            <w:tcW w:w="2689" w:type="dxa"/>
            <w:tcBorders>
              <w:top w:val="nil"/>
              <w:left w:val="single" w:sz="4" w:space="0" w:color="auto"/>
              <w:bottom w:val="single" w:sz="4" w:space="0" w:color="auto"/>
              <w:right w:val="single" w:sz="4" w:space="0" w:color="auto"/>
            </w:tcBorders>
            <w:shd w:val="clear" w:color="auto" w:fill="auto"/>
            <w:hideMark/>
          </w:tcPr>
          <w:p w:rsidR="000B7B23" w:rsidRPr="00F03897" w:rsidRDefault="000B7B23" w:rsidP="004F7088">
            <w:pPr>
              <w:jc w:val="both"/>
              <w:rPr>
                <w:bCs/>
                <w:color w:val="000000"/>
                <w:sz w:val="20"/>
                <w:szCs w:val="20"/>
              </w:rPr>
            </w:pPr>
            <w:r w:rsidRPr="00F03897">
              <w:rPr>
                <w:bCs/>
                <w:color w:val="000000"/>
                <w:sz w:val="20"/>
                <w:szCs w:val="20"/>
              </w:rPr>
              <w:t xml:space="preserve">Субсидия на финансовое обеспечение затрат по осуществлению уставной деятельности   </w:t>
            </w:r>
          </w:p>
        </w:tc>
        <w:tc>
          <w:tcPr>
            <w:tcW w:w="850" w:type="dxa"/>
            <w:tcBorders>
              <w:top w:val="nil"/>
              <w:left w:val="nil"/>
              <w:bottom w:val="single" w:sz="4" w:space="0" w:color="auto"/>
              <w:right w:val="single" w:sz="4" w:space="0" w:color="auto"/>
            </w:tcBorders>
            <w:shd w:val="clear" w:color="auto" w:fill="auto"/>
            <w:vAlign w:val="center"/>
            <w:hideMark/>
          </w:tcPr>
          <w:p w:rsidR="000B7B23" w:rsidRPr="00F03897" w:rsidRDefault="000B7B23" w:rsidP="00F03897">
            <w:pPr>
              <w:ind w:left="-103" w:right="-64"/>
              <w:jc w:val="center"/>
              <w:rPr>
                <w:bCs/>
                <w:color w:val="000000"/>
                <w:sz w:val="20"/>
                <w:szCs w:val="20"/>
              </w:rPr>
            </w:pPr>
            <w:r w:rsidRPr="00F03897">
              <w:rPr>
                <w:bCs/>
                <w:color w:val="000000"/>
                <w:sz w:val="20"/>
                <w:szCs w:val="20"/>
              </w:rPr>
              <w:t>16 271,7</w:t>
            </w:r>
          </w:p>
        </w:tc>
        <w:tc>
          <w:tcPr>
            <w:tcW w:w="906" w:type="dxa"/>
            <w:tcBorders>
              <w:top w:val="nil"/>
              <w:left w:val="nil"/>
              <w:bottom w:val="single" w:sz="4" w:space="0" w:color="auto"/>
              <w:right w:val="single" w:sz="4" w:space="0" w:color="auto"/>
            </w:tcBorders>
            <w:shd w:val="clear" w:color="auto" w:fill="auto"/>
            <w:vAlign w:val="center"/>
            <w:hideMark/>
          </w:tcPr>
          <w:p w:rsidR="000B7B23" w:rsidRPr="00F03897" w:rsidRDefault="000B7B23" w:rsidP="00F03897">
            <w:pPr>
              <w:ind w:left="-253" w:right="-191"/>
              <w:jc w:val="center"/>
              <w:rPr>
                <w:bCs/>
                <w:color w:val="000000"/>
                <w:sz w:val="20"/>
                <w:szCs w:val="20"/>
              </w:rPr>
            </w:pPr>
            <w:r w:rsidRPr="00F03897">
              <w:rPr>
                <w:bCs/>
                <w:color w:val="000000"/>
                <w:sz w:val="20"/>
                <w:szCs w:val="20"/>
              </w:rPr>
              <w:t>22 876,7</w:t>
            </w:r>
          </w:p>
        </w:tc>
        <w:tc>
          <w:tcPr>
            <w:tcW w:w="829" w:type="dxa"/>
            <w:tcBorders>
              <w:top w:val="nil"/>
              <w:left w:val="nil"/>
              <w:bottom w:val="single" w:sz="4" w:space="0" w:color="auto"/>
              <w:right w:val="single" w:sz="4" w:space="0" w:color="auto"/>
            </w:tcBorders>
            <w:shd w:val="clear" w:color="auto" w:fill="auto"/>
            <w:vAlign w:val="center"/>
            <w:hideMark/>
          </w:tcPr>
          <w:p w:rsidR="000B7B23" w:rsidRPr="00F03897" w:rsidRDefault="000B7B23" w:rsidP="00F03897">
            <w:pPr>
              <w:ind w:left="-87" w:right="-52"/>
              <w:jc w:val="center"/>
              <w:rPr>
                <w:bCs/>
                <w:color w:val="000000"/>
                <w:sz w:val="20"/>
                <w:szCs w:val="20"/>
              </w:rPr>
            </w:pPr>
            <w:r w:rsidRPr="00F03897">
              <w:rPr>
                <w:bCs/>
                <w:color w:val="000000"/>
                <w:sz w:val="20"/>
                <w:szCs w:val="20"/>
              </w:rPr>
              <w:t>15 631,7</w:t>
            </w:r>
          </w:p>
        </w:tc>
        <w:tc>
          <w:tcPr>
            <w:tcW w:w="794" w:type="dxa"/>
            <w:tcBorders>
              <w:top w:val="nil"/>
              <w:left w:val="nil"/>
              <w:bottom w:val="single" w:sz="4" w:space="0" w:color="auto"/>
              <w:right w:val="single" w:sz="4" w:space="0" w:color="auto"/>
            </w:tcBorders>
            <w:shd w:val="clear" w:color="auto" w:fill="auto"/>
            <w:vAlign w:val="center"/>
            <w:hideMark/>
          </w:tcPr>
          <w:p w:rsidR="000B7B23" w:rsidRPr="00F03897" w:rsidRDefault="000B7B23" w:rsidP="00F03897">
            <w:pPr>
              <w:ind w:left="-161" w:right="-121"/>
              <w:jc w:val="center"/>
              <w:rPr>
                <w:bCs/>
                <w:color w:val="000000"/>
                <w:sz w:val="20"/>
                <w:szCs w:val="20"/>
              </w:rPr>
            </w:pPr>
            <w:r w:rsidRPr="00F03897">
              <w:rPr>
                <w:bCs/>
                <w:color w:val="000000"/>
                <w:sz w:val="20"/>
                <w:szCs w:val="20"/>
              </w:rPr>
              <w:t>16 271,7</w:t>
            </w:r>
          </w:p>
        </w:tc>
        <w:tc>
          <w:tcPr>
            <w:tcW w:w="848" w:type="dxa"/>
            <w:tcBorders>
              <w:top w:val="nil"/>
              <w:left w:val="nil"/>
              <w:bottom w:val="single" w:sz="4" w:space="0" w:color="auto"/>
              <w:right w:val="single" w:sz="4" w:space="0" w:color="auto"/>
            </w:tcBorders>
            <w:shd w:val="clear" w:color="auto" w:fill="auto"/>
            <w:vAlign w:val="center"/>
            <w:hideMark/>
          </w:tcPr>
          <w:p w:rsidR="000B7B23" w:rsidRPr="00F03897" w:rsidRDefault="000B7B23" w:rsidP="00F03897">
            <w:pPr>
              <w:ind w:left="-105" w:right="-43"/>
              <w:jc w:val="center"/>
              <w:rPr>
                <w:bCs/>
                <w:color w:val="000000"/>
                <w:sz w:val="20"/>
                <w:szCs w:val="20"/>
              </w:rPr>
            </w:pPr>
            <w:r w:rsidRPr="00F03897">
              <w:rPr>
                <w:bCs/>
                <w:color w:val="000000"/>
                <w:sz w:val="20"/>
                <w:szCs w:val="20"/>
              </w:rPr>
              <w:t>22 616,9</w:t>
            </w:r>
          </w:p>
        </w:tc>
        <w:tc>
          <w:tcPr>
            <w:tcW w:w="849" w:type="dxa"/>
            <w:tcBorders>
              <w:top w:val="nil"/>
              <w:left w:val="nil"/>
              <w:bottom w:val="single" w:sz="4" w:space="0" w:color="auto"/>
              <w:right w:val="single" w:sz="4" w:space="0" w:color="auto"/>
            </w:tcBorders>
            <w:shd w:val="clear" w:color="auto" w:fill="auto"/>
            <w:vAlign w:val="center"/>
            <w:hideMark/>
          </w:tcPr>
          <w:p w:rsidR="000B7B23" w:rsidRPr="00F03897" w:rsidRDefault="000B7B23" w:rsidP="00F03897">
            <w:pPr>
              <w:ind w:left="-115" w:right="-46"/>
              <w:jc w:val="center"/>
              <w:rPr>
                <w:bCs/>
                <w:color w:val="000000"/>
                <w:sz w:val="20"/>
                <w:szCs w:val="20"/>
              </w:rPr>
            </w:pPr>
            <w:r w:rsidRPr="00F03897">
              <w:rPr>
                <w:bCs/>
                <w:color w:val="000000"/>
                <w:sz w:val="20"/>
                <w:szCs w:val="20"/>
              </w:rPr>
              <w:t>15 601,5</w:t>
            </w:r>
          </w:p>
        </w:tc>
        <w:tc>
          <w:tcPr>
            <w:tcW w:w="666" w:type="dxa"/>
            <w:tcBorders>
              <w:top w:val="nil"/>
              <w:left w:val="nil"/>
              <w:bottom w:val="single" w:sz="4" w:space="0" w:color="auto"/>
              <w:right w:val="single" w:sz="4" w:space="0" w:color="auto"/>
            </w:tcBorders>
            <w:shd w:val="clear" w:color="auto" w:fill="auto"/>
            <w:vAlign w:val="center"/>
            <w:hideMark/>
          </w:tcPr>
          <w:p w:rsidR="000B7B23" w:rsidRPr="00F03897" w:rsidRDefault="000B7B23" w:rsidP="004F7088">
            <w:pPr>
              <w:jc w:val="center"/>
              <w:rPr>
                <w:bCs/>
                <w:color w:val="000000"/>
                <w:sz w:val="20"/>
                <w:szCs w:val="20"/>
              </w:rPr>
            </w:pPr>
            <w:r w:rsidRPr="00F03897">
              <w:rPr>
                <w:bCs/>
                <w:color w:val="000000"/>
                <w:sz w:val="20"/>
                <w:szCs w:val="20"/>
              </w:rPr>
              <w:t>100,0</w:t>
            </w:r>
          </w:p>
        </w:tc>
        <w:tc>
          <w:tcPr>
            <w:tcW w:w="635" w:type="dxa"/>
            <w:tcBorders>
              <w:top w:val="nil"/>
              <w:left w:val="nil"/>
              <w:bottom w:val="single" w:sz="4" w:space="0" w:color="auto"/>
              <w:right w:val="single" w:sz="4" w:space="0" w:color="auto"/>
            </w:tcBorders>
            <w:shd w:val="clear" w:color="auto" w:fill="auto"/>
            <w:vAlign w:val="center"/>
            <w:hideMark/>
          </w:tcPr>
          <w:p w:rsidR="000B7B23" w:rsidRPr="00F03897" w:rsidRDefault="000B7B23" w:rsidP="004F7088">
            <w:pPr>
              <w:jc w:val="center"/>
              <w:rPr>
                <w:bCs/>
                <w:color w:val="000000"/>
                <w:sz w:val="20"/>
                <w:szCs w:val="20"/>
              </w:rPr>
            </w:pPr>
            <w:r w:rsidRPr="00F03897">
              <w:rPr>
                <w:bCs/>
                <w:color w:val="000000"/>
                <w:sz w:val="20"/>
                <w:szCs w:val="20"/>
              </w:rPr>
              <w:t>98,9</w:t>
            </w:r>
          </w:p>
        </w:tc>
        <w:tc>
          <w:tcPr>
            <w:tcW w:w="667" w:type="dxa"/>
            <w:tcBorders>
              <w:top w:val="nil"/>
              <w:left w:val="nil"/>
              <w:bottom w:val="single" w:sz="4" w:space="0" w:color="auto"/>
              <w:right w:val="single" w:sz="4" w:space="0" w:color="auto"/>
            </w:tcBorders>
            <w:shd w:val="clear" w:color="auto" w:fill="auto"/>
            <w:vAlign w:val="center"/>
            <w:hideMark/>
          </w:tcPr>
          <w:p w:rsidR="000B7B23" w:rsidRPr="00F03897" w:rsidRDefault="000B7B23" w:rsidP="004F7088">
            <w:pPr>
              <w:jc w:val="center"/>
              <w:rPr>
                <w:bCs/>
                <w:color w:val="000000"/>
                <w:sz w:val="20"/>
                <w:szCs w:val="20"/>
              </w:rPr>
            </w:pPr>
            <w:r w:rsidRPr="00F03897">
              <w:rPr>
                <w:bCs/>
                <w:color w:val="000000"/>
                <w:sz w:val="20"/>
                <w:szCs w:val="20"/>
              </w:rPr>
              <w:t>99,8</w:t>
            </w:r>
          </w:p>
        </w:tc>
      </w:tr>
      <w:tr w:rsidR="000B7B23" w:rsidRPr="00F03897" w:rsidTr="00F03897">
        <w:trPr>
          <w:trHeight w:val="44"/>
          <w:jc w:val="center"/>
        </w:trPr>
        <w:tc>
          <w:tcPr>
            <w:tcW w:w="2689" w:type="dxa"/>
            <w:tcBorders>
              <w:top w:val="nil"/>
              <w:left w:val="single" w:sz="4" w:space="0" w:color="auto"/>
              <w:bottom w:val="single" w:sz="4" w:space="0" w:color="auto"/>
              <w:right w:val="single" w:sz="4" w:space="0" w:color="auto"/>
            </w:tcBorders>
            <w:shd w:val="clear" w:color="auto" w:fill="auto"/>
            <w:hideMark/>
          </w:tcPr>
          <w:p w:rsidR="000B7B23" w:rsidRPr="00F03897" w:rsidRDefault="000B7B23" w:rsidP="004F7088">
            <w:pPr>
              <w:jc w:val="both"/>
              <w:rPr>
                <w:color w:val="000000"/>
                <w:sz w:val="20"/>
                <w:szCs w:val="20"/>
              </w:rPr>
            </w:pPr>
            <w:r w:rsidRPr="00F03897">
              <w:rPr>
                <w:sz w:val="20"/>
                <w:szCs w:val="20"/>
              </w:rPr>
              <w:t>Субсидии из резервного фонда Правительства Чукотского автономного округа</w:t>
            </w:r>
          </w:p>
        </w:tc>
        <w:tc>
          <w:tcPr>
            <w:tcW w:w="850" w:type="dxa"/>
            <w:tcBorders>
              <w:top w:val="nil"/>
              <w:left w:val="nil"/>
              <w:bottom w:val="single" w:sz="4" w:space="0" w:color="auto"/>
              <w:right w:val="single" w:sz="4" w:space="0" w:color="auto"/>
            </w:tcBorders>
            <w:shd w:val="clear" w:color="auto" w:fill="auto"/>
            <w:vAlign w:val="center"/>
            <w:hideMark/>
          </w:tcPr>
          <w:p w:rsidR="000B7B23" w:rsidRPr="00F03897" w:rsidRDefault="000B7B23" w:rsidP="00F03897">
            <w:pPr>
              <w:ind w:left="-103" w:right="-64"/>
              <w:jc w:val="center"/>
              <w:rPr>
                <w:color w:val="000000"/>
                <w:sz w:val="20"/>
                <w:szCs w:val="20"/>
              </w:rPr>
            </w:pPr>
            <w:r w:rsidRPr="00F03897">
              <w:rPr>
                <w:color w:val="000000"/>
                <w:sz w:val="20"/>
                <w:szCs w:val="20"/>
              </w:rPr>
              <w:t>-</w:t>
            </w:r>
          </w:p>
        </w:tc>
        <w:tc>
          <w:tcPr>
            <w:tcW w:w="906" w:type="dxa"/>
            <w:tcBorders>
              <w:top w:val="nil"/>
              <w:left w:val="nil"/>
              <w:bottom w:val="single" w:sz="4" w:space="0" w:color="auto"/>
              <w:right w:val="single" w:sz="4" w:space="0" w:color="auto"/>
            </w:tcBorders>
            <w:shd w:val="clear" w:color="auto" w:fill="auto"/>
            <w:vAlign w:val="center"/>
            <w:hideMark/>
          </w:tcPr>
          <w:p w:rsidR="000B7B23" w:rsidRPr="00F03897" w:rsidRDefault="000B7B23" w:rsidP="00F03897">
            <w:pPr>
              <w:ind w:left="-253" w:right="-191"/>
              <w:jc w:val="center"/>
              <w:rPr>
                <w:color w:val="000000"/>
                <w:sz w:val="20"/>
                <w:szCs w:val="20"/>
              </w:rPr>
            </w:pPr>
            <w:r w:rsidRPr="00F03897">
              <w:rPr>
                <w:color w:val="000000"/>
                <w:sz w:val="20"/>
                <w:szCs w:val="20"/>
              </w:rPr>
              <w:t>4 880,4</w:t>
            </w:r>
          </w:p>
        </w:tc>
        <w:tc>
          <w:tcPr>
            <w:tcW w:w="829" w:type="dxa"/>
            <w:tcBorders>
              <w:top w:val="nil"/>
              <w:left w:val="nil"/>
              <w:bottom w:val="nil"/>
              <w:right w:val="nil"/>
            </w:tcBorders>
            <w:shd w:val="clear" w:color="auto" w:fill="auto"/>
            <w:vAlign w:val="center"/>
            <w:hideMark/>
          </w:tcPr>
          <w:p w:rsidR="000B7B23" w:rsidRPr="00F03897" w:rsidRDefault="000B7B23" w:rsidP="00F03897">
            <w:pPr>
              <w:ind w:left="-87" w:right="-52"/>
              <w:jc w:val="center"/>
              <w:rPr>
                <w:color w:val="000000"/>
                <w:sz w:val="20"/>
                <w:szCs w:val="20"/>
              </w:rPr>
            </w:pPr>
            <w:r w:rsidRPr="00F03897">
              <w:rPr>
                <w:color w:val="000000"/>
                <w:sz w:val="20"/>
                <w:szCs w:val="20"/>
              </w:rPr>
              <w:t>2 307,3</w:t>
            </w:r>
          </w:p>
        </w:tc>
        <w:tc>
          <w:tcPr>
            <w:tcW w:w="794" w:type="dxa"/>
            <w:tcBorders>
              <w:top w:val="nil"/>
              <w:left w:val="single" w:sz="4" w:space="0" w:color="auto"/>
              <w:bottom w:val="single" w:sz="4" w:space="0" w:color="auto"/>
              <w:right w:val="single" w:sz="4" w:space="0" w:color="auto"/>
            </w:tcBorders>
            <w:shd w:val="clear" w:color="auto" w:fill="auto"/>
            <w:vAlign w:val="center"/>
            <w:hideMark/>
          </w:tcPr>
          <w:p w:rsidR="000B7B23" w:rsidRPr="00F03897" w:rsidRDefault="000B7B23" w:rsidP="00F03897">
            <w:pPr>
              <w:ind w:left="-161" w:right="-121"/>
              <w:jc w:val="center"/>
              <w:rPr>
                <w:color w:val="000000"/>
                <w:sz w:val="20"/>
                <w:szCs w:val="20"/>
              </w:rPr>
            </w:pPr>
            <w:r w:rsidRPr="00F03897">
              <w:rPr>
                <w:color w:val="000000"/>
                <w:sz w:val="20"/>
                <w:szCs w:val="20"/>
              </w:rPr>
              <w:t>-</w:t>
            </w:r>
          </w:p>
        </w:tc>
        <w:tc>
          <w:tcPr>
            <w:tcW w:w="848" w:type="dxa"/>
            <w:tcBorders>
              <w:top w:val="nil"/>
              <w:left w:val="nil"/>
              <w:bottom w:val="single" w:sz="4" w:space="0" w:color="auto"/>
              <w:right w:val="nil"/>
            </w:tcBorders>
            <w:shd w:val="clear" w:color="auto" w:fill="auto"/>
            <w:vAlign w:val="center"/>
            <w:hideMark/>
          </w:tcPr>
          <w:p w:rsidR="000B7B23" w:rsidRPr="00F03897" w:rsidRDefault="000B7B23" w:rsidP="00F03897">
            <w:pPr>
              <w:ind w:left="-105" w:right="-43"/>
              <w:jc w:val="center"/>
              <w:rPr>
                <w:color w:val="000000"/>
                <w:sz w:val="20"/>
                <w:szCs w:val="20"/>
              </w:rPr>
            </w:pPr>
            <w:r w:rsidRPr="00F03897">
              <w:rPr>
                <w:color w:val="000000"/>
                <w:sz w:val="20"/>
                <w:szCs w:val="20"/>
              </w:rPr>
              <w:t>3 423,4</w:t>
            </w:r>
          </w:p>
        </w:tc>
        <w:tc>
          <w:tcPr>
            <w:tcW w:w="849" w:type="dxa"/>
            <w:tcBorders>
              <w:top w:val="nil"/>
              <w:left w:val="single" w:sz="4" w:space="0" w:color="auto"/>
              <w:bottom w:val="single" w:sz="4" w:space="0" w:color="auto"/>
              <w:right w:val="nil"/>
            </w:tcBorders>
            <w:shd w:val="clear" w:color="auto" w:fill="auto"/>
            <w:vAlign w:val="center"/>
            <w:hideMark/>
          </w:tcPr>
          <w:p w:rsidR="000B7B23" w:rsidRPr="00F03897" w:rsidRDefault="000B7B23" w:rsidP="00F03897">
            <w:pPr>
              <w:ind w:left="-115" w:right="-46"/>
              <w:jc w:val="center"/>
              <w:rPr>
                <w:color w:val="000000"/>
                <w:sz w:val="20"/>
                <w:szCs w:val="20"/>
              </w:rPr>
            </w:pPr>
            <w:r w:rsidRPr="00F03897">
              <w:rPr>
                <w:color w:val="000000"/>
                <w:sz w:val="20"/>
                <w:szCs w:val="20"/>
              </w:rPr>
              <w:t>2 307,3</w:t>
            </w:r>
          </w:p>
        </w:tc>
        <w:tc>
          <w:tcPr>
            <w:tcW w:w="666" w:type="dxa"/>
            <w:tcBorders>
              <w:top w:val="nil"/>
              <w:left w:val="single" w:sz="4" w:space="0" w:color="auto"/>
              <w:bottom w:val="single" w:sz="4" w:space="0" w:color="auto"/>
              <w:right w:val="single" w:sz="4" w:space="0" w:color="auto"/>
            </w:tcBorders>
            <w:shd w:val="clear" w:color="auto" w:fill="auto"/>
            <w:vAlign w:val="center"/>
          </w:tcPr>
          <w:p w:rsidR="000B7B23" w:rsidRPr="00F03897" w:rsidRDefault="000B7B23" w:rsidP="004F7088">
            <w:pPr>
              <w:jc w:val="center"/>
              <w:rPr>
                <w:color w:val="000000"/>
                <w:sz w:val="20"/>
                <w:szCs w:val="20"/>
              </w:rPr>
            </w:pPr>
            <w:r w:rsidRPr="00F03897">
              <w:rPr>
                <w:color w:val="000000"/>
                <w:sz w:val="20"/>
                <w:szCs w:val="20"/>
              </w:rPr>
              <w:t>-</w:t>
            </w:r>
          </w:p>
        </w:tc>
        <w:tc>
          <w:tcPr>
            <w:tcW w:w="635" w:type="dxa"/>
            <w:tcBorders>
              <w:top w:val="nil"/>
              <w:left w:val="nil"/>
              <w:bottom w:val="single" w:sz="4" w:space="0" w:color="auto"/>
              <w:right w:val="single" w:sz="4" w:space="0" w:color="auto"/>
            </w:tcBorders>
            <w:shd w:val="clear" w:color="auto" w:fill="auto"/>
            <w:vAlign w:val="center"/>
          </w:tcPr>
          <w:p w:rsidR="000B7B23" w:rsidRPr="00F03897" w:rsidRDefault="000B7B23" w:rsidP="004F7088">
            <w:pPr>
              <w:jc w:val="center"/>
              <w:rPr>
                <w:color w:val="000000"/>
                <w:sz w:val="20"/>
                <w:szCs w:val="20"/>
              </w:rPr>
            </w:pPr>
            <w:r w:rsidRPr="00F03897">
              <w:rPr>
                <w:color w:val="000000"/>
                <w:sz w:val="20"/>
                <w:szCs w:val="20"/>
              </w:rPr>
              <w:t>70,1</w:t>
            </w:r>
          </w:p>
        </w:tc>
        <w:tc>
          <w:tcPr>
            <w:tcW w:w="667" w:type="dxa"/>
            <w:tcBorders>
              <w:top w:val="nil"/>
              <w:left w:val="nil"/>
              <w:bottom w:val="single" w:sz="4" w:space="0" w:color="auto"/>
              <w:right w:val="single" w:sz="4" w:space="0" w:color="auto"/>
            </w:tcBorders>
            <w:shd w:val="clear" w:color="auto" w:fill="auto"/>
            <w:vAlign w:val="center"/>
          </w:tcPr>
          <w:p w:rsidR="000B7B23" w:rsidRPr="00F03897" w:rsidRDefault="000B7B23" w:rsidP="004F7088">
            <w:pPr>
              <w:jc w:val="center"/>
              <w:rPr>
                <w:color w:val="000000"/>
                <w:sz w:val="20"/>
                <w:szCs w:val="20"/>
              </w:rPr>
            </w:pPr>
            <w:r w:rsidRPr="00F03897">
              <w:rPr>
                <w:color w:val="000000"/>
                <w:sz w:val="20"/>
                <w:szCs w:val="20"/>
              </w:rPr>
              <w:t>100,0</w:t>
            </w:r>
          </w:p>
        </w:tc>
      </w:tr>
      <w:tr w:rsidR="000B7B23" w:rsidRPr="00F03897" w:rsidTr="00F03897">
        <w:trPr>
          <w:trHeight w:val="44"/>
          <w:jc w:val="center"/>
        </w:trPr>
        <w:tc>
          <w:tcPr>
            <w:tcW w:w="2689" w:type="dxa"/>
            <w:tcBorders>
              <w:top w:val="nil"/>
              <w:left w:val="single" w:sz="4" w:space="0" w:color="auto"/>
              <w:bottom w:val="single" w:sz="4" w:space="0" w:color="auto"/>
              <w:right w:val="single" w:sz="4" w:space="0" w:color="auto"/>
            </w:tcBorders>
            <w:shd w:val="clear" w:color="auto" w:fill="auto"/>
            <w:hideMark/>
          </w:tcPr>
          <w:p w:rsidR="000B7B23" w:rsidRPr="00F03897" w:rsidRDefault="000B7B23" w:rsidP="004F7088">
            <w:pPr>
              <w:jc w:val="both"/>
              <w:rPr>
                <w:color w:val="000000"/>
                <w:sz w:val="20"/>
                <w:szCs w:val="20"/>
              </w:rPr>
            </w:pPr>
            <w:r w:rsidRPr="00F03897">
              <w:rPr>
                <w:color w:val="000000"/>
                <w:sz w:val="20"/>
                <w:szCs w:val="20"/>
              </w:rPr>
              <w:t>Грант в форме субсидии на реализацию проекта «Окружной конкурс по сбору твердых коммунальных отходов «Чистые игры»</w:t>
            </w:r>
          </w:p>
        </w:tc>
        <w:tc>
          <w:tcPr>
            <w:tcW w:w="850" w:type="dxa"/>
            <w:tcBorders>
              <w:top w:val="nil"/>
              <w:left w:val="nil"/>
              <w:bottom w:val="single" w:sz="4" w:space="0" w:color="auto"/>
              <w:right w:val="single" w:sz="4" w:space="0" w:color="auto"/>
            </w:tcBorders>
            <w:shd w:val="clear" w:color="auto" w:fill="auto"/>
            <w:vAlign w:val="center"/>
            <w:hideMark/>
          </w:tcPr>
          <w:p w:rsidR="000B7B23" w:rsidRPr="00F03897" w:rsidRDefault="000B7B23" w:rsidP="00F03897">
            <w:pPr>
              <w:ind w:left="-103" w:right="-64"/>
              <w:jc w:val="center"/>
              <w:rPr>
                <w:color w:val="000000"/>
                <w:sz w:val="20"/>
                <w:szCs w:val="20"/>
              </w:rPr>
            </w:pPr>
            <w:r w:rsidRPr="00F03897">
              <w:rPr>
                <w:color w:val="000000"/>
                <w:sz w:val="20"/>
                <w:szCs w:val="20"/>
              </w:rPr>
              <w:t>110,0</w:t>
            </w:r>
          </w:p>
        </w:tc>
        <w:tc>
          <w:tcPr>
            <w:tcW w:w="906" w:type="dxa"/>
            <w:tcBorders>
              <w:top w:val="nil"/>
              <w:left w:val="nil"/>
              <w:bottom w:val="single" w:sz="4" w:space="0" w:color="auto"/>
              <w:right w:val="single" w:sz="4" w:space="0" w:color="auto"/>
            </w:tcBorders>
            <w:shd w:val="clear" w:color="auto" w:fill="auto"/>
            <w:vAlign w:val="center"/>
            <w:hideMark/>
          </w:tcPr>
          <w:p w:rsidR="000B7B23" w:rsidRPr="00F03897" w:rsidRDefault="000B7B23" w:rsidP="00F03897">
            <w:pPr>
              <w:ind w:left="-253" w:right="-191"/>
              <w:jc w:val="center"/>
              <w:rPr>
                <w:color w:val="000000"/>
                <w:sz w:val="20"/>
                <w:szCs w:val="20"/>
              </w:rPr>
            </w:pPr>
            <w:r w:rsidRPr="00F03897">
              <w:rPr>
                <w:color w:val="000000"/>
                <w:sz w:val="20"/>
                <w:szCs w:val="20"/>
              </w:rPr>
              <w:t>-</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0B7B23" w:rsidRPr="00F03897" w:rsidRDefault="000B7B23" w:rsidP="00F03897">
            <w:pPr>
              <w:ind w:left="-87" w:right="-52"/>
              <w:jc w:val="center"/>
              <w:rPr>
                <w:color w:val="000000"/>
                <w:sz w:val="20"/>
                <w:szCs w:val="20"/>
              </w:rPr>
            </w:pPr>
            <w:r w:rsidRPr="00F03897">
              <w:rPr>
                <w:color w:val="000000"/>
                <w:sz w:val="20"/>
                <w:szCs w:val="20"/>
              </w:rPr>
              <w:t>-</w:t>
            </w:r>
          </w:p>
        </w:tc>
        <w:tc>
          <w:tcPr>
            <w:tcW w:w="794" w:type="dxa"/>
            <w:tcBorders>
              <w:top w:val="nil"/>
              <w:left w:val="nil"/>
              <w:bottom w:val="single" w:sz="4" w:space="0" w:color="auto"/>
              <w:right w:val="single" w:sz="4" w:space="0" w:color="auto"/>
            </w:tcBorders>
            <w:shd w:val="clear" w:color="auto" w:fill="auto"/>
            <w:vAlign w:val="center"/>
            <w:hideMark/>
          </w:tcPr>
          <w:p w:rsidR="000B7B23" w:rsidRPr="00F03897" w:rsidRDefault="000B7B23" w:rsidP="00F03897">
            <w:pPr>
              <w:ind w:left="-161" w:right="-121"/>
              <w:jc w:val="center"/>
              <w:rPr>
                <w:color w:val="000000"/>
                <w:sz w:val="20"/>
                <w:szCs w:val="20"/>
              </w:rPr>
            </w:pPr>
            <w:r w:rsidRPr="00F03897">
              <w:rPr>
                <w:color w:val="000000"/>
                <w:sz w:val="20"/>
                <w:szCs w:val="20"/>
              </w:rPr>
              <w:t>110,0</w:t>
            </w:r>
          </w:p>
        </w:tc>
        <w:tc>
          <w:tcPr>
            <w:tcW w:w="848" w:type="dxa"/>
            <w:tcBorders>
              <w:top w:val="nil"/>
              <w:left w:val="nil"/>
              <w:bottom w:val="single" w:sz="4" w:space="0" w:color="auto"/>
              <w:right w:val="nil"/>
            </w:tcBorders>
            <w:shd w:val="clear" w:color="auto" w:fill="auto"/>
            <w:vAlign w:val="center"/>
          </w:tcPr>
          <w:p w:rsidR="000B7B23" w:rsidRPr="00F03897" w:rsidRDefault="000B7B23" w:rsidP="00F03897">
            <w:pPr>
              <w:ind w:left="-105" w:right="-43"/>
              <w:jc w:val="center"/>
              <w:rPr>
                <w:color w:val="000000"/>
                <w:sz w:val="20"/>
                <w:szCs w:val="20"/>
              </w:rPr>
            </w:pPr>
            <w:r w:rsidRPr="00F03897">
              <w:rPr>
                <w:color w:val="000000"/>
                <w:sz w:val="20"/>
                <w:szCs w:val="20"/>
              </w:rPr>
              <w:t>-</w:t>
            </w:r>
          </w:p>
        </w:tc>
        <w:tc>
          <w:tcPr>
            <w:tcW w:w="849" w:type="dxa"/>
            <w:tcBorders>
              <w:top w:val="nil"/>
              <w:left w:val="single" w:sz="4" w:space="0" w:color="auto"/>
              <w:bottom w:val="single" w:sz="4" w:space="0" w:color="auto"/>
              <w:right w:val="nil"/>
            </w:tcBorders>
            <w:shd w:val="clear" w:color="auto" w:fill="auto"/>
            <w:vAlign w:val="center"/>
          </w:tcPr>
          <w:p w:rsidR="000B7B23" w:rsidRPr="00F03897" w:rsidRDefault="000B7B23" w:rsidP="00F03897">
            <w:pPr>
              <w:ind w:left="-115" w:right="-46"/>
              <w:jc w:val="center"/>
              <w:rPr>
                <w:color w:val="000000"/>
                <w:sz w:val="20"/>
                <w:szCs w:val="20"/>
              </w:rPr>
            </w:pPr>
            <w:r w:rsidRPr="00F03897">
              <w:rPr>
                <w:color w:val="000000"/>
                <w:sz w:val="20"/>
                <w:szCs w:val="20"/>
              </w:rPr>
              <w:t>-</w:t>
            </w:r>
          </w:p>
        </w:tc>
        <w:tc>
          <w:tcPr>
            <w:tcW w:w="666" w:type="dxa"/>
            <w:tcBorders>
              <w:top w:val="nil"/>
              <w:left w:val="single" w:sz="4" w:space="0" w:color="auto"/>
              <w:bottom w:val="single" w:sz="4" w:space="0" w:color="auto"/>
              <w:right w:val="single" w:sz="4" w:space="0" w:color="auto"/>
            </w:tcBorders>
            <w:shd w:val="clear" w:color="auto" w:fill="auto"/>
            <w:vAlign w:val="center"/>
          </w:tcPr>
          <w:p w:rsidR="000B7B23" w:rsidRPr="00F03897" w:rsidRDefault="000B7B23" w:rsidP="004F7088">
            <w:pPr>
              <w:jc w:val="center"/>
              <w:rPr>
                <w:color w:val="000000"/>
                <w:sz w:val="20"/>
                <w:szCs w:val="20"/>
              </w:rPr>
            </w:pPr>
            <w:r w:rsidRPr="00F03897">
              <w:rPr>
                <w:color w:val="000000"/>
                <w:sz w:val="20"/>
                <w:szCs w:val="20"/>
              </w:rPr>
              <w:t>100,0</w:t>
            </w:r>
          </w:p>
        </w:tc>
        <w:tc>
          <w:tcPr>
            <w:tcW w:w="635" w:type="dxa"/>
            <w:tcBorders>
              <w:top w:val="nil"/>
              <w:left w:val="nil"/>
              <w:bottom w:val="single" w:sz="4" w:space="0" w:color="auto"/>
              <w:right w:val="single" w:sz="4" w:space="0" w:color="auto"/>
            </w:tcBorders>
            <w:shd w:val="clear" w:color="auto" w:fill="auto"/>
            <w:vAlign w:val="center"/>
          </w:tcPr>
          <w:p w:rsidR="000B7B23" w:rsidRPr="00F03897" w:rsidRDefault="000B7B23" w:rsidP="004F7088">
            <w:pPr>
              <w:jc w:val="center"/>
              <w:rPr>
                <w:color w:val="000000"/>
                <w:sz w:val="20"/>
                <w:szCs w:val="20"/>
              </w:rPr>
            </w:pPr>
            <w:r w:rsidRPr="00F03897">
              <w:rPr>
                <w:color w:val="000000"/>
                <w:sz w:val="20"/>
                <w:szCs w:val="20"/>
              </w:rPr>
              <w:t>-</w:t>
            </w:r>
          </w:p>
        </w:tc>
        <w:tc>
          <w:tcPr>
            <w:tcW w:w="667" w:type="dxa"/>
            <w:tcBorders>
              <w:top w:val="nil"/>
              <w:left w:val="nil"/>
              <w:bottom w:val="single" w:sz="4" w:space="0" w:color="auto"/>
              <w:right w:val="single" w:sz="4" w:space="0" w:color="auto"/>
            </w:tcBorders>
            <w:shd w:val="clear" w:color="auto" w:fill="auto"/>
            <w:vAlign w:val="center"/>
          </w:tcPr>
          <w:p w:rsidR="000B7B23" w:rsidRPr="00F03897" w:rsidRDefault="000B7B23" w:rsidP="004F7088">
            <w:pPr>
              <w:jc w:val="center"/>
              <w:rPr>
                <w:color w:val="000000"/>
                <w:sz w:val="20"/>
                <w:szCs w:val="20"/>
              </w:rPr>
            </w:pPr>
            <w:r w:rsidRPr="00F03897">
              <w:rPr>
                <w:color w:val="000000"/>
                <w:sz w:val="20"/>
                <w:szCs w:val="20"/>
              </w:rPr>
              <w:t>-</w:t>
            </w:r>
          </w:p>
        </w:tc>
      </w:tr>
      <w:tr w:rsidR="000B7B23" w:rsidRPr="00F03897" w:rsidTr="00F03897">
        <w:trPr>
          <w:trHeight w:val="44"/>
          <w:jc w:val="center"/>
        </w:trPr>
        <w:tc>
          <w:tcPr>
            <w:tcW w:w="2689" w:type="dxa"/>
            <w:tcBorders>
              <w:top w:val="nil"/>
              <w:left w:val="single" w:sz="4" w:space="0" w:color="auto"/>
              <w:bottom w:val="single" w:sz="4" w:space="0" w:color="auto"/>
              <w:right w:val="single" w:sz="4" w:space="0" w:color="auto"/>
            </w:tcBorders>
            <w:shd w:val="clear" w:color="auto" w:fill="auto"/>
            <w:hideMark/>
          </w:tcPr>
          <w:p w:rsidR="000B7B23" w:rsidRPr="00F03897" w:rsidRDefault="000B7B23" w:rsidP="004F7088">
            <w:pPr>
              <w:jc w:val="both"/>
              <w:rPr>
                <w:color w:val="000000"/>
                <w:sz w:val="20"/>
                <w:szCs w:val="20"/>
              </w:rPr>
            </w:pPr>
            <w:r w:rsidRPr="00F03897">
              <w:rPr>
                <w:color w:val="000000"/>
                <w:sz w:val="20"/>
                <w:szCs w:val="20"/>
              </w:rPr>
              <w:t xml:space="preserve">Денежное </w:t>
            </w:r>
            <w:proofErr w:type="gramStart"/>
            <w:r w:rsidRPr="00F03897">
              <w:rPr>
                <w:color w:val="000000"/>
                <w:sz w:val="20"/>
                <w:szCs w:val="20"/>
              </w:rPr>
              <w:t>обеспечение</w:t>
            </w:r>
            <w:proofErr w:type="gramEnd"/>
            <w:r w:rsidRPr="00F03897">
              <w:rPr>
                <w:color w:val="000000"/>
                <w:sz w:val="20"/>
                <w:szCs w:val="20"/>
              </w:rPr>
              <w:t xml:space="preserve"> НО «Фонд развития экономики и прямых инвестиций Чукотского автономного округа» на организацию участия СМП в межрегиональной бизнес-миссии</w:t>
            </w:r>
          </w:p>
        </w:tc>
        <w:tc>
          <w:tcPr>
            <w:tcW w:w="850" w:type="dxa"/>
            <w:tcBorders>
              <w:top w:val="nil"/>
              <w:left w:val="nil"/>
              <w:bottom w:val="single" w:sz="4" w:space="0" w:color="auto"/>
              <w:right w:val="single" w:sz="4" w:space="0" w:color="auto"/>
            </w:tcBorders>
            <w:shd w:val="clear" w:color="auto" w:fill="auto"/>
            <w:vAlign w:val="center"/>
          </w:tcPr>
          <w:p w:rsidR="000B7B23" w:rsidRPr="00F03897" w:rsidRDefault="000B7B23" w:rsidP="00F03897">
            <w:pPr>
              <w:ind w:left="-103" w:right="-64"/>
              <w:jc w:val="center"/>
              <w:rPr>
                <w:color w:val="000000"/>
                <w:sz w:val="20"/>
                <w:szCs w:val="20"/>
              </w:rPr>
            </w:pPr>
          </w:p>
        </w:tc>
        <w:tc>
          <w:tcPr>
            <w:tcW w:w="906" w:type="dxa"/>
            <w:tcBorders>
              <w:top w:val="nil"/>
              <w:left w:val="nil"/>
              <w:bottom w:val="single" w:sz="4" w:space="0" w:color="auto"/>
              <w:right w:val="single" w:sz="4" w:space="0" w:color="auto"/>
            </w:tcBorders>
            <w:shd w:val="clear" w:color="auto" w:fill="auto"/>
            <w:vAlign w:val="center"/>
          </w:tcPr>
          <w:p w:rsidR="000B7B23" w:rsidRPr="00F03897" w:rsidRDefault="000B7B23" w:rsidP="00F03897">
            <w:pPr>
              <w:ind w:left="-253" w:right="-191"/>
              <w:jc w:val="center"/>
              <w:rPr>
                <w:color w:val="000000"/>
                <w:sz w:val="20"/>
                <w:szCs w:val="20"/>
              </w:rPr>
            </w:pPr>
            <w:r w:rsidRPr="00F03897">
              <w:rPr>
                <w:color w:val="000000"/>
                <w:sz w:val="20"/>
                <w:szCs w:val="20"/>
              </w:rPr>
              <w:t>1 566,7</w:t>
            </w:r>
          </w:p>
        </w:tc>
        <w:tc>
          <w:tcPr>
            <w:tcW w:w="829" w:type="dxa"/>
            <w:tcBorders>
              <w:top w:val="nil"/>
              <w:left w:val="nil"/>
              <w:bottom w:val="single" w:sz="4" w:space="0" w:color="auto"/>
              <w:right w:val="single" w:sz="4" w:space="0" w:color="auto"/>
            </w:tcBorders>
            <w:shd w:val="clear" w:color="auto" w:fill="auto"/>
            <w:vAlign w:val="center"/>
          </w:tcPr>
          <w:p w:rsidR="000B7B23" w:rsidRPr="00F03897" w:rsidRDefault="000B7B23" w:rsidP="00F03897">
            <w:pPr>
              <w:ind w:left="-87" w:right="-52"/>
              <w:jc w:val="center"/>
              <w:rPr>
                <w:color w:val="000000"/>
                <w:sz w:val="20"/>
                <w:szCs w:val="20"/>
              </w:rPr>
            </w:pPr>
            <w:r w:rsidRPr="00F03897">
              <w:rPr>
                <w:color w:val="000000"/>
                <w:sz w:val="20"/>
                <w:szCs w:val="20"/>
              </w:rPr>
              <w:t>1 200,0</w:t>
            </w:r>
          </w:p>
        </w:tc>
        <w:tc>
          <w:tcPr>
            <w:tcW w:w="794" w:type="dxa"/>
            <w:tcBorders>
              <w:top w:val="nil"/>
              <w:left w:val="nil"/>
              <w:bottom w:val="single" w:sz="4" w:space="0" w:color="auto"/>
              <w:right w:val="single" w:sz="4" w:space="0" w:color="auto"/>
            </w:tcBorders>
            <w:shd w:val="clear" w:color="auto" w:fill="auto"/>
            <w:vAlign w:val="center"/>
          </w:tcPr>
          <w:p w:rsidR="000B7B23" w:rsidRPr="00F03897" w:rsidRDefault="000B7B23" w:rsidP="00F03897">
            <w:pPr>
              <w:ind w:left="-161" w:right="-121"/>
              <w:jc w:val="center"/>
              <w:rPr>
                <w:color w:val="000000"/>
                <w:sz w:val="20"/>
                <w:szCs w:val="20"/>
              </w:rPr>
            </w:pPr>
            <w:r w:rsidRPr="00F03897">
              <w:rPr>
                <w:color w:val="000000"/>
                <w:sz w:val="20"/>
                <w:szCs w:val="20"/>
              </w:rPr>
              <w:t>-</w:t>
            </w:r>
          </w:p>
        </w:tc>
        <w:tc>
          <w:tcPr>
            <w:tcW w:w="848" w:type="dxa"/>
            <w:tcBorders>
              <w:top w:val="nil"/>
              <w:left w:val="nil"/>
              <w:bottom w:val="single" w:sz="4" w:space="0" w:color="auto"/>
              <w:right w:val="nil"/>
            </w:tcBorders>
            <w:shd w:val="clear" w:color="auto" w:fill="auto"/>
            <w:vAlign w:val="center"/>
          </w:tcPr>
          <w:p w:rsidR="000B7B23" w:rsidRPr="00F03897" w:rsidRDefault="000B7B23" w:rsidP="00F03897">
            <w:pPr>
              <w:ind w:left="-105" w:right="-43"/>
              <w:jc w:val="center"/>
              <w:rPr>
                <w:color w:val="000000"/>
                <w:sz w:val="20"/>
                <w:szCs w:val="20"/>
              </w:rPr>
            </w:pPr>
            <w:r w:rsidRPr="00F03897">
              <w:rPr>
                <w:color w:val="000000"/>
                <w:sz w:val="20"/>
                <w:szCs w:val="20"/>
              </w:rPr>
              <w:t>1 342,8</w:t>
            </w:r>
          </w:p>
        </w:tc>
        <w:tc>
          <w:tcPr>
            <w:tcW w:w="849" w:type="dxa"/>
            <w:tcBorders>
              <w:top w:val="nil"/>
              <w:left w:val="single" w:sz="4" w:space="0" w:color="auto"/>
              <w:bottom w:val="single" w:sz="4" w:space="0" w:color="auto"/>
              <w:right w:val="nil"/>
            </w:tcBorders>
            <w:shd w:val="clear" w:color="auto" w:fill="auto"/>
            <w:vAlign w:val="center"/>
          </w:tcPr>
          <w:p w:rsidR="000B7B23" w:rsidRPr="00F03897" w:rsidRDefault="000B7B23" w:rsidP="00F03897">
            <w:pPr>
              <w:ind w:left="-115" w:right="-46"/>
              <w:jc w:val="center"/>
              <w:rPr>
                <w:color w:val="000000"/>
                <w:sz w:val="20"/>
                <w:szCs w:val="20"/>
              </w:rPr>
            </w:pPr>
            <w:r w:rsidRPr="00F03897">
              <w:rPr>
                <w:color w:val="000000"/>
                <w:sz w:val="20"/>
                <w:szCs w:val="20"/>
              </w:rPr>
              <w:t>700,1</w:t>
            </w:r>
          </w:p>
        </w:tc>
        <w:tc>
          <w:tcPr>
            <w:tcW w:w="666" w:type="dxa"/>
            <w:tcBorders>
              <w:top w:val="nil"/>
              <w:left w:val="single" w:sz="4" w:space="0" w:color="auto"/>
              <w:bottom w:val="single" w:sz="4" w:space="0" w:color="auto"/>
              <w:right w:val="single" w:sz="4" w:space="0" w:color="auto"/>
            </w:tcBorders>
            <w:shd w:val="clear" w:color="auto" w:fill="auto"/>
            <w:vAlign w:val="center"/>
          </w:tcPr>
          <w:p w:rsidR="000B7B23" w:rsidRPr="00F03897" w:rsidRDefault="000B7B23" w:rsidP="004F7088">
            <w:pPr>
              <w:jc w:val="center"/>
              <w:rPr>
                <w:color w:val="000000"/>
                <w:sz w:val="20"/>
                <w:szCs w:val="20"/>
              </w:rPr>
            </w:pPr>
            <w:r w:rsidRPr="00F03897">
              <w:rPr>
                <w:color w:val="000000"/>
                <w:sz w:val="20"/>
                <w:szCs w:val="20"/>
              </w:rPr>
              <w:t>-</w:t>
            </w:r>
          </w:p>
        </w:tc>
        <w:tc>
          <w:tcPr>
            <w:tcW w:w="635" w:type="dxa"/>
            <w:tcBorders>
              <w:top w:val="nil"/>
              <w:left w:val="nil"/>
              <w:bottom w:val="single" w:sz="4" w:space="0" w:color="auto"/>
              <w:right w:val="single" w:sz="4" w:space="0" w:color="auto"/>
            </w:tcBorders>
            <w:shd w:val="clear" w:color="auto" w:fill="auto"/>
            <w:vAlign w:val="center"/>
          </w:tcPr>
          <w:p w:rsidR="000B7B23" w:rsidRPr="00F03897" w:rsidRDefault="000B7B23" w:rsidP="004F7088">
            <w:pPr>
              <w:jc w:val="center"/>
              <w:rPr>
                <w:color w:val="000000"/>
                <w:sz w:val="20"/>
                <w:szCs w:val="20"/>
              </w:rPr>
            </w:pPr>
            <w:r w:rsidRPr="00F03897">
              <w:rPr>
                <w:color w:val="000000"/>
                <w:sz w:val="20"/>
                <w:szCs w:val="20"/>
              </w:rPr>
              <w:t>85,7</w:t>
            </w:r>
          </w:p>
        </w:tc>
        <w:tc>
          <w:tcPr>
            <w:tcW w:w="667" w:type="dxa"/>
            <w:tcBorders>
              <w:top w:val="nil"/>
              <w:left w:val="nil"/>
              <w:bottom w:val="single" w:sz="4" w:space="0" w:color="auto"/>
              <w:right w:val="single" w:sz="4" w:space="0" w:color="auto"/>
            </w:tcBorders>
            <w:shd w:val="clear" w:color="auto" w:fill="auto"/>
            <w:vAlign w:val="center"/>
          </w:tcPr>
          <w:p w:rsidR="000B7B23" w:rsidRPr="00F03897" w:rsidRDefault="000B7B23" w:rsidP="004F7088">
            <w:pPr>
              <w:jc w:val="center"/>
              <w:rPr>
                <w:color w:val="000000"/>
                <w:sz w:val="20"/>
                <w:szCs w:val="20"/>
              </w:rPr>
            </w:pPr>
            <w:r w:rsidRPr="00F03897">
              <w:rPr>
                <w:color w:val="000000"/>
                <w:sz w:val="20"/>
                <w:szCs w:val="20"/>
              </w:rPr>
              <w:t>58,3</w:t>
            </w:r>
          </w:p>
        </w:tc>
      </w:tr>
      <w:tr w:rsidR="000B7B23" w:rsidRPr="00F03897" w:rsidTr="00F03897">
        <w:trPr>
          <w:trHeight w:val="177"/>
          <w:jc w:val="center"/>
        </w:trPr>
        <w:tc>
          <w:tcPr>
            <w:tcW w:w="2689" w:type="dxa"/>
            <w:tcBorders>
              <w:top w:val="nil"/>
              <w:left w:val="single" w:sz="4" w:space="0" w:color="auto"/>
              <w:bottom w:val="single" w:sz="4" w:space="0" w:color="auto"/>
              <w:right w:val="single" w:sz="4" w:space="0" w:color="auto"/>
            </w:tcBorders>
            <w:shd w:val="clear" w:color="auto" w:fill="auto"/>
          </w:tcPr>
          <w:p w:rsidR="000B7B23" w:rsidRPr="00F03897" w:rsidRDefault="000B7B23" w:rsidP="004F7088">
            <w:pPr>
              <w:rPr>
                <w:b/>
                <w:color w:val="000000"/>
                <w:sz w:val="20"/>
                <w:szCs w:val="20"/>
              </w:rPr>
            </w:pPr>
            <w:r w:rsidRPr="00F03897">
              <w:rPr>
                <w:b/>
                <w:color w:val="000000"/>
                <w:sz w:val="20"/>
                <w:szCs w:val="20"/>
              </w:rPr>
              <w:t>Всего</w:t>
            </w:r>
          </w:p>
        </w:tc>
        <w:tc>
          <w:tcPr>
            <w:tcW w:w="850" w:type="dxa"/>
            <w:tcBorders>
              <w:top w:val="nil"/>
              <w:left w:val="nil"/>
              <w:bottom w:val="single" w:sz="4" w:space="0" w:color="auto"/>
              <w:right w:val="single" w:sz="4" w:space="0" w:color="auto"/>
            </w:tcBorders>
            <w:shd w:val="clear" w:color="auto" w:fill="auto"/>
            <w:vAlign w:val="center"/>
          </w:tcPr>
          <w:p w:rsidR="000B7B23" w:rsidRPr="00F03897" w:rsidRDefault="000B7B23" w:rsidP="00F03897">
            <w:pPr>
              <w:ind w:left="-103" w:right="-64"/>
              <w:jc w:val="center"/>
              <w:rPr>
                <w:b/>
                <w:color w:val="000000"/>
                <w:sz w:val="20"/>
                <w:szCs w:val="20"/>
              </w:rPr>
            </w:pPr>
            <w:r w:rsidRPr="00F03897">
              <w:rPr>
                <w:b/>
                <w:color w:val="000000"/>
                <w:sz w:val="20"/>
                <w:szCs w:val="20"/>
              </w:rPr>
              <w:t>16 381,7</w:t>
            </w:r>
          </w:p>
        </w:tc>
        <w:tc>
          <w:tcPr>
            <w:tcW w:w="906" w:type="dxa"/>
            <w:tcBorders>
              <w:top w:val="nil"/>
              <w:left w:val="nil"/>
              <w:bottom w:val="single" w:sz="4" w:space="0" w:color="auto"/>
              <w:right w:val="single" w:sz="4" w:space="0" w:color="auto"/>
            </w:tcBorders>
            <w:shd w:val="clear" w:color="auto" w:fill="auto"/>
            <w:vAlign w:val="center"/>
          </w:tcPr>
          <w:p w:rsidR="000B7B23" w:rsidRPr="00F03897" w:rsidRDefault="000B7B23" w:rsidP="00F03897">
            <w:pPr>
              <w:ind w:left="-253" w:right="-191"/>
              <w:jc w:val="center"/>
              <w:rPr>
                <w:b/>
                <w:color w:val="000000"/>
                <w:sz w:val="20"/>
                <w:szCs w:val="20"/>
              </w:rPr>
            </w:pPr>
            <w:r w:rsidRPr="00F03897">
              <w:rPr>
                <w:b/>
                <w:color w:val="000000"/>
                <w:sz w:val="20"/>
                <w:szCs w:val="20"/>
              </w:rPr>
              <w:t>29 323,8</w:t>
            </w:r>
          </w:p>
        </w:tc>
        <w:tc>
          <w:tcPr>
            <w:tcW w:w="829" w:type="dxa"/>
            <w:tcBorders>
              <w:top w:val="nil"/>
              <w:left w:val="nil"/>
              <w:bottom w:val="single" w:sz="4" w:space="0" w:color="auto"/>
              <w:right w:val="single" w:sz="4" w:space="0" w:color="auto"/>
            </w:tcBorders>
            <w:shd w:val="clear" w:color="auto" w:fill="auto"/>
            <w:vAlign w:val="center"/>
          </w:tcPr>
          <w:p w:rsidR="000B7B23" w:rsidRPr="00F03897" w:rsidRDefault="000B7B23" w:rsidP="00F03897">
            <w:pPr>
              <w:ind w:left="-87" w:right="-52"/>
              <w:jc w:val="center"/>
              <w:rPr>
                <w:b/>
                <w:color w:val="000000"/>
                <w:sz w:val="20"/>
                <w:szCs w:val="20"/>
              </w:rPr>
            </w:pPr>
            <w:r w:rsidRPr="00F03897">
              <w:rPr>
                <w:b/>
                <w:color w:val="000000"/>
                <w:sz w:val="20"/>
                <w:szCs w:val="20"/>
              </w:rPr>
              <w:t>19 505,7</w:t>
            </w:r>
          </w:p>
        </w:tc>
        <w:tc>
          <w:tcPr>
            <w:tcW w:w="794" w:type="dxa"/>
            <w:tcBorders>
              <w:top w:val="nil"/>
              <w:left w:val="nil"/>
              <w:bottom w:val="single" w:sz="4" w:space="0" w:color="auto"/>
              <w:right w:val="single" w:sz="4" w:space="0" w:color="auto"/>
            </w:tcBorders>
            <w:shd w:val="clear" w:color="auto" w:fill="auto"/>
            <w:vAlign w:val="center"/>
          </w:tcPr>
          <w:p w:rsidR="000B7B23" w:rsidRPr="00F03897" w:rsidRDefault="000B7B23" w:rsidP="00F03897">
            <w:pPr>
              <w:ind w:left="-161" w:right="-121"/>
              <w:jc w:val="center"/>
              <w:rPr>
                <w:b/>
                <w:color w:val="000000"/>
                <w:sz w:val="20"/>
                <w:szCs w:val="20"/>
              </w:rPr>
            </w:pPr>
            <w:r w:rsidRPr="00F03897">
              <w:rPr>
                <w:b/>
                <w:color w:val="000000"/>
                <w:sz w:val="20"/>
                <w:szCs w:val="20"/>
              </w:rPr>
              <w:t>16 381,7</w:t>
            </w:r>
          </w:p>
        </w:tc>
        <w:tc>
          <w:tcPr>
            <w:tcW w:w="848" w:type="dxa"/>
            <w:tcBorders>
              <w:top w:val="nil"/>
              <w:left w:val="nil"/>
              <w:bottom w:val="single" w:sz="4" w:space="0" w:color="auto"/>
              <w:right w:val="single" w:sz="4" w:space="0" w:color="auto"/>
            </w:tcBorders>
            <w:shd w:val="clear" w:color="auto" w:fill="auto"/>
            <w:vAlign w:val="center"/>
          </w:tcPr>
          <w:p w:rsidR="000B7B23" w:rsidRPr="00F03897" w:rsidRDefault="000B7B23" w:rsidP="00F03897">
            <w:pPr>
              <w:ind w:left="-105" w:right="-43"/>
              <w:jc w:val="center"/>
              <w:rPr>
                <w:b/>
                <w:color w:val="000000"/>
                <w:sz w:val="20"/>
                <w:szCs w:val="20"/>
              </w:rPr>
            </w:pPr>
            <w:r w:rsidRPr="00F03897">
              <w:rPr>
                <w:b/>
                <w:color w:val="000000"/>
                <w:sz w:val="20"/>
                <w:szCs w:val="20"/>
              </w:rPr>
              <w:t>27 383,1</w:t>
            </w:r>
          </w:p>
        </w:tc>
        <w:tc>
          <w:tcPr>
            <w:tcW w:w="849" w:type="dxa"/>
            <w:tcBorders>
              <w:top w:val="nil"/>
              <w:left w:val="nil"/>
              <w:bottom w:val="single" w:sz="4" w:space="0" w:color="auto"/>
              <w:right w:val="single" w:sz="4" w:space="0" w:color="auto"/>
            </w:tcBorders>
            <w:shd w:val="clear" w:color="auto" w:fill="auto"/>
            <w:vAlign w:val="center"/>
          </w:tcPr>
          <w:p w:rsidR="000B7B23" w:rsidRPr="00F03897" w:rsidRDefault="000B7B23" w:rsidP="00F03897">
            <w:pPr>
              <w:ind w:left="-115" w:right="-46"/>
              <w:jc w:val="center"/>
              <w:rPr>
                <w:b/>
                <w:color w:val="000000"/>
                <w:sz w:val="20"/>
                <w:szCs w:val="20"/>
              </w:rPr>
            </w:pPr>
            <w:r w:rsidRPr="00F03897">
              <w:rPr>
                <w:b/>
                <w:color w:val="000000"/>
                <w:sz w:val="20"/>
                <w:szCs w:val="20"/>
              </w:rPr>
              <w:t>18 608,9</w:t>
            </w:r>
          </w:p>
        </w:tc>
        <w:tc>
          <w:tcPr>
            <w:tcW w:w="666" w:type="dxa"/>
            <w:tcBorders>
              <w:top w:val="nil"/>
              <w:left w:val="nil"/>
              <w:bottom w:val="single" w:sz="4" w:space="0" w:color="auto"/>
              <w:right w:val="single" w:sz="4" w:space="0" w:color="auto"/>
            </w:tcBorders>
            <w:shd w:val="clear" w:color="auto" w:fill="auto"/>
            <w:vAlign w:val="center"/>
          </w:tcPr>
          <w:p w:rsidR="000B7B23" w:rsidRPr="00F03897" w:rsidRDefault="000B7B23" w:rsidP="004F7088">
            <w:pPr>
              <w:jc w:val="center"/>
              <w:rPr>
                <w:b/>
                <w:color w:val="000000"/>
                <w:sz w:val="20"/>
                <w:szCs w:val="20"/>
              </w:rPr>
            </w:pPr>
            <w:r w:rsidRPr="00F03897">
              <w:rPr>
                <w:b/>
                <w:color w:val="000000"/>
                <w:sz w:val="20"/>
                <w:szCs w:val="20"/>
              </w:rPr>
              <w:t>100,0</w:t>
            </w:r>
          </w:p>
        </w:tc>
        <w:tc>
          <w:tcPr>
            <w:tcW w:w="635" w:type="dxa"/>
            <w:tcBorders>
              <w:top w:val="nil"/>
              <w:left w:val="nil"/>
              <w:bottom w:val="single" w:sz="4" w:space="0" w:color="auto"/>
              <w:right w:val="single" w:sz="4" w:space="0" w:color="auto"/>
            </w:tcBorders>
            <w:shd w:val="clear" w:color="auto" w:fill="auto"/>
            <w:vAlign w:val="center"/>
          </w:tcPr>
          <w:p w:rsidR="000B7B23" w:rsidRPr="00F03897" w:rsidRDefault="000B7B23" w:rsidP="004F7088">
            <w:pPr>
              <w:jc w:val="center"/>
              <w:rPr>
                <w:b/>
                <w:color w:val="000000"/>
                <w:sz w:val="20"/>
                <w:szCs w:val="20"/>
              </w:rPr>
            </w:pPr>
            <w:r w:rsidRPr="00F03897">
              <w:rPr>
                <w:b/>
                <w:color w:val="000000"/>
                <w:sz w:val="20"/>
                <w:szCs w:val="20"/>
              </w:rPr>
              <w:t>93,4</w:t>
            </w:r>
          </w:p>
        </w:tc>
        <w:tc>
          <w:tcPr>
            <w:tcW w:w="667" w:type="dxa"/>
            <w:tcBorders>
              <w:top w:val="nil"/>
              <w:left w:val="nil"/>
              <w:bottom w:val="single" w:sz="4" w:space="0" w:color="auto"/>
              <w:right w:val="single" w:sz="4" w:space="0" w:color="auto"/>
            </w:tcBorders>
            <w:shd w:val="clear" w:color="auto" w:fill="auto"/>
            <w:vAlign w:val="center"/>
          </w:tcPr>
          <w:p w:rsidR="000B7B23" w:rsidRPr="00F03897" w:rsidRDefault="000B7B23" w:rsidP="004F7088">
            <w:pPr>
              <w:jc w:val="center"/>
              <w:rPr>
                <w:b/>
                <w:color w:val="000000"/>
                <w:sz w:val="20"/>
                <w:szCs w:val="20"/>
              </w:rPr>
            </w:pPr>
            <w:r w:rsidRPr="00F03897">
              <w:rPr>
                <w:b/>
                <w:color w:val="000000"/>
                <w:sz w:val="20"/>
                <w:szCs w:val="20"/>
              </w:rPr>
              <w:t>95,4</w:t>
            </w:r>
          </w:p>
        </w:tc>
      </w:tr>
    </w:tbl>
    <w:p w:rsidR="000B7B23" w:rsidRDefault="000B7B23" w:rsidP="004F7088">
      <w:pPr>
        <w:pStyle w:val="ConsPlusNonformat"/>
        <w:ind w:firstLine="708"/>
        <w:jc w:val="both"/>
        <w:rPr>
          <w:rFonts w:ascii="Times New Roman" w:hAnsi="Times New Roman"/>
          <w:sz w:val="28"/>
          <w:szCs w:val="28"/>
        </w:rPr>
      </w:pPr>
    </w:p>
    <w:p w:rsidR="000B7B23" w:rsidRPr="001D7A34" w:rsidRDefault="000B7B23" w:rsidP="004F7088">
      <w:pPr>
        <w:pStyle w:val="ConsPlusNonformat"/>
        <w:ind w:firstLine="708"/>
        <w:jc w:val="both"/>
        <w:rPr>
          <w:rFonts w:ascii="Times New Roman" w:hAnsi="Times New Roman" w:cs="Times New Roman"/>
          <w:sz w:val="28"/>
          <w:szCs w:val="28"/>
        </w:rPr>
      </w:pPr>
      <w:r w:rsidRPr="001D7A34">
        <w:rPr>
          <w:rFonts w:ascii="Times New Roman" w:hAnsi="Times New Roman" w:cs="Times New Roman"/>
          <w:sz w:val="28"/>
          <w:szCs w:val="28"/>
        </w:rPr>
        <w:t xml:space="preserve">В проверяемом периоде на финансово-хозяйственную деятельность Фонда </w:t>
      </w:r>
      <w:r>
        <w:rPr>
          <w:rFonts w:ascii="Times New Roman" w:hAnsi="Times New Roman" w:cs="Times New Roman"/>
          <w:sz w:val="28"/>
          <w:szCs w:val="28"/>
        </w:rPr>
        <w:t>было направлено за счет всех источников финансирования 65 211,2 тыс. рублей. Согласно данных отчетов Фонда об использовании средств, Фондом использовано 62 373,7 тыс. рублей или 95,6% от полученного финансирования.</w:t>
      </w:r>
    </w:p>
    <w:p w:rsidR="000B7B23" w:rsidRPr="00DE48EA" w:rsidRDefault="000B7B23" w:rsidP="004F7088">
      <w:pPr>
        <w:pStyle w:val="ConsPlusNonformat"/>
        <w:spacing w:before="120"/>
        <w:ind w:firstLine="709"/>
        <w:jc w:val="both"/>
        <w:rPr>
          <w:rFonts w:ascii="Times New Roman" w:hAnsi="Times New Roman" w:cs="Times New Roman"/>
          <w:b/>
          <w:sz w:val="28"/>
          <w:szCs w:val="28"/>
        </w:rPr>
      </w:pPr>
      <w:r>
        <w:rPr>
          <w:rFonts w:ascii="Times New Roman" w:hAnsi="Times New Roman" w:cs="Times New Roman"/>
          <w:b/>
          <w:sz w:val="28"/>
          <w:szCs w:val="28"/>
        </w:rPr>
        <w:t>2.1. И</w:t>
      </w:r>
      <w:r w:rsidRPr="00D200C8">
        <w:rPr>
          <w:rFonts w:ascii="Times New Roman" w:hAnsi="Times New Roman" w:cs="Times New Roman"/>
          <w:b/>
          <w:sz w:val="28"/>
          <w:szCs w:val="28"/>
        </w:rPr>
        <w:t xml:space="preserve">спользование средств субсидии, предоставленной на финансовое обеспечение затрат на осуществление уставной деятельности Фонда в </w:t>
      </w:r>
      <w:r w:rsidRPr="00D200C8">
        <w:rPr>
          <w:rFonts w:ascii="Times New Roman" w:hAnsi="Times New Roman" w:cs="Times New Roman"/>
          <w:b/>
          <w:color w:val="000000"/>
          <w:sz w:val="28"/>
          <w:szCs w:val="28"/>
        </w:rPr>
        <w:t>2019-2021 годах</w:t>
      </w:r>
    </w:p>
    <w:p w:rsidR="000B7B23" w:rsidRPr="00FC5410" w:rsidRDefault="000B7B23" w:rsidP="004F7088">
      <w:pPr>
        <w:autoSpaceDE w:val="0"/>
        <w:autoSpaceDN w:val="0"/>
        <w:adjustRightInd w:val="0"/>
        <w:ind w:firstLine="708"/>
        <w:jc w:val="both"/>
        <w:rPr>
          <w:sz w:val="16"/>
          <w:szCs w:val="16"/>
          <w:highlight w:val="yellow"/>
        </w:rPr>
      </w:pPr>
    </w:p>
    <w:p w:rsidR="000B7B23" w:rsidRPr="00D200C8" w:rsidRDefault="000B7B23" w:rsidP="004F7088">
      <w:pPr>
        <w:autoSpaceDE w:val="0"/>
        <w:autoSpaceDN w:val="0"/>
        <w:adjustRightInd w:val="0"/>
        <w:ind w:firstLine="708"/>
        <w:jc w:val="both"/>
        <w:rPr>
          <w:sz w:val="28"/>
          <w:szCs w:val="28"/>
        </w:rPr>
      </w:pPr>
      <w:r w:rsidRPr="00D200C8">
        <w:rPr>
          <w:sz w:val="28"/>
          <w:szCs w:val="28"/>
        </w:rPr>
        <w:t>В проверяемом периоде, в целях финансового обеспечения затрат на осуществление уставной деятельности, Фонду за счет средств окружного бюджета предоставлялась субсидия.</w:t>
      </w:r>
    </w:p>
    <w:p w:rsidR="000B7B23" w:rsidRDefault="000B7B23" w:rsidP="004F7088">
      <w:pPr>
        <w:autoSpaceDE w:val="0"/>
        <w:autoSpaceDN w:val="0"/>
        <w:adjustRightInd w:val="0"/>
        <w:spacing w:beforeLines="60" w:before="144"/>
        <w:ind w:firstLine="708"/>
        <w:jc w:val="both"/>
        <w:rPr>
          <w:sz w:val="28"/>
          <w:szCs w:val="28"/>
        </w:rPr>
      </w:pPr>
      <w:r w:rsidRPr="00D200C8">
        <w:rPr>
          <w:sz w:val="28"/>
          <w:szCs w:val="28"/>
        </w:rPr>
        <w:t>Предоставление субсидии регулировалось Порядком определения объема и предоставления субсидии некоммерческой организации «Фонд поддержки молодежи</w:t>
      </w:r>
      <w:r w:rsidRPr="001F7F0F">
        <w:rPr>
          <w:sz w:val="28"/>
          <w:szCs w:val="28"/>
        </w:rPr>
        <w:t>», утвержденным Постановлением Правительства Чукотского автономного округа от 31 июля 2018 года №250</w:t>
      </w:r>
      <w:r w:rsidRPr="001F7F0F">
        <w:rPr>
          <w:sz w:val="20"/>
          <w:szCs w:val="20"/>
        </w:rPr>
        <w:t xml:space="preserve"> </w:t>
      </w:r>
      <w:r>
        <w:rPr>
          <w:rStyle w:val="ab"/>
          <w:sz w:val="28"/>
          <w:szCs w:val="28"/>
        </w:rPr>
        <w:footnoteReference w:id="149"/>
      </w:r>
      <w:r>
        <w:rPr>
          <w:sz w:val="28"/>
          <w:szCs w:val="28"/>
        </w:rPr>
        <w:t>.</w:t>
      </w:r>
    </w:p>
    <w:p w:rsidR="000B7B23" w:rsidRPr="00D200C8" w:rsidRDefault="000B7B23" w:rsidP="004F7088">
      <w:pPr>
        <w:autoSpaceDE w:val="0"/>
        <w:autoSpaceDN w:val="0"/>
        <w:adjustRightInd w:val="0"/>
        <w:spacing w:beforeLines="60" w:before="144"/>
        <w:ind w:firstLine="708"/>
        <w:jc w:val="both"/>
        <w:rPr>
          <w:sz w:val="28"/>
          <w:szCs w:val="28"/>
        </w:rPr>
      </w:pPr>
      <w:r w:rsidRPr="00D200C8">
        <w:rPr>
          <w:sz w:val="28"/>
          <w:szCs w:val="28"/>
        </w:rPr>
        <w:t xml:space="preserve">В соответствии с требованиями Порядка №250, учредителем с Фондом заключены Соглашения на предоставление из окружного бюджета субсидии в виде имущественного взноса на финансовое обеспечение уставной деятельности (далее – Соглашение): в 2019 году с объемом финансового обеспечения 16 271,7 тыс. рублей; в 2020 году </w:t>
      </w:r>
      <w:r>
        <w:rPr>
          <w:sz w:val="28"/>
          <w:szCs w:val="28"/>
        </w:rPr>
        <w:t>-</w:t>
      </w:r>
      <w:r w:rsidRPr="00D200C8">
        <w:rPr>
          <w:sz w:val="28"/>
          <w:szCs w:val="28"/>
        </w:rPr>
        <w:t xml:space="preserve"> 22 876,7 тыс. рублей</w:t>
      </w:r>
      <w:r>
        <w:rPr>
          <w:sz w:val="28"/>
          <w:szCs w:val="28"/>
        </w:rPr>
        <w:t xml:space="preserve"> и </w:t>
      </w:r>
      <w:r w:rsidRPr="00D200C8">
        <w:rPr>
          <w:sz w:val="28"/>
          <w:szCs w:val="28"/>
        </w:rPr>
        <w:t xml:space="preserve">в 2021 году </w:t>
      </w:r>
      <w:r>
        <w:rPr>
          <w:sz w:val="28"/>
          <w:szCs w:val="28"/>
        </w:rPr>
        <w:t>-</w:t>
      </w:r>
      <w:r w:rsidRPr="00D200C8">
        <w:rPr>
          <w:sz w:val="28"/>
          <w:szCs w:val="28"/>
        </w:rPr>
        <w:t xml:space="preserve"> 15 631,7 тыс. рублей.</w:t>
      </w:r>
    </w:p>
    <w:p w:rsidR="000B7B23" w:rsidRPr="00ED57B1" w:rsidRDefault="000B7B23" w:rsidP="004F7088">
      <w:pPr>
        <w:autoSpaceDE w:val="0"/>
        <w:autoSpaceDN w:val="0"/>
        <w:adjustRightInd w:val="0"/>
        <w:spacing w:beforeLines="60" w:before="144"/>
        <w:ind w:firstLine="708"/>
        <w:jc w:val="both"/>
        <w:rPr>
          <w:sz w:val="28"/>
          <w:szCs w:val="28"/>
          <w:highlight w:val="yellow"/>
        </w:rPr>
      </w:pPr>
      <w:bookmarkStart w:id="78" w:name="_Hlk101254735"/>
      <w:r w:rsidRPr="0046759D">
        <w:rPr>
          <w:sz w:val="28"/>
          <w:szCs w:val="28"/>
        </w:rPr>
        <w:t>В нарушение пунктов 2.2., 2.3. Порядка №250 учредителем с Фондом в 2019-2021 годах заключались Соглашения и предоставлялась субсидия в отсутствие смет доходов и расходов</w:t>
      </w:r>
      <w:r>
        <w:rPr>
          <w:sz w:val="28"/>
          <w:szCs w:val="28"/>
        </w:rPr>
        <w:t>, утвержденных Советом Фонда.</w:t>
      </w:r>
      <w:r w:rsidRPr="0046759D">
        <w:rPr>
          <w:sz w:val="28"/>
          <w:szCs w:val="28"/>
        </w:rPr>
        <w:t xml:space="preserve"> </w:t>
      </w:r>
      <w:bookmarkStart w:id="79" w:name="_Hlk101426435"/>
    </w:p>
    <w:bookmarkEnd w:id="78"/>
    <w:bookmarkEnd w:id="79"/>
    <w:p w:rsidR="000B7B23" w:rsidRPr="00D200C8" w:rsidRDefault="000B7B23" w:rsidP="004F7088">
      <w:pPr>
        <w:autoSpaceDE w:val="0"/>
        <w:autoSpaceDN w:val="0"/>
        <w:adjustRightInd w:val="0"/>
        <w:spacing w:beforeLines="60" w:before="144"/>
        <w:ind w:firstLine="708"/>
        <w:jc w:val="both"/>
        <w:rPr>
          <w:sz w:val="28"/>
          <w:szCs w:val="28"/>
        </w:rPr>
      </w:pPr>
      <w:r>
        <w:rPr>
          <w:sz w:val="28"/>
          <w:szCs w:val="28"/>
        </w:rPr>
        <w:t>Согласно информации, представленной проверке учредителем, в</w:t>
      </w:r>
      <w:r w:rsidRPr="00D200C8">
        <w:rPr>
          <w:sz w:val="28"/>
          <w:szCs w:val="28"/>
        </w:rPr>
        <w:t xml:space="preserve"> проверяемом периоде Фонду перечислены средства субсидии в объемах, предусмотренных Соглашениями. Финансирование осуществлялось учредителем ежеквартально на основании заявок Фонда, составленных по форме, предусмотренной Соглашениями. </w:t>
      </w:r>
    </w:p>
    <w:p w:rsidR="000B7B23" w:rsidRPr="00D200C8" w:rsidRDefault="000B7B23" w:rsidP="004F7088">
      <w:pPr>
        <w:autoSpaceDE w:val="0"/>
        <w:autoSpaceDN w:val="0"/>
        <w:adjustRightInd w:val="0"/>
        <w:spacing w:beforeLines="60" w:before="144"/>
        <w:ind w:firstLine="708"/>
        <w:jc w:val="both"/>
        <w:rPr>
          <w:sz w:val="28"/>
          <w:szCs w:val="28"/>
        </w:rPr>
      </w:pPr>
      <w:r>
        <w:rPr>
          <w:sz w:val="28"/>
          <w:szCs w:val="28"/>
        </w:rPr>
        <w:t>В соответствии с данными отчетов об использовании субсидии, представляемыми Фондом учредителю ежеквартально, р</w:t>
      </w:r>
      <w:r w:rsidRPr="00D200C8">
        <w:rPr>
          <w:sz w:val="28"/>
          <w:szCs w:val="28"/>
        </w:rPr>
        <w:t>асходы на финансовое обеспечение текущей деятельности Фонда в 2019 году составили 16 271,7 тыс. рублей или 100% от объемов финансирования, в 2020 году – 22 616,9 тыс. рублей или 98,9%, в 2021 году – 15 601,5 тыс. рублей или 99,8%.</w:t>
      </w:r>
    </w:p>
    <w:p w:rsidR="000B7B23" w:rsidRPr="00D200C8" w:rsidRDefault="000B7B23" w:rsidP="004F7088">
      <w:pPr>
        <w:autoSpaceDE w:val="0"/>
        <w:autoSpaceDN w:val="0"/>
        <w:adjustRightInd w:val="0"/>
        <w:spacing w:beforeLines="60" w:before="144"/>
        <w:ind w:firstLine="709"/>
        <w:jc w:val="both"/>
        <w:rPr>
          <w:sz w:val="28"/>
          <w:szCs w:val="28"/>
        </w:rPr>
      </w:pPr>
      <w:r w:rsidRPr="00D200C8">
        <w:rPr>
          <w:sz w:val="28"/>
          <w:szCs w:val="28"/>
        </w:rPr>
        <w:t>Неиспользованные остатки субсидии в 2020 году – 14,8 тыс. рублей, в 2021 году – 8,6 тыс. рублей перечислены в бюджет. Неиспользованный в</w:t>
      </w:r>
      <w:r w:rsidR="00454B79" w:rsidRPr="00454B79">
        <w:rPr>
          <w:sz w:val="28"/>
          <w:szCs w:val="28"/>
        </w:rPr>
        <w:t xml:space="preserve"> </w:t>
      </w:r>
      <w:r w:rsidRPr="00D200C8">
        <w:rPr>
          <w:sz w:val="28"/>
          <w:szCs w:val="28"/>
        </w:rPr>
        <w:t>2021 году остаток субсидии в сумме 21,66 тыс. рублей решением учредителя Фонду разрешено направить на цели, предусмотренные Соглашением на</w:t>
      </w:r>
      <w:r>
        <w:rPr>
          <w:sz w:val="28"/>
          <w:szCs w:val="28"/>
        </w:rPr>
        <w:t xml:space="preserve"> </w:t>
      </w:r>
      <w:r w:rsidRPr="00D200C8">
        <w:rPr>
          <w:sz w:val="28"/>
          <w:szCs w:val="28"/>
        </w:rPr>
        <w:t>2022 год.</w:t>
      </w:r>
    </w:p>
    <w:p w:rsidR="000B7B23" w:rsidRPr="00D200C8" w:rsidRDefault="000B7B23" w:rsidP="004F7088">
      <w:pPr>
        <w:autoSpaceDE w:val="0"/>
        <w:autoSpaceDN w:val="0"/>
        <w:adjustRightInd w:val="0"/>
        <w:spacing w:before="120"/>
        <w:ind w:firstLine="709"/>
        <w:jc w:val="both"/>
        <w:rPr>
          <w:sz w:val="28"/>
          <w:szCs w:val="28"/>
        </w:rPr>
      </w:pPr>
      <w:r w:rsidRPr="00D200C8">
        <w:rPr>
          <w:sz w:val="28"/>
          <w:szCs w:val="28"/>
        </w:rPr>
        <w:lastRenderedPageBreak/>
        <w:t>Информация о</w:t>
      </w:r>
      <w:r>
        <w:rPr>
          <w:sz w:val="28"/>
          <w:szCs w:val="28"/>
        </w:rPr>
        <w:t>б</w:t>
      </w:r>
      <w:r w:rsidRPr="00D200C8">
        <w:rPr>
          <w:sz w:val="28"/>
          <w:szCs w:val="28"/>
        </w:rPr>
        <w:t xml:space="preserve"> </w:t>
      </w:r>
      <w:r>
        <w:rPr>
          <w:sz w:val="28"/>
          <w:szCs w:val="28"/>
        </w:rPr>
        <w:t>использовании</w:t>
      </w:r>
      <w:r w:rsidRPr="00D200C8">
        <w:rPr>
          <w:sz w:val="28"/>
          <w:szCs w:val="28"/>
        </w:rPr>
        <w:t xml:space="preserve"> средств субсидии, предоставленных Фонду на финансовое обеспечение уставной деятельности в 2019-2021 годах, приведена в таблице </w:t>
      </w:r>
      <w:r>
        <w:rPr>
          <w:sz w:val="28"/>
          <w:szCs w:val="28"/>
        </w:rPr>
        <w:t>2</w:t>
      </w:r>
      <w:r w:rsidRPr="00D200C8">
        <w:rPr>
          <w:sz w:val="28"/>
          <w:szCs w:val="28"/>
        </w:rPr>
        <w:t>.</w:t>
      </w:r>
    </w:p>
    <w:p w:rsidR="000B7B23" w:rsidRPr="00D200C8" w:rsidRDefault="000B7B23" w:rsidP="004F7088">
      <w:pPr>
        <w:autoSpaceDE w:val="0"/>
        <w:autoSpaceDN w:val="0"/>
        <w:adjustRightInd w:val="0"/>
        <w:ind w:firstLine="708"/>
        <w:jc w:val="right"/>
        <w:rPr>
          <w:sz w:val="28"/>
          <w:szCs w:val="28"/>
        </w:rPr>
      </w:pPr>
      <w:r w:rsidRPr="00D200C8">
        <w:rPr>
          <w:sz w:val="28"/>
          <w:szCs w:val="28"/>
        </w:rPr>
        <w:t xml:space="preserve">Таблица </w:t>
      </w:r>
      <w:r>
        <w:rPr>
          <w:sz w:val="28"/>
          <w:szCs w:val="28"/>
        </w:rPr>
        <w:t>2</w:t>
      </w:r>
    </w:p>
    <w:p w:rsidR="000B7B23" w:rsidRPr="00D200C8" w:rsidRDefault="000B7B23" w:rsidP="004F7088">
      <w:pPr>
        <w:autoSpaceDE w:val="0"/>
        <w:autoSpaceDN w:val="0"/>
        <w:adjustRightInd w:val="0"/>
        <w:ind w:firstLine="708"/>
        <w:jc w:val="right"/>
        <w:rPr>
          <w:sz w:val="28"/>
          <w:szCs w:val="28"/>
        </w:rPr>
      </w:pPr>
      <w:r w:rsidRPr="00D200C8">
        <w:rPr>
          <w:sz w:val="28"/>
          <w:szCs w:val="28"/>
        </w:rPr>
        <w:t>(тыс. рублей)</w:t>
      </w:r>
    </w:p>
    <w:tbl>
      <w:tblPr>
        <w:tblW w:w="9700" w:type="dxa"/>
        <w:jc w:val="center"/>
        <w:tblLook w:val="04A0" w:firstRow="1" w:lastRow="0" w:firstColumn="1" w:lastColumn="0" w:noHBand="0" w:noVBand="1"/>
      </w:tblPr>
      <w:tblGrid>
        <w:gridCol w:w="2689"/>
        <w:gridCol w:w="834"/>
        <w:gridCol w:w="834"/>
        <w:gridCol w:w="836"/>
        <w:gridCol w:w="834"/>
        <w:gridCol w:w="834"/>
        <w:gridCol w:w="836"/>
        <w:gridCol w:w="667"/>
        <w:gridCol w:w="667"/>
        <w:gridCol w:w="669"/>
      </w:tblGrid>
      <w:tr w:rsidR="000B7B23" w:rsidRPr="00EA3D17" w:rsidTr="00B545D2">
        <w:trPr>
          <w:trHeight w:val="557"/>
          <w:tblHeader/>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7B23" w:rsidRPr="00EA3D17" w:rsidRDefault="000B7B23" w:rsidP="004F7088">
            <w:pPr>
              <w:jc w:val="center"/>
              <w:rPr>
                <w:color w:val="000000"/>
                <w:sz w:val="20"/>
                <w:szCs w:val="20"/>
              </w:rPr>
            </w:pPr>
            <w:r w:rsidRPr="00EA3D17">
              <w:rPr>
                <w:color w:val="000000"/>
                <w:sz w:val="20"/>
                <w:szCs w:val="20"/>
              </w:rPr>
              <w:t>Наименование показателя</w:t>
            </w:r>
          </w:p>
        </w:tc>
        <w:tc>
          <w:tcPr>
            <w:tcW w:w="2504" w:type="dxa"/>
            <w:gridSpan w:val="3"/>
            <w:tcBorders>
              <w:top w:val="single" w:sz="4" w:space="0" w:color="auto"/>
              <w:left w:val="nil"/>
              <w:bottom w:val="single" w:sz="4" w:space="0" w:color="auto"/>
              <w:right w:val="single" w:sz="4" w:space="0" w:color="auto"/>
            </w:tcBorders>
            <w:shd w:val="clear" w:color="auto" w:fill="auto"/>
            <w:hideMark/>
          </w:tcPr>
          <w:p w:rsidR="000B7B23" w:rsidRPr="00EA3D17" w:rsidRDefault="000B7B23" w:rsidP="004F7088">
            <w:pPr>
              <w:jc w:val="center"/>
              <w:rPr>
                <w:color w:val="000000"/>
                <w:sz w:val="20"/>
                <w:szCs w:val="20"/>
              </w:rPr>
            </w:pPr>
            <w:r w:rsidRPr="00EA3D17">
              <w:rPr>
                <w:color w:val="000000"/>
                <w:sz w:val="20"/>
                <w:szCs w:val="20"/>
              </w:rPr>
              <w:t>Поступили средства субсидии (финансирование)</w:t>
            </w:r>
          </w:p>
        </w:tc>
        <w:tc>
          <w:tcPr>
            <w:tcW w:w="2504" w:type="dxa"/>
            <w:gridSpan w:val="3"/>
            <w:tcBorders>
              <w:top w:val="single" w:sz="4" w:space="0" w:color="auto"/>
              <w:left w:val="nil"/>
              <w:bottom w:val="single" w:sz="4" w:space="0" w:color="auto"/>
              <w:right w:val="single" w:sz="4" w:space="0" w:color="auto"/>
            </w:tcBorders>
            <w:shd w:val="clear" w:color="auto" w:fill="auto"/>
            <w:hideMark/>
          </w:tcPr>
          <w:p w:rsidR="000B7B23" w:rsidRPr="00EA3D17" w:rsidRDefault="000B7B23" w:rsidP="004F7088">
            <w:pPr>
              <w:ind w:left="-105" w:right="-107"/>
              <w:jc w:val="center"/>
              <w:rPr>
                <w:color w:val="000000"/>
                <w:sz w:val="20"/>
                <w:szCs w:val="20"/>
              </w:rPr>
            </w:pPr>
            <w:r w:rsidRPr="00EA3D17">
              <w:rPr>
                <w:color w:val="000000"/>
                <w:sz w:val="20"/>
                <w:szCs w:val="20"/>
              </w:rPr>
              <w:t>Использованы средства субсидии (данные отчетов об использовании субсидии)</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hideMark/>
          </w:tcPr>
          <w:p w:rsidR="000B7B23" w:rsidRPr="00EA3D17" w:rsidRDefault="000B7B23" w:rsidP="004F7088">
            <w:pPr>
              <w:jc w:val="center"/>
              <w:rPr>
                <w:color w:val="000000"/>
                <w:sz w:val="20"/>
                <w:szCs w:val="20"/>
              </w:rPr>
            </w:pPr>
            <w:r w:rsidRPr="00EA3D17">
              <w:rPr>
                <w:color w:val="000000"/>
                <w:sz w:val="20"/>
                <w:szCs w:val="20"/>
              </w:rPr>
              <w:t>Исполнение, %</w:t>
            </w:r>
          </w:p>
        </w:tc>
      </w:tr>
      <w:tr w:rsidR="000B7B23" w:rsidRPr="00EA3D17" w:rsidTr="00B545D2">
        <w:trPr>
          <w:trHeight w:val="44"/>
          <w:tblHeader/>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0B7B23" w:rsidRPr="00EA3D17" w:rsidRDefault="000B7B23" w:rsidP="004F7088">
            <w:pPr>
              <w:rPr>
                <w:color w:val="000000"/>
                <w:sz w:val="20"/>
                <w:szCs w:val="20"/>
              </w:rPr>
            </w:pPr>
          </w:p>
        </w:tc>
        <w:tc>
          <w:tcPr>
            <w:tcW w:w="834" w:type="dxa"/>
            <w:tcBorders>
              <w:top w:val="nil"/>
              <w:left w:val="nil"/>
              <w:bottom w:val="single" w:sz="4" w:space="0" w:color="auto"/>
              <w:right w:val="single" w:sz="4" w:space="0" w:color="auto"/>
            </w:tcBorders>
            <w:shd w:val="clear" w:color="auto" w:fill="auto"/>
            <w:hideMark/>
          </w:tcPr>
          <w:p w:rsidR="000B7B23" w:rsidRPr="00EA3D17" w:rsidRDefault="000B7B23" w:rsidP="00454B79">
            <w:pPr>
              <w:ind w:left="-68" w:right="-64"/>
              <w:jc w:val="center"/>
              <w:rPr>
                <w:color w:val="000000"/>
                <w:sz w:val="20"/>
                <w:szCs w:val="20"/>
              </w:rPr>
            </w:pPr>
            <w:r w:rsidRPr="00EA3D17">
              <w:rPr>
                <w:color w:val="000000"/>
                <w:sz w:val="20"/>
                <w:szCs w:val="20"/>
              </w:rPr>
              <w:t>2019</w:t>
            </w:r>
          </w:p>
        </w:tc>
        <w:tc>
          <w:tcPr>
            <w:tcW w:w="834" w:type="dxa"/>
            <w:tcBorders>
              <w:top w:val="nil"/>
              <w:left w:val="nil"/>
              <w:bottom w:val="single" w:sz="4" w:space="0" w:color="auto"/>
              <w:right w:val="single" w:sz="4" w:space="0" w:color="auto"/>
            </w:tcBorders>
            <w:shd w:val="clear" w:color="auto" w:fill="auto"/>
            <w:hideMark/>
          </w:tcPr>
          <w:p w:rsidR="000B7B23" w:rsidRPr="00EA3D17" w:rsidRDefault="000B7B23" w:rsidP="00454B79">
            <w:pPr>
              <w:ind w:left="-176" w:right="-191"/>
              <w:jc w:val="center"/>
              <w:rPr>
                <w:color w:val="000000"/>
                <w:sz w:val="20"/>
                <w:szCs w:val="20"/>
              </w:rPr>
            </w:pPr>
            <w:r w:rsidRPr="00EA3D17">
              <w:rPr>
                <w:color w:val="000000"/>
                <w:sz w:val="20"/>
                <w:szCs w:val="20"/>
              </w:rPr>
              <w:t>2020</w:t>
            </w:r>
          </w:p>
        </w:tc>
        <w:tc>
          <w:tcPr>
            <w:tcW w:w="836" w:type="dxa"/>
            <w:tcBorders>
              <w:top w:val="nil"/>
              <w:left w:val="nil"/>
              <w:bottom w:val="single" w:sz="4" w:space="0" w:color="auto"/>
              <w:right w:val="single" w:sz="4" w:space="0" w:color="auto"/>
            </w:tcBorders>
            <w:shd w:val="clear" w:color="auto" w:fill="auto"/>
            <w:hideMark/>
          </w:tcPr>
          <w:p w:rsidR="000B7B23" w:rsidRPr="00EA3D17" w:rsidRDefault="000B7B23" w:rsidP="004F7088">
            <w:pPr>
              <w:jc w:val="center"/>
              <w:rPr>
                <w:color w:val="000000"/>
                <w:sz w:val="20"/>
                <w:szCs w:val="20"/>
              </w:rPr>
            </w:pPr>
            <w:r w:rsidRPr="00EA3D17">
              <w:rPr>
                <w:color w:val="000000"/>
                <w:sz w:val="20"/>
                <w:szCs w:val="20"/>
              </w:rPr>
              <w:t>2021</w:t>
            </w:r>
          </w:p>
        </w:tc>
        <w:tc>
          <w:tcPr>
            <w:tcW w:w="834" w:type="dxa"/>
            <w:tcBorders>
              <w:top w:val="nil"/>
              <w:left w:val="nil"/>
              <w:bottom w:val="single" w:sz="4" w:space="0" w:color="auto"/>
              <w:right w:val="single" w:sz="4" w:space="0" w:color="auto"/>
            </w:tcBorders>
            <w:shd w:val="clear" w:color="auto" w:fill="auto"/>
            <w:hideMark/>
          </w:tcPr>
          <w:p w:rsidR="000B7B23" w:rsidRPr="00EA3D17" w:rsidRDefault="000B7B23" w:rsidP="004F7088">
            <w:pPr>
              <w:jc w:val="center"/>
              <w:rPr>
                <w:color w:val="000000"/>
                <w:sz w:val="20"/>
                <w:szCs w:val="20"/>
              </w:rPr>
            </w:pPr>
            <w:r w:rsidRPr="00EA3D17">
              <w:rPr>
                <w:color w:val="000000"/>
                <w:sz w:val="20"/>
                <w:szCs w:val="20"/>
              </w:rPr>
              <w:t>2019</w:t>
            </w:r>
          </w:p>
        </w:tc>
        <w:tc>
          <w:tcPr>
            <w:tcW w:w="834" w:type="dxa"/>
            <w:tcBorders>
              <w:top w:val="nil"/>
              <w:left w:val="nil"/>
              <w:bottom w:val="single" w:sz="4" w:space="0" w:color="auto"/>
              <w:right w:val="nil"/>
            </w:tcBorders>
            <w:shd w:val="clear" w:color="auto" w:fill="auto"/>
            <w:hideMark/>
          </w:tcPr>
          <w:p w:rsidR="000B7B23" w:rsidRPr="00EA3D17" w:rsidRDefault="000B7B23" w:rsidP="004F7088">
            <w:pPr>
              <w:jc w:val="center"/>
              <w:rPr>
                <w:color w:val="000000"/>
                <w:sz w:val="20"/>
                <w:szCs w:val="20"/>
              </w:rPr>
            </w:pPr>
            <w:r w:rsidRPr="00EA3D17">
              <w:rPr>
                <w:color w:val="000000"/>
                <w:sz w:val="20"/>
                <w:szCs w:val="20"/>
              </w:rPr>
              <w:t>2020</w:t>
            </w:r>
          </w:p>
        </w:tc>
        <w:tc>
          <w:tcPr>
            <w:tcW w:w="836" w:type="dxa"/>
            <w:tcBorders>
              <w:top w:val="nil"/>
              <w:left w:val="single" w:sz="4" w:space="0" w:color="auto"/>
              <w:bottom w:val="single" w:sz="4" w:space="0" w:color="auto"/>
              <w:right w:val="nil"/>
            </w:tcBorders>
            <w:shd w:val="clear" w:color="auto" w:fill="auto"/>
            <w:hideMark/>
          </w:tcPr>
          <w:p w:rsidR="000B7B23" w:rsidRPr="00EA3D17" w:rsidRDefault="000B7B23" w:rsidP="004F7088">
            <w:pPr>
              <w:jc w:val="center"/>
              <w:rPr>
                <w:color w:val="000000"/>
                <w:sz w:val="20"/>
                <w:szCs w:val="20"/>
              </w:rPr>
            </w:pPr>
            <w:r w:rsidRPr="00EA3D17">
              <w:rPr>
                <w:color w:val="000000"/>
                <w:sz w:val="20"/>
                <w:szCs w:val="20"/>
              </w:rPr>
              <w:t>2021</w:t>
            </w:r>
          </w:p>
        </w:tc>
        <w:tc>
          <w:tcPr>
            <w:tcW w:w="667" w:type="dxa"/>
            <w:tcBorders>
              <w:top w:val="nil"/>
              <w:left w:val="single" w:sz="4" w:space="0" w:color="auto"/>
              <w:bottom w:val="single" w:sz="4" w:space="0" w:color="auto"/>
              <w:right w:val="single" w:sz="4" w:space="0" w:color="auto"/>
            </w:tcBorders>
            <w:shd w:val="clear" w:color="auto" w:fill="auto"/>
            <w:hideMark/>
          </w:tcPr>
          <w:p w:rsidR="000B7B23" w:rsidRPr="00EA3D17" w:rsidRDefault="000B7B23" w:rsidP="004F7088">
            <w:pPr>
              <w:jc w:val="center"/>
              <w:rPr>
                <w:color w:val="000000"/>
                <w:sz w:val="20"/>
                <w:szCs w:val="20"/>
              </w:rPr>
            </w:pPr>
            <w:r w:rsidRPr="00EA3D17">
              <w:rPr>
                <w:color w:val="000000"/>
                <w:sz w:val="20"/>
                <w:szCs w:val="20"/>
              </w:rPr>
              <w:t>2019</w:t>
            </w:r>
          </w:p>
        </w:tc>
        <w:tc>
          <w:tcPr>
            <w:tcW w:w="667" w:type="dxa"/>
            <w:tcBorders>
              <w:top w:val="nil"/>
              <w:left w:val="nil"/>
              <w:bottom w:val="single" w:sz="4" w:space="0" w:color="auto"/>
              <w:right w:val="single" w:sz="4" w:space="0" w:color="auto"/>
            </w:tcBorders>
            <w:shd w:val="clear" w:color="auto" w:fill="auto"/>
            <w:hideMark/>
          </w:tcPr>
          <w:p w:rsidR="000B7B23" w:rsidRPr="00EA3D17" w:rsidRDefault="000B7B23" w:rsidP="00B545D2">
            <w:pPr>
              <w:ind w:left="-72" w:right="-42"/>
              <w:jc w:val="center"/>
              <w:rPr>
                <w:color w:val="000000"/>
                <w:sz w:val="20"/>
                <w:szCs w:val="20"/>
              </w:rPr>
            </w:pPr>
            <w:r w:rsidRPr="00EA3D17">
              <w:rPr>
                <w:color w:val="000000"/>
                <w:sz w:val="20"/>
                <w:szCs w:val="20"/>
              </w:rPr>
              <w:t>2020</w:t>
            </w:r>
          </w:p>
        </w:tc>
        <w:tc>
          <w:tcPr>
            <w:tcW w:w="669" w:type="dxa"/>
            <w:tcBorders>
              <w:top w:val="nil"/>
              <w:left w:val="nil"/>
              <w:bottom w:val="single" w:sz="4" w:space="0" w:color="auto"/>
              <w:right w:val="single" w:sz="4" w:space="0" w:color="auto"/>
            </w:tcBorders>
            <w:shd w:val="clear" w:color="auto" w:fill="auto"/>
            <w:hideMark/>
          </w:tcPr>
          <w:p w:rsidR="000B7B23" w:rsidRPr="00EA3D17" w:rsidRDefault="000B7B23" w:rsidP="00B545D2">
            <w:pPr>
              <w:ind w:left="-29" w:right="-83" w:hanging="12"/>
              <w:jc w:val="center"/>
              <w:rPr>
                <w:color w:val="000000"/>
                <w:sz w:val="20"/>
                <w:szCs w:val="20"/>
              </w:rPr>
            </w:pPr>
            <w:r w:rsidRPr="00EA3D17">
              <w:rPr>
                <w:color w:val="000000"/>
                <w:sz w:val="20"/>
                <w:szCs w:val="20"/>
              </w:rPr>
              <w:t>2021</w:t>
            </w:r>
          </w:p>
        </w:tc>
      </w:tr>
      <w:tr w:rsidR="000B7B23" w:rsidRPr="00EA3D17" w:rsidTr="00B545D2">
        <w:trPr>
          <w:trHeight w:val="44"/>
          <w:tblHeader/>
          <w:jc w:val="center"/>
        </w:trPr>
        <w:tc>
          <w:tcPr>
            <w:tcW w:w="2689" w:type="dxa"/>
            <w:tcBorders>
              <w:top w:val="nil"/>
              <w:left w:val="single" w:sz="4" w:space="0" w:color="auto"/>
              <w:bottom w:val="single" w:sz="4" w:space="0" w:color="auto"/>
              <w:right w:val="single" w:sz="4" w:space="0" w:color="auto"/>
            </w:tcBorders>
            <w:shd w:val="clear" w:color="auto" w:fill="auto"/>
          </w:tcPr>
          <w:p w:rsidR="000B7B23" w:rsidRPr="00EA3D17" w:rsidRDefault="000B7B23" w:rsidP="004F7088">
            <w:pPr>
              <w:jc w:val="center"/>
              <w:rPr>
                <w:bCs/>
                <w:color w:val="000000"/>
                <w:sz w:val="20"/>
                <w:szCs w:val="20"/>
              </w:rPr>
            </w:pPr>
            <w:r w:rsidRPr="00EA3D17">
              <w:rPr>
                <w:bCs/>
                <w:color w:val="000000"/>
                <w:sz w:val="20"/>
                <w:szCs w:val="20"/>
              </w:rPr>
              <w:t>1</w:t>
            </w:r>
          </w:p>
        </w:tc>
        <w:tc>
          <w:tcPr>
            <w:tcW w:w="834" w:type="dxa"/>
            <w:tcBorders>
              <w:top w:val="nil"/>
              <w:left w:val="nil"/>
              <w:bottom w:val="single" w:sz="4" w:space="0" w:color="auto"/>
              <w:right w:val="single" w:sz="4" w:space="0" w:color="auto"/>
            </w:tcBorders>
            <w:shd w:val="clear" w:color="auto" w:fill="auto"/>
            <w:vAlign w:val="center"/>
          </w:tcPr>
          <w:p w:rsidR="000B7B23" w:rsidRPr="00EA3D17" w:rsidRDefault="000B7B23" w:rsidP="00454B79">
            <w:pPr>
              <w:ind w:left="-68" w:right="-64"/>
              <w:jc w:val="center"/>
              <w:rPr>
                <w:bCs/>
                <w:color w:val="000000"/>
                <w:sz w:val="20"/>
                <w:szCs w:val="20"/>
              </w:rPr>
            </w:pPr>
            <w:r w:rsidRPr="00EA3D17">
              <w:rPr>
                <w:bCs/>
                <w:color w:val="000000"/>
                <w:sz w:val="20"/>
                <w:szCs w:val="20"/>
              </w:rPr>
              <w:t>2</w:t>
            </w:r>
          </w:p>
        </w:tc>
        <w:tc>
          <w:tcPr>
            <w:tcW w:w="834" w:type="dxa"/>
            <w:tcBorders>
              <w:top w:val="nil"/>
              <w:left w:val="nil"/>
              <w:bottom w:val="single" w:sz="4" w:space="0" w:color="auto"/>
              <w:right w:val="single" w:sz="4" w:space="0" w:color="auto"/>
            </w:tcBorders>
            <w:shd w:val="clear" w:color="auto" w:fill="auto"/>
            <w:vAlign w:val="center"/>
          </w:tcPr>
          <w:p w:rsidR="000B7B23" w:rsidRPr="00EA3D17" w:rsidRDefault="000B7B23" w:rsidP="00454B79">
            <w:pPr>
              <w:ind w:left="-176" w:right="-191"/>
              <w:jc w:val="center"/>
              <w:rPr>
                <w:bCs/>
                <w:color w:val="000000"/>
                <w:sz w:val="20"/>
                <w:szCs w:val="20"/>
              </w:rPr>
            </w:pPr>
            <w:r w:rsidRPr="00EA3D17">
              <w:rPr>
                <w:bCs/>
                <w:color w:val="000000"/>
                <w:sz w:val="20"/>
                <w:szCs w:val="20"/>
              </w:rPr>
              <w:t>3</w:t>
            </w:r>
          </w:p>
        </w:tc>
        <w:tc>
          <w:tcPr>
            <w:tcW w:w="836" w:type="dxa"/>
            <w:tcBorders>
              <w:top w:val="nil"/>
              <w:left w:val="nil"/>
              <w:bottom w:val="single" w:sz="4" w:space="0" w:color="auto"/>
              <w:right w:val="single" w:sz="4" w:space="0" w:color="auto"/>
            </w:tcBorders>
            <w:shd w:val="clear" w:color="auto" w:fill="auto"/>
            <w:vAlign w:val="center"/>
          </w:tcPr>
          <w:p w:rsidR="000B7B23" w:rsidRPr="00EA3D17" w:rsidRDefault="000B7B23" w:rsidP="004F7088">
            <w:pPr>
              <w:jc w:val="center"/>
              <w:rPr>
                <w:bCs/>
                <w:color w:val="000000"/>
                <w:sz w:val="20"/>
                <w:szCs w:val="20"/>
              </w:rPr>
            </w:pPr>
            <w:r w:rsidRPr="00EA3D17">
              <w:rPr>
                <w:bCs/>
                <w:color w:val="000000"/>
                <w:sz w:val="20"/>
                <w:szCs w:val="20"/>
              </w:rPr>
              <w:t>4</w:t>
            </w:r>
          </w:p>
        </w:tc>
        <w:tc>
          <w:tcPr>
            <w:tcW w:w="834" w:type="dxa"/>
            <w:tcBorders>
              <w:top w:val="nil"/>
              <w:left w:val="nil"/>
              <w:bottom w:val="single" w:sz="4" w:space="0" w:color="auto"/>
              <w:right w:val="single" w:sz="4" w:space="0" w:color="auto"/>
            </w:tcBorders>
            <w:shd w:val="clear" w:color="auto" w:fill="auto"/>
            <w:vAlign w:val="center"/>
          </w:tcPr>
          <w:p w:rsidR="000B7B23" w:rsidRPr="00EA3D17" w:rsidRDefault="000B7B23" w:rsidP="004F7088">
            <w:pPr>
              <w:jc w:val="center"/>
              <w:rPr>
                <w:bCs/>
                <w:color w:val="000000"/>
                <w:sz w:val="20"/>
                <w:szCs w:val="20"/>
              </w:rPr>
            </w:pPr>
            <w:r w:rsidRPr="00EA3D17">
              <w:rPr>
                <w:bCs/>
                <w:color w:val="000000"/>
                <w:sz w:val="20"/>
                <w:szCs w:val="20"/>
              </w:rPr>
              <w:t>5</w:t>
            </w:r>
          </w:p>
        </w:tc>
        <w:tc>
          <w:tcPr>
            <w:tcW w:w="834" w:type="dxa"/>
            <w:tcBorders>
              <w:top w:val="nil"/>
              <w:left w:val="nil"/>
              <w:bottom w:val="single" w:sz="4" w:space="0" w:color="auto"/>
              <w:right w:val="single" w:sz="4" w:space="0" w:color="auto"/>
            </w:tcBorders>
            <w:shd w:val="clear" w:color="auto" w:fill="auto"/>
            <w:vAlign w:val="center"/>
          </w:tcPr>
          <w:p w:rsidR="000B7B23" w:rsidRPr="00EA3D17" w:rsidRDefault="000B7B23" w:rsidP="004F7088">
            <w:pPr>
              <w:jc w:val="center"/>
              <w:rPr>
                <w:bCs/>
                <w:color w:val="000000"/>
                <w:sz w:val="20"/>
                <w:szCs w:val="20"/>
              </w:rPr>
            </w:pPr>
            <w:r w:rsidRPr="00EA3D17">
              <w:rPr>
                <w:bCs/>
                <w:color w:val="000000"/>
                <w:sz w:val="20"/>
                <w:szCs w:val="20"/>
              </w:rPr>
              <w:t>6</w:t>
            </w:r>
          </w:p>
        </w:tc>
        <w:tc>
          <w:tcPr>
            <w:tcW w:w="836" w:type="dxa"/>
            <w:tcBorders>
              <w:top w:val="nil"/>
              <w:left w:val="nil"/>
              <w:bottom w:val="single" w:sz="4" w:space="0" w:color="auto"/>
              <w:right w:val="single" w:sz="4" w:space="0" w:color="auto"/>
            </w:tcBorders>
            <w:shd w:val="clear" w:color="auto" w:fill="auto"/>
            <w:vAlign w:val="center"/>
          </w:tcPr>
          <w:p w:rsidR="000B7B23" w:rsidRPr="00EA3D17" w:rsidRDefault="000B7B23" w:rsidP="004F7088">
            <w:pPr>
              <w:jc w:val="center"/>
              <w:rPr>
                <w:bCs/>
                <w:color w:val="000000"/>
                <w:sz w:val="20"/>
                <w:szCs w:val="20"/>
              </w:rPr>
            </w:pPr>
            <w:r w:rsidRPr="00EA3D17">
              <w:rPr>
                <w:bCs/>
                <w:color w:val="000000"/>
                <w:sz w:val="20"/>
                <w:szCs w:val="20"/>
              </w:rPr>
              <w:t>7</w:t>
            </w:r>
          </w:p>
        </w:tc>
        <w:tc>
          <w:tcPr>
            <w:tcW w:w="667" w:type="dxa"/>
            <w:tcBorders>
              <w:top w:val="nil"/>
              <w:left w:val="nil"/>
              <w:bottom w:val="single" w:sz="4" w:space="0" w:color="auto"/>
              <w:right w:val="single" w:sz="4" w:space="0" w:color="auto"/>
            </w:tcBorders>
            <w:shd w:val="clear" w:color="auto" w:fill="auto"/>
            <w:vAlign w:val="center"/>
          </w:tcPr>
          <w:p w:rsidR="000B7B23" w:rsidRPr="00EA3D17" w:rsidRDefault="000B7B23" w:rsidP="004F7088">
            <w:pPr>
              <w:jc w:val="center"/>
              <w:rPr>
                <w:bCs/>
                <w:color w:val="000000"/>
                <w:sz w:val="20"/>
                <w:szCs w:val="20"/>
              </w:rPr>
            </w:pPr>
            <w:r w:rsidRPr="00EA3D17">
              <w:rPr>
                <w:bCs/>
                <w:color w:val="000000"/>
                <w:sz w:val="20"/>
                <w:szCs w:val="20"/>
              </w:rPr>
              <w:t>8</w:t>
            </w:r>
          </w:p>
        </w:tc>
        <w:tc>
          <w:tcPr>
            <w:tcW w:w="667" w:type="dxa"/>
            <w:tcBorders>
              <w:top w:val="nil"/>
              <w:left w:val="nil"/>
              <w:bottom w:val="single" w:sz="4" w:space="0" w:color="auto"/>
              <w:right w:val="single" w:sz="4" w:space="0" w:color="auto"/>
            </w:tcBorders>
            <w:shd w:val="clear" w:color="auto" w:fill="auto"/>
            <w:vAlign w:val="center"/>
          </w:tcPr>
          <w:p w:rsidR="000B7B23" w:rsidRPr="00EA3D17" w:rsidRDefault="000B7B23" w:rsidP="00B545D2">
            <w:pPr>
              <w:ind w:left="-72" w:right="-42"/>
              <w:jc w:val="center"/>
              <w:rPr>
                <w:bCs/>
                <w:color w:val="000000"/>
                <w:sz w:val="20"/>
                <w:szCs w:val="20"/>
              </w:rPr>
            </w:pPr>
            <w:r w:rsidRPr="00EA3D17">
              <w:rPr>
                <w:bCs/>
                <w:color w:val="000000"/>
                <w:sz w:val="20"/>
                <w:szCs w:val="20"/>
              </w:rPr>
              <w:t>9</w:t>
            </w:r>
          </w:p>
        </w:tc>
        <w:tc>
          <w:tcPr>
            <w:tcW w:w="669" w:type="dxa"/>
            <w:tcBorders>
              <w:top w:val="nil"/>
              <w:left w:val="nil"/>
              <w:bottom w:val="single" w:sz="4" w:space="0" w:color="auto"/>
              <w:right w:val="single" w:sz="4" w:space="0" w:color="auto"/>
            </w:tcBorders>
            <w:shd w:val="clear" w:color="auto" w:fill="auto"/>
            <w:vAlign w:val="center"/>
          </w:tcPr>
          <w:p w:rsidR="000B7B23" w:rsidRPr="00EA3D17" w:rsidRDefault="000B7B23" w:rsidP="00B545D2">
            <w:pPr>
              <w:ind w:left="-29" w:right="-83" w:hanging="12"/>
              <w:jc w:val="center"/>
              <w:rPr>
                <w:bCs/>
                <w:color w:val="000000"/>
                <w:sz w:val="20"/>
                <w:szCs w:val="20"/>
              </w:rPr>
            </w:pPr>
            <w:r w:rsidRPr="00EA3D17">
              <w:rPr>
                <w:bCs/>
                <w:color w:val="000000"/>
                <w:sz w:val="20"/>
                <w:szCs w:val="20"/>
              </w:rPr>
              <w:t>10</w:t>
            </w:r>
          </w:p>
        </w:tc>
      </w:tr>
      <w:tr w:rsidR="000B7B23" w:rsidRPr="00EA3D17" w:rsidTr="00B545D2">
        <w:trPr>
          <w:trHeight w:val="44"/>
          <w:jc w:val="center"/>
        </w:trPr>
        <w:tc>
          <w:tcPr>
            <w:tcW w:w="2689" w:type="dxa"/>
            <w:tcBorders>
              <w:top w:val="nil"/>
              <w:left w:val="single" w:sz="4" w:space="0" w:color="auto"/>
              <w:bottom w:val="single" w:sz="4" w:space="0" w:color="auto"/>
              <w:right w:val="single" w:sz="4" w:space="0" w:color="auto"/>
            </w:tcBorders>
            <w:shd w:val="clear" w:color="auto" w:fill="auto"/>
            <w:hideMark/>
          </w:tcPr>
          <w:p w:rsidR="000B7B23" w:rsidRPr="00EA3D17" w:rsidRDefault="000B7B23" w:rsidP="004F7088">
            <w:pPr>
              <w:rPr>
                <w:b/>
                <w:bCs/>
                <w:color w:val="000000"/>
                <w:sz w:val="20"/>
                <w:szCs w:val="20"/>
              </w:rPr>
            </w:pPr>
            <w:r w:rsidRPr="00EA3D17">
              <w:rPr>
                <w:b/>
                <w:bCs/>
                <w:color w:val="000000"/>
                <w:sz w:val="20"/>
                <w:szCs w:val="20"/>
              </w:rPr>
              <w:t xml:space="preserve">Расходы за счет субсидии на финансовое обеспечение затрат по осуществлению уставной деятельности, в том числе:  </w:t>
            </w:r>
          </w:p>
        </w:tc>
        <w:tc>
          <w:tcPr>
            <w:tcW w:w="834"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left="-68" w:right="-64"/>
              <w:jc w:val="center"/>
              <w:rPr>
                <w:b/>
                <w:bCs/>
                <w:color w:val="000000"/>
                <w:sz w:val="20"/>
                <w:szCs w:val="20"/>
              </w:rPr>
            </w:pPr>
            <w:r w:rsidRPr="00EA3D17">
              <w:rPr>
                <w:b/>
                <w:bCs/>
                <w:color w:val="000000"/>
                <w:sz w:val="20"/>
                <w:szCs w:val="20"/>
              </w:rPr>
              <w:t>16 271,7</w:t>
            </w:r>
          </w:p>
        </w:tc>
        <w:tc>
          <w:tcPr>
            <w:tcW w:w="834"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left="-176" w:right="-191"/>
              <w:jc w:val="center"/>
              <w:rPr>
                <w:b/>
                <w:bCs/>
                <w:color w:val="000000"/>
                <w:sz w:val="20"/>
                <w:szCs w:val="20"/>
              </w:rPr>
            </w:pPr>
            <w:r w:rsidRPr="00EA3D17">
              <w:rPr>
                <w:b/>
                <w:bCs/>
                <w:color w:val="000000"/>
                <w:sz w:val="20"/>
                <w:szCs w:val="20"/>
              </w:rPr>
              <w:t>22 876,7</w:t>
            </w:r>
          </w:p>
        </w:tc>
        <w:tc>
          <w:tcPr>
            <w:tcW w:w="836"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right="-62" w:hanging="22"/>
              <w:jc w:val="center"/>
              <w:rPr>
                <w:b/>
                <w:bCs/>
                <w:color w:val="000000"/>
                <w:sz w:val="20"/>
                <w:szCs w:val="20"/>
              </w:rPr>
            </w:pPr>
            <w:r w:rsidRPr="00EA3D17">
              <w:rPr>
                <w:b/>
                <w:bCs/>
                <w:color w:val="000000"/>
                <w:sz w:val="20"/>
                <w:szCs w:val="20"/>
              </w:rPr>
              <w:t>15 631,7</w:t>
            </w:r>
          </w:p>
        </w:tc>
        <w:tc>
          <w:tcPr>
            <w:tcW w:w="834"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left="-151" w:right="-216"/>
              <w:jc w:val="center"/>
              <w:rPr>
                <w:b/>
                <w:bCs/>
                <w:color w:val="000000"/>
                <w:sz w:val="20"/>
                <w:szCs w:val="20"/>
              </w:rPr>
            </w:pPr>
            <w:r w:rsidRPr="00EA3D17">
              <w:rPr>
                <w:b/>
                <w:bCs/>
                <w:color w:val="000000"/>
                <w:sz w:val="20"/>
                <w:szCs w:val="20"/>
              </w:rPr>
              <w:t>16 271,7</w:t>
            </w:r>
          </w:p>
        </w:tc>
        <w:tc>
          <w:tcPr>
            <w:tcW w:w="834"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left="-139" w:right="-86"/>
              <w:jc w:val="center"/>
              <w:rPr>
                <w:b/>
                <w:bCs/>
                <w:color w:val="000000"/>
                <w:sz w:val="20"/>
                <w:szCs w:val="20"/>
              </w:rPr>
            </w:pPr>
            <w:r w:rsidRPr="00EA3D17">
              <w:rPr>
                <w:b/>
                <w:bCs/>
                <w:color w:val="000000"/>
                <w:sz w:val="20"/>
                <w:szCs w:val="20"/>
              </w:rPr>
              <w:t>22 616,9</w:t>
            </w:r>
          </w:p>
        </w:tc>
        <w:tc>
          <w:tcPr>
            <w:tcW w:w="836"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left="-127" w:right="-98"/>
              <w:jc w:val="center"/>
              <w:rPr>
                <w:b/>
                <w:bCs/>
                <w:color w:val="000000"/>
                <w:sz w:val="20"/>
                <w:szCs w:val="20"/>
              </w:rPr>
            </w:pPr>
            <w:r w:rsidRPr="00EA3D17">
              <w:rPr>
                <w:b/>
                <w:bCs/>
                <w:color w:val="000000"/>
                <w:sz w:val="20"/>
                <w:szCs w:val="20"/>
              </w:rPr>
              <w:t>15 601,5</w:t>
            </w:r>
          </w:p>
        </w:tc>
        <w:tc>
          <w:tcPr>
            <w:tcW w:w="667"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F7088">
            <w:pPr>
              <w:jc w:val="center"/>
              <w:rPr>
                <w:b/>
                <w:bCs/>
                <w:color w:val="000000"/>
                <w:sz w:val="20"/>
                <w:szCs w:val="20"/>
              </w:rPr>
            </w:pPr>
            <w:r w:rsidRPr="00EA3D17">
              <w:rPr>
                <w:b/>
                <w:bCs/>
                <w:color w:val="000000"/>
                <w:sz w:val="20"/>
                <w:szCs w:val="20"/>
              </w:rPr>
              <w:t>100,0</w:t>
            </w:r>
          </w:p>
        </w:tc>
        <w:tc>
          <w:tcPr>
            <w:tcW w:w="667"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B545D2">
            <w:pPr>
              <w:ind w:left="-72" w:right="-42"/>
              <w:jc w:val="center"/>
              <w:rPr>
                <w:b/>
                <w:bCs/>
                <w:color w:val="000000"/>
                <w:sz w:val="20"/>
                <w:szCs w:val="20"/>
              </w:rPr>
            </w:pPr>
            <w:r w:rsidRPr="00EA3D17">
              <w:rPr>
                <w:b/>
                <w:bCs/>
                <w:color w:val="000000"/>
                <w:sz w:val="20"/>
                <w:szCs w:val="20"/>
              </w:rPr>
              <w:t>98,9</w:t>
            </w:r>
          </w:p>
        </w:tc>
        <w:tc>
          <w:tcPr>
            <w:tcW w:w="669"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B545D2">
            <w:pPr>
              <w:ind w:left="-29" w:right="-83" w:hanging="12"/>
              <w:jc w:val="center"/>
              <w:rPr>
                <w:b/>
                <w:bCs/>
                <w:color w:val="000000"/>
                <w:sz w:val="20"/>
                <w:szCs w:val="20"/>
              </w:rPr>
            </w:pPr>
            <w:r w:rsidRPr="00EA3D17">
              <w:rPr>
                <w:b/>
                <w:bCs/>
                <w:color w:val="000000"/>
                <w:sz w:val="20"/>
                <w:szCs w:val="20"/>
              </w:rPr>
              <w:t>99,8</w:t>
            </w:r>
          </w:p>
        </w:tc>
      </w:tr>
      <w:tr w:rsidR="000B7B23" w:rsidRPr="00EA3D17" w:rsidTr="00B545D2">
        <w:trPr>
          <w:trHeight w:val="44"/>
          <w:jc w:val="center"/>
        </w:trPr>
        <w:tc>
          <w:tcPr>
            <w:tcW w:w="2689" w:type="dxa"/>
            <w:tcBorders>
              <w:top w:val="nil"/>
              <w:left w:val="single" w:sz="4" w:space="0" w:color="auto"/>
              <w:bottom w:val="single" w:sz="4" w:space="0" w:color="auto"/>
              <w:right w:val="single" w:sz="4" w:space="0" w:color="auto"/>
            </w:tcBorders>
            <w:shd w:val="clear" w:color="auto" w:fill="auto"/>
            <w:hideMark/>
          </w:tcPr>
          <w:p w:rsidR="000B7B23" w:rsidRPr="00EA3D17" w:rsidRDefault="000B7B23" w:rsidP="004F7088">
            <w:pPr>
              <w:rPr>
                <w:color w:val="000000"/>
                <w:sz w:val="20"/>
                <w:szCs w:val="20"/>
              </w:rPr>
            </w:pPr>
            <w:r w:rsidRPr="00EA3D17">
              <w:rPr>
                <w:color w:val="000000"/>
                <w:sz w:val="20"/>
                <w:szCs w:val="20"/>
              </w:rPr>
              <w:t xml:space="preserve">оплата труда и начисления на выплаты по оплате труда </w:t>
            </w:r>
          </w:p>
        </w:tc>
        <w:tc>
          <w:tcPr>
            <w:tcW w:w="834"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left="-68" w:right="-64"/>
              <w:jc w:val="center"/>
              <w:rPr>
                <w:color w:val="000000"/>
                <w:sz w:val="20"/>
                <w:szCs w:val="20"/>
              </w:rPr>
            </w:pPr>
            <w:r w:rsidRPr="00EA3D17">
              <w:rPr>
                <w:color w:val="000000"/>
                <w:sz w:val="20"/>
                <w:szCs w:val="20"/>
              </w:rPr>
              <w:t>6 028,2</w:t>
            </w:r>
          </w:p>
        </w:tc>
        <w:tc>
          <w:tcPr>
            <w:tcW w:w="834"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left="-176" w:right="-191"/>
              <w:jc w:val="center"/>
              <w:rPr>
                <w:color w:val="000000"/>
                <w:sz w:val="20"/>
                <w:szCs w:val="20"/>
              </w:rPr>
            </w:pPr>
            <w:r w:rsidRPr="00EA3D17">
              <w:rPr>
                <w:color w:val="000000"/>
                <w:sz w:val="20"/>
                <w:szCs w:val="20"/>
              </w:rPr>
              <w:t>10 257,8</w:t>
            </w:r>
          </w:p>
        </w:tc>
        <w:tc>
          <w:tcPr>
            <w:tcW w:w="836" w:type="dxa"/>
            <w:tcBorders>
              <w:top w:val="nil"/>
              <w:left w:val="nil"/>
              <w:bottom w:val="nil"/>
              <w:right w:val="nil"/>
            </w:tcBorders>
            <w:shd w:val="clear" w:color="auto" w:fill="auto"/>
            <w:vAlign w:val="center"/>
            <w:hideMark/>
          </w:tcPr>
          <w:p w:rsidR="000B7B23" w:rsidRPr="00EA3D17" w:rsidRDefault="000B7B23" w:rsidP="00454B79">
            <w:pPr>
              <w:ind w:right="-62" w:hanging="22"/>
              <w:jc w:val="center"/>
              <w:rPr>
                <w:color w:val="000000"/>
                <w:sz w:val="20"/>
                <w:szCs w:val="20"/>
              </w:rPr>
            </w:pPr>
            <w:r w:rsidRPr="00EA3D17">
              <w:rPr>
                <w:color w:val="000000"/>
                <w:sz w:val="20"/>
                <w:szCs w:val="20"/>
              </w:rPr>
              <w:t>8 157,9</w:t>
            </w:r>
          </w:p>
        </w:tc>
        <w:tc>
          <w:tcPr>
            <w:tcW w:w="834" w:type="dxa"/>
            <w:tcBorders>
              <w:top w:val="nil"/>
              <w:left w:val="single" w:sz="4" w:space="0" w:color="auto"/>
              <w:bottom w:val="single" w:sz="4" w:space="0" w:color="auto"/>
              <w:right w:val="single" w:sz="4" w:space="0" w:color="auto"/>
            </w:tcBorders>
            <w:shd w:val="clear" w:color="auto" w:fill="auto"/>
            <w:vAlign w:val="center"/>
            <w:hideMark/>
          </w:tcPr>
          <w:p w:rsidR="000B7B23" w:rsidRPr="00EA3D17" w:rsidRDefault="000B7B23" w:rsidP="00454B79">
            <w:pPr>
              <w:ind w:left="-151" w:right="-216"/>
              <w:jc w:val="center"/>
              <w:rPr>
                <w:color w:val="000000"/>
                <w:sz w:val="20"/>
                <w:szCs w:val="20"/>
              </w:rPr>
            </w:pPr>
            <w:r w:rsidRPr="00EA3D17">
              <w:rPr>
                <w:color w:val="000000"/>
                <w:sz w:val="20"/>
                <w:szCs w:val="20"/>
              </w:rPr>
              <w:t>6 055,5</w:t>
            </w:r>
          </w:p>
        </w:tc>
        <w:tc>
          <w:tcPr>
            <w:tcW w:w="834" w:type="dxa"/>
            <w:tcBorders>
              <w:top w:val="nil"/>
              <w:left w:val="nil"/>
              <w:bottom w:val="single" w:sz="4" w:space="0" w:color="auto"/>
              <w:right w:val="nil"/>
            </w:tcBorders>
            <w:shd w:val="clear" w:color="auto" w:fill="auto"/>
            <w:vAlign w:val="center"/>
            <w:hideMark/>
          </w:tcPr>
          <w:p w:rsidR="000B7B23" w:rsidRPr="00EA3D17" w:rsidRDefault="000B7B23" w:rsidP="00454B79">
            <w:pPr>
              <w:ind w:left="-139" w:right="-86"/>
              <w:jc w:val="center"/>
              <w:rPr>
                <w:color w:val="000000"/>
                <w:sz w:val="20"/>
                <w:szCs w:val="20"/>
              </w:rPr>
            </w:pPr>
            <w:r w:rsidRPr="00EA3D17">
              <w:rPr>
                <w:color w:val="000000"/>
                <w:sz w:val="20"/>
                <w:szCs w:val="20"/>
              </w:rPr>
              <w:t>10 502,9</w:t>
            </w:r>
          </w:p>
        </w:tc>
        <w:tc>
          <w:tcPr>
            <w:tcW w:w="836" w:type="dxa"/>
            <w:tcBorders>
              <w:top w:val="nil"/>
              <w:left w:val="single" w:sz="4" w:space="0" w:color="auto"/>
              <w:bottom w:val="single" w:sz="4" w:space="0" w:color="auto"/>
              <w:right w:val="nil"/>
            </w:tcBorders>
            <w:shd w:val="clear" w:color="auto" w:fill="auto"/>
            <w:vAlign w:val="center"/>
            <w:hideMark/>
          </w:tcPr>
          <w:p w:rsidR="000B7B23" w:rsidRPr="00EA3D17" w:rsidRDefault="000B7B23" w:rsidP="00454B79">
            <w:pPr>
              <w:ind w:left="-127" w:right="-98"/>
              <w:jc w:val="center"/>
              <w:rPr>
                <w:color w:val="000000"/>
                <w:sz w:val="20"/>
                <w:szCs w:val="20"/>
              </w:rPr>
            </w:pPr>
            <w:r w:rsidRPr="00EA3D17">
              <w:rPr>
                <w:color w:val="000000"/>
                <w:sz w:val="20"/>
                <w:szCs w:val="20"/>
              </w:rPr>
              <w:t>10 013,2</w:t>
            </w:r>
          </w:p>
        </w:tc>
        <w:tc>
          <w:tcPr>
            <w:tcW w:w="667" w:type="dxa"/>
            <w:tcBorders>
              <w:top w:val="nil"/>
              <w:left w:val="single" w:sz="4" w:space="0" w:color="auto"/>
              <w:bottom w:val="single" w:sz="4" w:space="0" w:color="auto"/>
              <w:right w:val="single" w:sz="4" w:space="0" w:color="auto"/>
            </w:tcBorders>
            <w:shd w:val="clear" w:color="auto" w:fill="auto"/>
            <w:vAlign w:val="center"/>
            <w:hideMark/>
          </w:tcPr>
          <w:p w:rsidR="000B7B23" w:rsidRPr="00EA3D17" w:rsidRDefault="000B7B23" w:rsidP="004F7088">
            <w:pPr>
              <w:jc w:val="center"/>
              <w:rPr>
                <w:color w:val="000000"/>
                <w:sz w:val="20"/>
                <w:szCs w:val="20"/>
              </w:rPr>
            </w:pPr>
            <w:r w:rsidRPr="00EA3D17">
              <w:rPr>
                <w:color w:val="000000"/>
                <w:sz w:val="20"/>
                <w:szCs w:val="20"/>
              </w:rPr>
              <w:t>100,5</w:t>
            </w:r>
          </w:p>
        </w:tc>
        <w:tc>
          <w:tcPr>
            <w:tcW w:w="667"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B545D2">
            <w:pPr>
              <w:ind w:left="-72" w:right="-42"/>
              <w:jc w:val="center"/>
              <w:rPr>
                <w:color w:val="000000"/>
                <w:sz w:val="20"/>
                <w:szCs w:val="20"/>
              </w:rPr>
            </w:pPr>
            <w:r w:rsidRPr="00EA3D17">
              <w:rPr>
                <w:color w:val="000000"/>
                <w:sz w:val="20"/>
                <w:szCs w:val="20"/>
              </w:rPr>
              <w:t>102,4</w:t>
            </w:r>
          </w:p>
        </w:tc>
        <w:tc>
          <w:tcPr>
            <w:tcW w:w="669"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B545D2">
            <w:pPr>
              <w:ind w:left="-29" w:right="-83" w:hanging="12"/>
              <w:jc w:val="center"/>
              <w:rPr>
                <w:color w:val="000000"/>
                <w:sz w:val="20"/>
                <w:szCs w:val="20"/>
              </w:rPr>
            </w:pPr>
            <w:r w:rsidRPr="00EA3D17">
              <w:rPr>
                <w:color w:val="000000"/>
                <w:sz w:val="20"/>
                <w:szCs w:val="20"/>
              </w:rPr>
              <w:t>122,7</w:t>
            </w:r>
          </w:p>
        </w:tc>
      </w:tr>
      <w:tr w:rsidR="000B7B23" w:rsidRPr="00EA3D17" w:rsidTr="00B545D2">
        <w:trPr>
          <w:trHeight w:val="44"/>
          <w:jc w:val="center"/>
        </w:trPr>
        <w:tc>
          <w:tcPr>
            <w:tcW w:w="2689" w:type="dxa"/>
            <w:tcBorders>
              <w:top w:val="nil"/>
              <w:left w:val="single" w:sz="4" w:space="0" w:color="auto"/>
              <w:bottom w:val="single" w:sz="4" w:space="0" w:color="auto"/>
              <w:right w:val="single" w:sz="4" w:space="0" w:color="auto"/>
            </w:tcBorders>
            <w:shd w:val="clear" w:color="auto" w:fill="auto"/>
            <w:hideMark/>
          </w:tcPr>
          <w:p w:rsidR="000B7B23" w:rsidRPr="00EA3D17" w:rsidRDefault="000B7B23" w:rsidP="004F7088">
            <w:pPr>
              <w:rPr>
                <w:color w:val="000000"/>
                <w:sz w:val="20"/>
                <w:szCs w:val="20"/>
              </w:rPr>
            </w:pPr>
            <w:r w:rsidRPr="00EA3D17">
              <w:rPr>
                <w:color w:val="000000"/>
                <w:sz w:val="20"/>
                <w:szCs w:val="20"/>
              </w:rPr>
              <w:t>командировочные расходы</w:t>
            </w:r>
          </w:p>
        </w:tc>
        <w:tc>
          <w:tcPr>
            <w:tcW w:w="834"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left="-68" w:right="-64"/>
              <w:jc w:val="center"/>
              <w:rPr>
                <w:color w:val="000000"/>
                <w:sz w:val="20"/>
                <w:szCs w:val="20"/>
              </w:rPr>
            </w:pPr>
            <w:r w:rsidRPr="00EA3D17">
              <w:rPr>
                <w:color w:val="000000"/>
                <w:sz w:val="20"/>
                <w:szCs w:val="20"/>
              </w:rPr>
              <w:t>1 646,1</w:t>
            </w:r>
          </w:p>
        </w:tc>
        <w:tc>
          <w:tcPr>
            <w:tcW w:w="834"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left="-176" w:right="-191"/>
              <w:jc w:val="center"/>
              <w:rPr>
                <w:color w:val="000000"/>
                <w:sz w:val="20"/>
                <w:szCs w:val="20"/>
              </w:rPr>
            </w:pPr>
            <w:r w:rsidRPr="00EA3D17">
              <w:rPr>
                <w:color w:val="000000"/>
                <w:sz w:val="20"/>
                <w:szCs w:val="20"/>
              </w:rPr>
              <w:t>1 766,0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0B7B23" w:rsidRPr="00EA3D17" w:rsidRDefault="000B7B23" w:rsidP="00454B79">
            <w:pPr>
              <w:ind w:right="-62" w:hanging="22"/>
              <w:jc w:val="center"/>
              <w:rPr>
                <w:color w:val="000000"/>
                <w:sz w:val="20"/>
                <w:szCs w:val="20"/>
              </w:rPr>
            </w:pPr>
            <w:r w:rsidRPr="00EA3D17">
              <w:rPr>
                <w:color w:val="000000"/>
                <w:sz w:val="20"/>
                <w:szCs w:val="20"/>
              </w:rPr>
              <w:t>940,0</w:t>
            </w:r>
          </w:p>
        </w:tc>
        <w:tc>
          <w:tcPr>
            <w:tcW w:w="834"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left="-151" w:right="-216"/>
              <w:jc w:val="center"/>
              <w:rPr>
                <w:color w:val="000000"/>
                <w:sz w:val="20"/>
                <w:szCs w:val="20"/>
              </w:rPr>
            </w:pPr>
            <w:r w:rsidRPr="00EA3D17">
              <w:rPr>
                <w:color w:val="000000"/>
                <w:sz w:val="20"/>
                <w:szCs w:val="20"/>
              </w:rPr>
              <w:t>1 731,2</w:t>
            </w:r>
          </w:p>
        </w:tc>
        <w:tc>
          <w:tcPr>
            <w:tcW w:w="834" w:type="dxa"/>
            <w:tcBorders>
              <w:top w:val="nil"/>
              <w:left w:val="nil"/>
              <w:bottom w:val="single" w:sz="4" w:space="0" w:color="auto"/>
              <w:right w:val="nil"/>
            </w:tcBorders>
            <w:shd w:val="clear" w:color="auto" w:fill="auto"/>
            <w:vAlign w:val="center"/>
            <w:hideMark/>
          </w:tcPr>
          <w:p w:rsidR="000B7B23" w:rsidRPr="00EA3D17" w:rsidRDefault="000B7B23" w:rsidP="00454B79">
            <w:pPr>
              <w:ind w:left="-139" w:right="-86"/>
              <w:jc w:val="center"/>
              <w:rPr>
                <w:color w:val="000000"/>
                <w:sz w:val="20"/>
                <w:szCs w:val="20"/>
              </w:rPr>
            </w:pPr>
            <w:r w:rsidRPr="00EA3D17">
              <w:rPr>
                <w:color w:val="000000"/>
                <w:sz w:val="20"/>
                <w:szCs w:val="20"/>
              </w:rPr>
              <w:t>975,6</w:t>
            </w:r>
          </w:p>
        </w:tc>
        <w:tc>
          <w:tcPr>
            <w:tcW w:w="836" w:type="dxa"/>
            <w:tcBorders>
              <w:top w:val="nil"/>
              <w:left w:val="single" w:sz="4" w:space="0" w:color="auto"/>
              <w:bottom w:val="single" w:sz="4" w:space="0" w:color="auto"/>
              <w:right w:val="nil"/>
            </w:tcBorders>
            <w:shd w:val="clear" w:color="auto" w:fill="auto"/>
            <w:vAlign w:val="center"/>
            <w:hideMark/>
          </w:tcPr>
          <w:p w:rsidR="000B7B23" w:rsidRPr="00EA3D17" w:rsidRDefault="000B7B23" w:rsidP="00454B79">
            <w:pPr>
              <w:ind w:left="-127" w:right="-98"/>
              <w:jc w:val="center"/>
              <w:rPr>
                <w:color w:val="000000"/>
                <w:sz w:val="20"/>
                <w:szCs w:val="20"/>
              </w:rPr>
            </w:pPr>
            <w:r w:rsidRPr="00EA3D17">
              <w:rPr>
                <w:color w:val="000000"/>
                <w:sz w:val="20"/>
                <w:szCs w:val="20"/>
              </w:rPr>
              <w:t>855,0</w:t>
            </w:r>
          </w:p>
        </w:tc>
        <w:tc>
          <w:tcPr>
            <w:tcW w:w="667" w:type="dxa"/>
            <w:tcBorders>
              <w:top w:val="nil"/>
              <w:left w:val="single" w:sz="4" w:space="0" w:color="auto"/>
              <w:bottom w:val="single" w:sz="4" w:space="0" w:color="auto"/>
              <w:right w:val="single" w:sz="4" w:space="0" w:color="auto"/>
            </w:tcBorders>
            <w:shd w:val="clear" w:color="auto" w:fill="auto"/>
            <w:vAlign w:val="center"/>
            <w:hideMark/>
          </w:tcPr>
          <w:p w:rsidR="000B7B23" w:rsidRPr="00EA3D17" w:rsidRDefault="000B7B23" w:rsidP="004F7088">
            <w:pPr>
              <w:jc w:val="center"/>
              <w:rPr>
                <w:color w:val="000000"/>
                <w:sz w:val="20"/>
                <w:szCs w:val="20"/>
              </w:rPr>
            </w:pPr>
            <w:r w:rsidRPr="00EA3D17">
              <w:rPr>
                <w:color w:val="000000"/>
                <w:sz w:val="20"/>
                <w:szCs w:val="20"/>
              </w:rPr>
              <w:t>105,2</w:t>
            </w:r>
          </w:p>
        </w:tc>
        <w:tc>
          <w:tcPr>
            <w:tcW w:w="667"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B545D2">
            <w:pPr>
              <w:ind w:left="-72" w:right="-42"/>
              <w:jc w:val="center"/>
              <w:rPr>
                <w:color w:val="000000"/>
                <w:sz w:val="20"/>
                <w:szCs w:val="20"/>
              </w:rPr>
            </w:pPr>
            <w:r w:rsidRPr="00EA3D17">
              <w:rPr>
                <w:color w:val="000000"/>
                <w:sz w:val="20"/>
                <w:szCs w:val="20"/>
              </w:rPr>
              <w:t>55,2</w:t>
            </w:r>
          </w:p>
        </w:tc>
        <w:tc>
          <w:tcPr>
            <w:tcW w:w="669"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B545D2">
            <w:pPr>
              <w:ind w:left="-29" w:right="-83" w:hanging="12"/>
              <w:jc w:val="center"/>
              <w:rPr>
                <w:color w:val="000000"/>
                <w:sz w:val="20"/>
                <w:szCs w:val="20"/>
              </w:rPr>
            </w:pPr>
            <w:r w:rsidRPr="00EA3D17">
              <w:rPr>
                <w:color w:val="000000"/>
                <w:sz w:val="20"/>
                <w:szCs w:val="20"/>
              </w:rPr>
              <w:t>91,0</w:t>
            </w:r>
          </w:p>
        </w:tc>
      </w:tr>
      <w:tr w:rsidR="000B7B23" w:rsidRPr="00EA3D17" w:rsidTr="00B545D2">
        <w:trPr>
          <w:trHeight w:val="44"/>
          <w:jc w:val="center"/>
        </w:trPr>
        <w:tc>
          <w:tcPr>
            <w:tcW w:w="2689" w:type="dxa"/>
            <w:tcBorders>
              <w:top w:val="nil"/>
              <w:left w:val="single" w:sz="4" w:space="0" w:color="auto"/>
              <w:bottom w:val="single" w:sz="4" w:space="0" w:color="auto"/>
              <w:right w:val="single" w:sz="4" w:space="0" w:color="auto"/>
            </w:tcBorders>
            <w:shd w:val="clear" w:color="auto" w:fill="auto"/>
            <w:hideMark/>
          </w:tcPr>
          <w:p w:rsidR="000B7B23" w:rsidRPr="00EA3D17" w:rsidRDefault="000B7B23" w:rsidP="004F7088">
            <w:pPr>
              <w:rPr>
                <w:color w:val="000000"/>
                <w:sz w:val="20"/>
                <w:szCs w:val="20"/>
              </w:rPr>
            </w:pPr>
            <w:r w:rsidRPr="00EA3D17">
              <w:rPr>
                <w:color w:val="000000"/>
                <w:sz w:val="20"/>
                <w:szCs w:val="20"/>
              </w:rPr>
              <w:t>оплата услуг</w:t>
            </w:r>
          </w:p>
        </w:tc>
        <w:tc>
          <w:tcPr>
            <w:tcW w:w="834"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left="-68" w:right="-64"/>
              <w:jc w:val="center"/>
              <w:rPr>
                <w:color w:val="000000"/>
                <w:sz w:val="20"/>
                <w:szCs w:val="20"/>
              </w:rPr>
            </w:pPr>
            <w:r w:rsidRPr="00EA3D17">
              <w:rPr>
                <w:color w:val="000000"/>
                <w:sz w:val="20"/>
                <w:szCs w:val="20"/>
              </w:rPr>
              <w:t>1 655,9</w:t>
            </w:r>
          </w:p>
        </w:tc>
        <w:tc>
          <w:tcPr>
            <w:tcW w:w="834"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left="-176" w:right="-191"/>
              <w:jc w:val="center"/>
              <w:rPr>
                <w:color w:val="000000"/>
                <w:sz w:val="20"/>
                <w:szCs w:val="20"/>
              </w:rPr>
            </w:pPr>
            <w:r w:rsidRPr="00EA3D17">
              <w:rPr>
                <w:color w:val="000000"/>
                <w:sz w:val="20"/>
                <w:szCs w:val="20"/>
              </w:rPr>
              <w:t>136,0</w:t>
            </w:r>
          </w:p>
        </w:tc>
        <w:tc>
          <w:tcPr>
            <w:tcW w:w="836"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right="-62" w:hanging="22"/>
              <w:jc w:val="center"/>
              <w:rPr>
                <w:color w:val="000000"/>
                <w:sz w:val="20"/>
                <w:szCs w:val="20"/>
              </w:rPr>
            </w:pPr>
            <w:r w:rsidRPr="00EA3D17">
              <w:rPr>
                <w:color w:val="000000"/>
                <w:sz w:val="20"/>
                <w:szCs w:val="20"/>
              </w:rPr>
              <w:t>0,0</w:t>
            </w:r>
          </w:p>
        </w:tc>
        <w:tc>
          <w:tcPr>
            <w:tcW w:w="834"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left="-151" w:right="-216"/>
              <w:jc w:val="center"/>
              <w:rPr>
                <w:color w:val="000000"/>
                <w:sz w:val="20"/>
                <w:szCs w:val="20"/>
              </w:rPr>
            </w:pPr>
            <w:r w:rsidRPr="00EA3D17">
              <w:rPr>
                <w:color w:val="000000"/>
                <w:sz w:val="20"/>
                <w:szCs w:val="20"/>
              </w:rPr>
              <w:t>1 647,5</w:t>
            </w:r>
          </w:p>
        </w:tc>
        <w:tc>
          <w:tcPr>
            <w:tcW w:w="834" w:type="dxa"/>
            <w:tcBorders>
              <w:top w:val="nil"/>
              <w:left w:val="nil"/>
              <w:bottom w:val="single" w:sz="4" w:space="0" w:color="auto"/>
              <w:right w:val="nil"/>
            </w:tcBorders>
            <w:shd w:val="clear" w:color="auto" w:fill="auto"/>
            <w:vAlign w:val="center"/>
            <w:hideMark/>
          </w:tcPr>
          <w:p w:rsidR="000B7B23" w:rsidRPr="00EA3D17" w:rsidRDefault="000B7B23" w:rsidP="00454B79">
            <w:pPr>
              <w:ind w:left="-139" w:right="-86"/>
              <w:jc w:val="center"/>
              <w:rPr>
                <w:color w:val="000000"/>
                <w:sz w:val="20"/>
                <w:szCs w:val="20"/>
              </w:rPr>
            </w:pPr>
            <w:r w:rsidRPr="00EA3D17">
              <w:rPr>
                <w:color w:val="000000"/>
                <w:sz w:val="20"/>
                <w:szCs w:val="20"/>
              </w:rPr>
              <w:t>165,6</w:t>
            </w:r>
          </w:p>
        </w:tc>
        <w:tc>
          <w:tcPr>
            <w:tcW w:w="836" w:type="dxa"/>
            <w:tcBorders>
              <w:top w:val="nil"/>
              <w:left w:val="single" w:sz="4" w:space="0" w:color="auto"/>
              <w:bottom w:val="single" w:sz="4" w:space="0" w:color="auto"/>
              <w:right w:val="nil"/>
            </w:tcBorders>
            <w:shd w:val="clear" w:color="auto" w:fill="auto"/>
            <w:vAlign w:val="center"/>
            <w:hideMark/>
          </w:tcPr>
          <w:p w:rsidR="000B7B23" w:rsidRPr="00EA3D17" w:rsidRDefault="000B7B23" w:rsidP="00454B79">
            <w:pPr>
              <w:ind w:left="-127" w:right="-98"/>
              <w:jc w:val="center"/>
              <w:rPr>
                <w:color w:val="000000"/>
                <w:sz w:val="20"/>
                <w:szCs w:val="20"/>
              </w:rPr>
            </w:pPr>
            <w:r w:rsidRPr="00EA3D17">
              <w:rPr>
                <w:color w:val="000000"/>
                <w:sz w:val="20"/>
                <w:szCs w:val="20"/>
              </w:rPr>
              <w:t>0,0</w:t>
            </w:r>
          </w:p>
        </w:tc>
        <w:tc>
          <w:tcPr>
            <w:tcW w:w="667" w:type="dxa"/>
            <w:tcBorders>
              <w:top w:val="nil"/>
              <w:left w:val="single" w:sz="4" w:space="0" w:color="auto"/>
              <w:bottom w:val="single" w:sz="4" w:space="0" w:color="auto"/>
              <w:right w:val="single" w:sz="4" w:space="0" w:color="auto"/>
            </w:tcBorders>
            <w:shd w:val="clear" w:color="auto" w:fill="auto"/>
            <w:vAlign w:val="center"/>
            <w:hideMark/>
          </w:tcPr>
          <w:p w:rsidR="000B7B23" w:rsidRPr="00EA3D17" w:rsidRDefault="000B7B23" w:rsidP="004F7088">
            <w:pPr>
              <w:jc w:val="center"/>
              <w:rPr>
                <w:color w:val="000000"/>
                <w:sz w:val="20"/>
                <w:szCs w:val="20"/>
              </w:rPr>
            </w:pPr>
            <w:r w:rsidRPr="00EA3D17">
              <w:rPr>
                <w:color w:val="000000"/>
                <w:sz w:val="20"/>
                <w:szCs w:val="20"/>
              </w:rPr>
              <w:t>99,5</w:t>
            </w:r>
          </w:p>
        </w:tc>
        <w:tc>
          <w:tcPr>
            <w:tcW w:w="667"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B545D2">
            <w:pPr>
              <w:ind w:left="-72" w:right="-42"/>
              <w:jc w:val="center"/>
              <w:rPr>
                <w:color w:val="000000"/>
                <w:sz w:val="20"/>
                <w:szCs w:val="20"/>
              </w:rPr>
            </w:pPr>
            <w:r w:rsidRPr="00EA3D17">
              <w:rPr>
                <w:color w:val="000000"/>
                <w:sz w:val="20"/>
                <w:szCs w:val="20"/>
              </w:rPr>
              <w:t>121,8</w:t>
            </w:r>
          </w:p>
        </w:tc>
        <w:tc>
          <w:tcPr>
            <w:tcW w:w="669"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B545D2">
            <w:pPr>
              <w:ind w:left="-29" w:right="-83" w:hanging="12"/>
              <w:jc w:val="center"/>
              <w:rPr>
                <w:color w:val="000000"/>
                <w:sz w:val="20"/>
                <w:szCs w:val="20"/>
              </w:rPr>
            </w:pPr>
            <w:r w:rsidRPr="00EA3D17">
              <w:rPr>
                <w:color w:val="000000"/>
                <w:sz w:val="20"/>
                <w:szCs w:val="20"/>
              </w:rPr>
              <w:t>0,0</w:t>
            </w:r>
          </w:p>
        </w:tc>
      </w:tr>
      <w:tr w:rsidR="000B7B23" w:rsidRPr="00EA3D17" w:rsidTr="00B545D2">
        <w:trPr>
          <w:trHeight w:val="44"/>
          <w:jc w:val="center"/>
        </w:trPr>
        <w:tc>
          <w:tcPr>
            <w:tcW w:w="2689" w:type="dxa"/>
            <w:tcBorders>
              <w:top w:val="nil"/>
              <w:left w:val="single" w:sz="4" w:space="0" w:color="auto"/>
              <w:bottom w:val="single" w:sz="4" w:space="0" w:color="auto"/>
              <w:right w:val="single" w:sz="4" w:space="0" w:color="auto"/>
            </w:tcBorders>
            <w:shd w:val="clear" w:color="auto" w:fill="auto"/>
            <w:hideMark/>
          </w:tcPr>
          <w:p w:rsidR="000B7B23" w:rsidRPr="00EA3D17" w:rsidRDefault="000B7B23" w:rsidP="004F7088">
            <w:pPr>
              <w:rPr>
                <w:color w:val="000000"/>
                <w:sz w:val="20"/>
                <w:szCs w:val="20"/>
              </w:rPr>
            </w:pPr>
            <w:r w:rsidRPr="00EA3D17">
              <w:rPr>
                <w:color w:val="000000"/>
                <w:sz w:val="20"/>
                <w:szCs w:val="20"/>
              </w:rPr>
              <w:t xml:space="preserve">налоги, сборы, </w:t>
            </w:r>
            <w:proofErr w:type="spellStart"/>
            <w:r w:rsidRPr="00EA3D17">
              <w:rPr>
                <w:color w:val="000000"/>
                <w:sz w:val="20"/>
                <w:szCs w:val="20"/>
              </w:rPr>
              <w:t>гос.пошлина</w:t>
            </w:r>
            <w:proofErr w:type="spellEnd"/>
          </w:p>
        </w:tc>
        <w:tc>
          <w:tcPr>
            <w:tcW w:w="834"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left="-68" w:right="-64"/>
              <w:jc w:val="center"/>
              <w:rPr>
                <w:color w:val="000000"/>
                <w:sz w:val="20"/>
                <w:szCs w:val="20"/>
              </w:rPr>
            </w:pPr>
            <w:r w:rsidRPr="00EA3D17">
              <w:rPr>
                <w:color w:val="000000"/>
                <w:sz w:val="20"/>
                <w:szCs w:val="20"/>
              </w:rPr>
              <w:t>0,0</w:t>
            </w:r>
          </w:p>
        </w:tc>
        <w:tc>
          <w:tcPr>
            <w:tcW w:w="834"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left="-176" w:right="-191"/>
              <w:jc w:val="center"/>
              <w:rPr>
                <w:color w:val="000000"/>
                <w:sz w:val="20"/>
                <w:szCs w:val="20"/>
              </w:rPr>
            </w:pPr>
            <w:r w:rsidRPr="00EA3D17">
              <w:rPr>
                <w:color w:val="000000"/>
                <w:sz w:val="20"/>
                <w:szCs w:val="20"/>
              </w:rPr>
              <w:t>2,5</w:t>
            </w:r>
          </w:p>
        </w:tc>
        <w:tc>
          <w:tcPr>
            <w:tcW w:w="836"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right="-62" w:hanging="22"/>
              <w:jc w:val="center"/>
              <w:rPr>
                <w:color w:val="000000"/>
                <w:sz w:val="20"/>
                <w:szCs w:val="20"/>
              </w:rPr>
            </w:pPr>
            <w:r w:rsidRPr="00EA3D17">
              <w:rPr>
                <w:color w:val="000000"/>
                <w:sz w:val="20"/>
                <w:szCs w:val="20"/>
              </w:rPr>
              <w:t>0,0</w:t>
            </w:r>
          </w:p>
        </w:tc>
        <w:tc>
          <w:tcPr>
            <w:tcW w:w="834"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left="-151" w:right="-216"/>
              <w:jc w:val="center"/>
              <w:rPr>
                <w:color w:val="000000"/>
                <w:sz w:val="20"/>
                <w:szCs w:val="20"/>
              </w:rPr>
            </w:pPr>
            <w:r w:rsidRPr="00EA3D17">
              <w:rPr>
                <w:color w:val="000000"/>
                <w:sz w:val="20"/>
                <w:szCs w:val="20"/>
              </w:rPr>
              <w:t>0,0</w:t>
            </w:r>
          </w:p>
        </w:tc>
        <w:tc>
          <w:tcPr>
            <w:tcW w:w="834" w:type="dxa"/>
            <w:tcBorders>
              <w:top w:val="nil"/>
              <w:left w:val="nil"/>
              <w:bottom w:val="single" w:sz="4" w:space="0" w:color="auto"/>
              <w:right w:val="nil"/>
            </w:tcBorders>
            <w:shd w:val="clear" w:color="auto" w:fill="auto"/>
            <w:vAlign w:val="center"/>
            <w:hideMark/>
          </w:tcPr>
          <w:p w:rsidR="000B7B23" w:rsidRPr="00EA3D17" w:rsidRDefault="000B7B23" w:rsidP="00454B79">
            <w:pPr>
              <w:ind w:left="-139" w:right="-86"/>
              <w:jc w:val="center"/>
              <w:rPr>
                <w:color w:val="000000"/>
                <w:sz w:val="20"/>
                <w:szCs w:val="20"/>
              </w:rPr>
            </w:pPr>
            <w:r w:rsidRPr="00EA3D17">
              <w:rPr>
                <w:color w:val="000000"/>
                <w:sz w:val="20"/>
                <w:szCs w:val="20"/>
              </w:rPr>
              <w:t>14,1</w:t>
            </w:r>
          </w:p>
        </w:tc>
        <w:tc>
          <w:tcPr>
            <w:tcW w:w="836" w:type="dxa"/>
            <w:tcBorders>
              <w:top w:val="nil"/>
              <w:left w:val="single" w:sz="4" w:space="0" w:color="auto"/>
              <w:bottom w:val="single" w:sz="4" w:space="0" w:color="auto"/>
              <w:right w:val="nil"/>
            </w:tcBorders>
            <w:shd w:val="clear" w:color="auto" w:fill="auto"/>
            <w:vAlign w:val="center"/>
            <w:hideMark/>
          </w:tcPr>
          <w:p w:rsidR="000B7B23" w:rsidRPr="00EA3D17" w:rsidRDefault="000B7B23" w:rsidP="00454B79">
            <w:pPr>
              <w:ind w:left="-127" w:right="-98"/>
              <w:jc w:val="center"/>
              <w:rPr>
                <w:color w:val="000000"/>
                <w:sz w:val="20"/>
                <w:szCs w:val="20"/>
              </w:rPr>
            </w:pPr>
            <w:r w:rsidRPr="00EA3D17">
              <w:rPr>
                <w:color w:val="000000"/>
                <w:sz w:val="20"/>
                <w:szCs w:val="20"/>
              </w:rPr>
              <w:t>0,0</w:t>
            </w:r>
          </w:p>
        </w:tc>
        <w:tc>
          <w:tcPr>
            <w:tcW w:w="667" w:type="dxa"/>
            <w:tcBorders>
              <w:top w:val="nil"/>
              <w:left w:val="single" w:sz="4" w:space="0" w:color="auto"/>
              <w:bottom w:val="single" w:sz="4" w:space="0" w:color="auto"/>
              <w:right w:val="single" w:sz="4" w:space="0" w:color="auto"/>
            </w:tcBorders>
            <w:shd w:val="clear" w:color="auto" w:fill="auto"/>
            <w:vAlign w:val="center"/>
            <w:hideMark/>
          </w:tcPr>
          <w:p w:rsidR="000B7B23" w:rsidRPr="00EA3D17" w:rsidRDefault="000B7B23" w:rsidP="004F7088">
            <w:pPr>
              <w:jc w:val="center"/>
              <w:rPr>
                <w:color w:val="000000"/>
                <w:sz w:val="20"/>
                <w:szCs w:val="20"/>
              </w:rPr>
            </w:pPr>
            <w:r w:rsidRPr="00EA3D17">
              <w:rPr>
                <w:color w:val="000000"/>
                <w:sz w:val="20"/>
                <w:szCs w:val="20"/>
              </w:rPr>
              <w:t> Х</w:t>
            </w:r>
          </w:p>
        </w:tc>
        <w:tc>
          <w:tcPr>
            <w:tcW w:w="667"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B545D2">
            <w:pPr>
              <w:ind w:left="-72" w:right="-42"/>
              <w:jc w:val="center"/>
              <w:rPr>
                <w:color w:val="000000"/>
                <w:sz w:val="20"/>
                <w:szCs w:val="20"/>
              </w:rPr>
            </w:pPr>
            <w:r w:rsidRPr="00EA3D17">
              <w:rPr>
                <w:color w:val="000000"/>
                <w:sz w:val="20"/>
                <w:szCs w:val="20"/>
              </w:rPr>
              <w:t>Х</w:t>
            </w:r>
          </w:p>
        </w:tc>
        <w:tc>
          <w:tcPr>
            <w:tcW w:w="669"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B545D2">
            <w:pPr>
              <w:ind w:left="-29" w:right="-83" w:hanging="12"/>
              <w:jc w:val="center"/>
              <w:rPr>
                <w:color w:val="000000"/>
                <w:sz w:val="20"/>
                <w:szCs w:val="20"/>
              </w:rPr>
            </w:pPr>
            <w:r w:rsidRPr="00EA3D17">
              <w:rPr>
                <w:color w:val="000000"/>
                <w:sz w:val="20"/>
                <w:szCs w:val="20"/>
              </w:rPr>
              <w:t>Х</w:t>
            </w:r>
          </w:p>
        </w:tc>
      </w:tr>
      <w:tr w:rsidR="000B7B23" w:rsidRPr="00EA3D17" w:rsidTr="00B545D2">
        <w:trPr>
          <w:trHeight w:val="44"/>
          <w:jc w:val="center"/>
        </w:trPr>
        <w:tc>
          <w:tcPr>
            <w:tcW w:w="2689" w:type="dxa"/>
            <w:tcBorders>
              <w:top w:val="nil"/>
              <w:left w:val="single" w:sz="4" w:space="0" w:color="auto"/>
              <w:bottom w:val="single" w:sz="4" w:space="0" w:color="auto"/>
              <w:right w:val="single" w:sz="4" w:space="0" w:color="auto"/>
            </w:tcBorders>
            <w:shd w:val="clear" w:color="auto" w:fill="auto"/>
            <w:hideMark/>
          </w:tcPr>
          <w:p w:rsidR="000B7B23" w:rsidRPr="00EA3D17" w:rsidRDefault="000B7B23" w:rsidP="004F7088">
            <w:pPr>
              <w:rPr>
                <w:color w:val="000000"/>
                <w:sz w:val="20"/>
                <w:szCs w:val="20"/>
              </w:rPr>
            </w:pPr>
            <w:r w:rsidRPr="00EA3D17">
              <w:rPr>
                <w:color w:val="000000"/>
                <w:sz w:val="20"/>
                <w:szCs w:val="20"/>
              </w:rPr>
              <w:t>приобретение ОС и МЗ</w:t>
            </w:r>
          </w:p>
        </w:tc>
        <w:tc>
          <w:tcPr>
            <w:tcW w:w="834"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left="-68" w:right="-64"/>
              <w:jc w:val="center"/>
              <w:rPr>
                <w:color w:val="000000"/>
                <w:sz w:val="20"/>
                <w:szCs w:val="20"/>
              </w:rPr>
            </w:pPr>
            <w:r w:rsidRPr="00EA3D17">
              <w:rPr>
                <w:color w:val="000000"/>
                <w:sz w:val="20"/>
                <w:szCs w:val="20"/>
              </w:rPr>
              <w:t>1 470,5</w:t>
            </w:r>
          </w:p>
        </w:tc>
        <w:tc>
          <w:tcPr>
            <w:tcW w:w="834"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left="-176" w:right="-191"/>
              <w:jc w:val="center"/>
              <w:rPr>
                <w:color w:val="000000"/>
                <w:sz w:val="20"/>
                <w:szCs w:val="20"/>
              </w:rPr>
            </w:pPr>
            <w:r w:rsidRPr="00EA3D17">
              <w:rPr>
                <w:color w:val="000000"/>
                <w:sz w:val="20"/>
                <w:szCs w:val="20"/>
              </w:rPr>
              <w:t>372,8</w:t>
            </w:r>
          </w:p>
        </w:tc>
        <w:tc>
          <w:tcPr>
            <w:tcW w:w="836"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right="-62" w:hanging="22"/>
              <w:jc w:val="center"/>
              <w:rPr>
                <w:color w:val="000000"/>
                <w:sz w:val="20"/>
                <w:szCs w:val="20"/>
              </w:rPr>
            </w:pPr>
            <w:r w:rsidRPr="00EA3D17">
              <w:rPr>
                <w:color w:val="000000"/>
                <w:sz w:val="20"/>
                <w:szCs w:val="20"/>
              </w:rPr>
              <w:t>300,0</w:t>
            </w:r>
          </w:p>
        </w:tc>
        <w:tc>
          <w:tcPr>
            <w:tcW w:w="834"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left="-151" w:right="-216"/>
              <w:jc w:val="center"/>
              <w:rPr>
                <w:color w:val="000000"/>
                <w:sz w:val="20"/>
                <w:szCs w:val="20"/>
              </w:rPr>
            </w:pPr>
            <w:r w:rsidRPr="00EA3D17">
              <w:rPr>
                <w:color w:val="000000"/>
                <w:sz w:val="20"/>
                <w:szCs w:val="20"/>
              </w:rPr>
              <w:t>842,6</w:t>
            </w:r>
          </w:p>
        </w:tc>
        <w:tc>
          <w:tcPr>
            <w:tcW w:w="834" w:type="dxa"/>
            <w:tcBorders>
              <w:top w:val="nil"/>
              <w:left w:val="nil"/>
              <w:bottom w:val="single" w:sz="4" w:space="0" w:color="auto"/>
              <w:right w:val="nil"/>
            </w:tcBorders>
            <w:shd w:val="clear" w:color="auto" w:fill="auto"/>
            <w:vAlign w:val="center"/>
            <w:hideMark/>
          </w:tcPr>
          <w:p w:rsidR="000B7B23" w:rsidRPr="00EA3D17" w:rsidRDefault="000B7B23" w:rsidP="00454B79">
            <w:pPr>
              <w:ind w:left="-139" w:right="-86"/>
              <w:jc w:val="center"/>
              <w:rPr>
                <w:color w:val="000000"/>
                <w:sz w:val="20"/>
                <w:szCs w:val="20"/>
              </w:rPr>
            </w:pPr>
            <w:r w:rsidRPr="00EA3D17">
              <w:rPr>
                <w:color w:val="000000"/>
                <w:sz w:val="20"/>
                <w:szCs w:val="20"/>
              </w:rPr>
              <w:t>314,6</w:t>
            </w:r>
          </w:p>
        </w:tc>
        <w:tc>
          <w:tcPr>
            <w:tcW w:w="836" w:type="dxa"/>
            <w:tcBorders>
              <w:top w:val="nil"/>
              <w:left w:val="single" w:sz="4" w:space="0" w:color="auto"/>
              <w:bottom w:val="single" w:sz="4" w:space="0" w:color="auto"/>
              <w:right w:val="nil"/>
            </w:tcBorders>
            <w:shd w:val="clear" w:color="auto" w:fill="auto"/>
            <w:vAlign w:val="center"/>
            <w:hideMark/>
          </w:tcPr>
          <w:p w:rsidR="000B7B23" w:rsidRPr="00EA3D17" w:rsidRDefault="000B7B23" w:rsidP="00454B79">
            <w:pPr>
              <w:ind w:left="-127" w:right="-98"/>
              <w:jc w:val="center"/>
              <w:rPr>
                <w:color w:val="000000"/>
                <w:sz w:val="20"/>
                <w:szCs w:val="20"/>
              </w:rPr>
            </w:pPr>
            <w:r w:rsidRPr="00EA3D17">
              <w:rPr>
                <w:color w:val="000000"/>
                <w:sz w:val="20"/>
                <w:szCs w:val="20"/>
              </w:rPr>
              <w:t>396,4</w:t>
            </w:r>
          </w:p>
        </w:tc>
        <w:tc>
          <w:tcPr>
            <w:tcW w:w="667" w:type="dxa"/>
            <w:tcBorders>
              <w:top w:val="nil"/>
              <w:left w:val="single" w:sz="4" w:space="0" w:color="auto"/>
              <w:bottom w:val="single" w:sz="4" w:space="0" w:color="auto"/>
              <w:right w:val="single" w:sz="4" w:space="0" w:color="auto"/>
            </w:tcBorders>
            <w:shd w:val="clear" w:color="auto" w:fill="auto"/>
            <w:vAlign w:val="center"/>
            <w:hideMark/>
          </w:tcPr>
          <w:p w:rsidR="000B7B23" w:rsidRPr="00EA3D17" w:rsidRDefault="000B7B23" w:rsidP="004F7088">
            <w:pPr>
              <w:jc w:val="center"/>
              <w:rPr>
                <w:color w:val="000000"/>
                <w:sz w:val="20"/>
                <w:szCs w:val="20"/>
              </w:rPr>
            </w:pPr>
            <w:r w:rsidRPr="00EA3D17">
              <w:rPr>
                <w:color w:val="000000"/>
                <w:sz w:val="20"/>
                <w:szCs w:val="20"/>
              </w:rPr>
              <w:t>57,3</w:t>
            </w:r>
          </w:p>
        </w:tc>
        <w:tc>
          <w:tcPr>
            <w:tcW w:w="667"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B545D2">
            <w:pPr>
              <w:ind w:left="-72" w:right="-42"/>
              <w:jc w:val="center"/>
              <w:rPr>
                <w:color w:val="000000"/>
                <w:sz w:val="20"/>
                <w:szCs w:val="20"/>
              </w:rPr>
            </w:pPr>
            <w:r w:rsidRPr="00EA3D17">
              <w:rPr>
                <w:color w:val="000000"/>
                <w:sz w:val="20"/>
                <w:szCs w:val="20"/>
              </w:rPr>
              <w:t>84,4</w:t>
            </w:r>
          </w:p>
        </w:tc>
        <w:tc>
          <w:tcPr>
            <w:tcW w:w="669"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B545D2">
            <w:pPr>
              <w:ind w:left="-29" w:right="-83" w:hanging="12"/>
              <w:jc w:val="center"/>
              <w:rPr>
                <w:color w:val="000000"/>
                <w:sz w:val="20"/>
                <w:szCs w:val="20"/>
              </w:rPr>
            </w:pPr>
            <w:r w:rsidRPr="00EA3D17">
              <w:rPr>
                <w:color w:val="000000"/>
                <w:sz w:val="20"/>
                <w:szCs w:val="20"/>
              </w:rPr>
              <w:t>132,1</w:t>
            </w:r>
          </w:p>
        </w:tc>
      </w:tr>
      <w:tr w:rsidR="000B7B23" w:rsidRPr="00EA3D17" w:rsidTr="00B545D2">
        <w:trPr>
          <w:trHeight w:val="44"/>
          <w:jc w:val="center"/>
        </w:trPr>
        <w:tc>
          <w:tcPr>
            <w:tcW w:w="2689" w:type="dxa"/>
            <w:tcBorders>
              <w:top w:val="nil"/>
              <w:left w:val="single" w:sz="4" w:space="0" w:color="auto"/>
              <w:bottom w:val="single" w:sz="4" w:space="0" w:color="auto"/>
              <w:right w:val="single" w:sz="4" w:space="0" w:color="auto"/>
            </w:tcBorders>
            <w:shd w:val="clear" w:color="auto" w:fill="auto"/>
            <w:hideMark/>
          </w:tcPr>
          <w:p w:rsidR="000B7B23" w:rsidRPr="00EA3D17" w:rsidRDefault="000B7B23" w:rsidP="004F7088">
            <w:pPr>
              <w:rPr>
                <w:color w:val="000000"/>
                <w:sz w:val="20"/>
                <w:szCs w:val="20"/>
              </w:rPr>
            </w:pPr>
            <w:r w:rsidRPr="00EA3D17">
              <w:rPr>
                <w:color w:val="000000"/>
                <w:sz w:val="20"/>
                <w:szCs w:val="20"/>
              </w:rPr>
              <w:t>прочие расходы, связанные с осуществлением функций, предусмотренных уставом Фонда</w:t>
            </w:r>
          </w:p>
        </w:tc>
        <w:tc>
          <w:tcPr>
            <w:tcW w:w="834"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left="-68" w:right="-64"/>
              <w:jc w:val="center"/>
              <w:rPr>
                <w:color w:val="000000"/>
                <w:sz w:val="20"/>
                <w:szCs w:val="20"/>
              </w:rPr>
            </w:pPr>
            <w:r w:rsidRPr="00EA3D17">
              <w:rPr>
                <w:color w:val="000000"/>
                <w:sz w:val="20"/>
                <w:szCs w:val="20"/>
              </w:rPr>
              <w:t>5 471,1</w:t>
            </w:r>
          </w:p>
        </w:tc>
        <w:tc>
          <w:tcPr>
            <w:tcW w:w="834"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left="-176" w:right="-191"/>
              <w:jc w:val="center"/>
              <w:rPr>
                <w:color w:val="000000"/>
                <w:sz w:val="20"/>
                <w:szCs w:val="20"/>
              </w:rPr>
            </w:pPr>
            <w:r w:rsidRPr="00EA3D17">
              <w:rPr>
                <w:color w:val="000000"/>
                <w:sz w:val="20"/>
                <w:szCs w:val="20"/>
              </w:rPr>
              <w:t>3 096,6</w:t>
            </w:r>
          </w:p>
        </w:tc>
        <w:tc>
          <w:tcPr>
            <w:tcW w:w="836"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right="-62" w:hanging="22"/>
              <w:jc w:val="center"/>
              <w:rPr>
                <w:color w:val="000000"/>
                <w:sz w:val="20"/>
                <w:szCs w:val="20"/>
              </w:rPr>
            </w:pPr>
            <w:r w:rsidRPr="00EA3D17">
              <w:rPr>
                <w:color w:val="000000"/>
                <w:sz w:val="20"/>
                <w:szCs w:val="20"/>
              </w:rPr>
              <w:t>5 868,7</w:t>
            </w:r>
          </w:p>
        </w:tc>
        <w:tc>
          <w:tcPr>
            <w:tcW w:w="834"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left="-151" w:right="-216"/>
              <w:jc w:val="center"/>
              <w:rPr>
                <w:color w:val="000000"/>
                <w:sz w:val="20"/>
                <w:szCs w:val="20"/>
              </w:rPr>
            </w:pPr>
            <w:r w:rsidRPr="00EA3D17">
              <w:rPr>
                <w:color w:val="000000"/>
                <w:sz w:val="20"/>
                <w:szCs w:val="20"/>
              </w:rPr>
              <w:t>5 994,9</w:t>
            </w:r>
          </w:p>
        </w:tc>
        <w:tc>
          <w:tcPr>
            <w:tcW w:w="834" w:type="dxa"/>
            <w:tcBorders>
              <w:top w:val="nil"/>
              <w:left w:val="nil"/>
              <w:bottom w:val="single" w:sz="4" w:space="0" w:color="auto"/>
              <w:right w:val="nil"/>
            </w:tcBorders>
            <w:shd w:val="clear" w:color="auto" w:fill="auto"/>
            <w:vAlign w:val="center"/>
            <w:hideMark/>
          </w:tcPr>
          <w:p w:rsidR="000B7B23" w:rsidRPr="00EA3D17" w:rsidRDefault="000B7B23" w:rsidP="00454B79">
            <w:pPr>
              <w:ind w:left="-139" w:right="-86"/>
              <w:jc w:val="center"/>
              <w:rPr>
                <w:color w:val="000000"/>
                <w:sz w:val="20"/>
                <w:szCs w:val="20"/>
              </w:rPr>
            </w:pPr>
            <w:r w:rsidRPr="00EA3D17">
              <w:rPr>
                <w:color w:val="000000"/>
                <w:sz w:val="20"/>
                <w:szCs w:val="20"/>
              </w:rPr>
              <w:t>3 644,1</w:t>
            </w:r>
          </w:p>
        </w:tc>
        <w:tc>
          <w:tcPr>
            <w:tcW w:w="836" w:type="dxa"/>
            <w:tcBorders>
              <w:top w:val="nil"/>
              <w:left w:val="single" w:sz="4" w:space="0" w:color="auto"/>
              <w:bottom w:val="single" w:sz="4" w:space="0" w:color="auto"/>
              <w:right w:val="nil"/>
            </w:tcBorders>
            <w:shd w:val="clear" w:color="auto" w:fill="auto"/>
            <w:vAlign w:val="center"/>
            <w:hideMark/>
          </w:tcPr>
          <w:p w:rsidR="000B7B23" w:rsidRPr="00EA3D17" w:rsidRDefault="000B7B23" w:rsidP="00454B79">
            <w:pPr>
              <w:ind w:left="-127" w:right="-98"/>
              <w:jc w:val="center"/>
              <w:rPr>
                <w:color w:val="000000"/>
                <w:sz w:val="20"/>
                <w:szCs w:val="20"/>
              </w:rPr>
            </w:pPr>
            <w:r w:rsidRPr="00EA3D17">
              <w:rPr>
                <w:color w:val="000000"/>
                <w:sz w:val="20"/>
                <w:szCs w:val="20"/>
              </w:rPr>
              <w:t>4 336,9</w:t>
            </w:r>
          </w:p>
        </w:tc>
        <w:tc>
          <w:tcPr>
            <w:tcW w:w="667" w:type="dxa"/>
            <w:tcBorders>
              <w:top w:val="nil"/>
              <w:left w:val="single" w:sz="4" w:space="0" w:color="auto"/>
              <w:bottom w:val="single" w:sz="4" w:space="0" w:color="auto"/>
              <w:right w:val="single" w:sz="4" w:space="0" w:color="auto"/>
            </w:tcBorders>
            <w:shd w:val="clear" w:color="auto" w:fill="auto"/>
            <w:vAlign w:val="center"/>
            <w:hideMark/>
          </w:tcPr>
          <w:p w:rsidR="000B7B23" w:rsidRPr="00EA3D17" w:rsidRDefault="000B7B23" w:rsidP="004F7088">
            <w:pPr>
              <w:jc w:val="center"/>
              <w:rPr>
                <w:color w:val="000000"/>
                <w:sz w:val="20"/>
                <w:szCs w:val="20"/>
              </w:rPr>
            </w:pPr>
            <w:r w:rsidRPr="00EA3D17">
              <w:rPr>
                <w:color w:val="000000"/>
                <w:sz w:val="20"/>
                <w:szCs w:val="20"/>
              </w:rPr>
              <w:t>109,6</w:t>
            </w:r>
          </w:p>
        </w:tc>
        <w:tc>
          <w:tcPr>
            <w:tcW w:w="667"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B545D2">
            <w:pPr>
              <w:ind w:left="-72" w:right="-42"/>
              <w:jc w:val="center"/>
              <w:rPr>
                <w:color w:val="000000"/>
                <w:sz w:val="20"/>
                <w:szCs w:val="20"/>
              </w:rPr>
            </w:pPr>
            <w:r w:rsidRPr="00EA3D17">
              <w:rPr>
                <w:color w:val="000000"/>
                <w:sz w:val="20"/>
                <w:szCs w:val="20"/>
              </w:rPr>
              <w:t>117,7</w:t>
            </w:r>
          </w:p>
        </w:tc>
        <w:tc>
          <w:tcPr>
            <w:tcW w:w="669"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B545D2">
            <w:pPr>
              <w:ind w:left="-29" w:right="-83" w:hanging="12"/>
              <w:jc w:val="center"/>
              <w:rPr>
                <w:color w:val="000000"/>
                <w:sz w:val="20"/>
                <w:szCs w:val="20"/>
              </w:rPr>
            </w:pPr>
            <w:r w:rsidRPr="00EA3D17">
              <w:rPr>
                <w:color w:val="000000"/>
                <w:sz w:val="20"/>
                <w:szCs w:val="20"/>
              </w:rPr>
              <w:t>73,9</w:t>
            </w:r>
          </w:p>
        </w:tc>
      </w:tr>
      <w:tr w:rsidR="000B7B23" w:rsidRPr="00EA3D17" w:rsidTr="00B545D2">
        <w:trPr>
          <w:trHeight w:val="44"/>
          <w:jc w:val="center"/>
        </w:trPr>
        <w:tc>
          <w:tcPr>
            <w:tcW w:w="2689" w:type="dxa"/>
            <w:tcBorders>
              <w:top w:val="nil"/>
              <w:left w:val="single" w:sz="4" w:space="0" w:color="auto"/>
              <w:bottom w:val="single" w:sz="4" w:space="0" w:color="auto"/>
              <w:right w:val="single" w:sz="4" w:space="0" w:color="auto"/>
            </w:tcBorders>
            <w:shd w:val="clear" w:color="auto" w:fill="auto"/>
            <w:hideMark/>
          </w:tcPr>
          <w:p w:rsidR="000B7B23" w:rsidRPr="00EA3D17" w:rsidRDefault="000B7B23" w:rsidP="004F7088">
            <w:pPr>
              <w:rPr>
                <w:color w:val="000000"/>
                <w:sz w:val="20"/>
                <w:szCs w:val="20"/>
              </w:rPr>
            </w:pPr>
            <w:r w:rsidRPr="00EA3D17">
              <w:rPr>
                <w:color w:val="000000"/>
                <w:sz w:val="20"/>
                <w:szCs w:val="20"/>
              </w:rPr>
              <w:t>расходы на проект по созданию молодежного центра АНГАР</w:t>
            </w:r>
          </w:p>
        </w:tc>
        <w:tc>
          <w:tcPr>
            <w:tcW w:w="834"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left="-68" w:right="-64"/>
              <w:jc w:val="center"/>
              <w:rPr>
                <w:color w:val="000000"/>
                <w:sz w:val="20"/>
                <w:szCs w:val="20"/>
              </w:rPr>
            </w:pPr>
            <w:r w:rsidRPr="00EA3D17">
              <w:rPr>
                <w:color w:val="000000"/>
                <w:sz w:val="20"/>
                <w:szCs w:val="20"/>
              </w:rPr>
              <w:t>0,0</w:t>
            </w:r>
          </w:p>
        </w:tc>
        <w:tc>
          <w:tcPr>
            <w:tcW w:w="834"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left="-176" w:right="-191"/>
              <w:jc w:val="center"/>
              <w:rPr>
                <w:color w:val="000000"/>
                <w:sz w:val="20"/>
                <w:szCs w:val="20"/>
              </w:rPr>
            </w:pPr>
            <w:r w:rsidRPr="00EA3D17">
              <w:rPr>
                <w:color w:val="000000"/>
                <w:sz w:val="20"/>
                <w:szCs w:val="20"/>
              </w:rPr>
              <w:t>7 245,0</w:t>
            </w:r>
          </w:p>
        </w:tc>
        <w:tc>
          <w:tcPr>
            <w:tcW w:w="836"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right="-62" w:hanging="22"/>
              <w:jc w:val="center"/>
              <w:rPr>
                <w:color w:val="000000"/>
                <w:sz w:val="20"/>
                <w:szCs w:val="20"/>
              </w:rPr>
            </w:pPr>
            <w:r w:rsidRPr="00EA3D17">
              <w:rPr>
                <w:color w:val="000000"/>
                <w:sz w:val="20"/>
                <w:szCs w:val="20"/>
              </w:rPr>
              <w:t>0,0</w:t>
            </w:r>
          </w:p>
        </w:tc>
        <w:tc>
          <w:tcPr>
            <w:tcW w:w="834"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left="-151" w:right="-216"/>
              <w:jc w:val="center"/>
              <w:rPr>
                <w:color w:val="000000"/>
                <w:sz w:val="20"/>
                <w:szCs w:val="20"/>
              </w:rPr>
            </w:pPr>
            <w:r w:rsidRPr="00EA3D17">
              <w:rPr>
                <w:color w:val="000000"/>
                <w:sz w:val="20"/>
                <w:szCs w:val="20"/>
              </w:rPr>
              <w:t>0,0</w:t>
            </w:r>
          </w:p>
        </w:tc>
        <w:tc>
          <w:tcPr>
            <w:tcW w:w="834"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left="-139" w:right="-86"/>
              <w:jc w:val="center"/>
              <w:rPr>
                <w:color w:val="000000"/>
                <w:sz w:val="20"/>
                <w:szCs w:val="20"/>
              </w:rPr>
            </w:pPr>
            <w:r w:rsidRPr="00EA3D17">
              <w:rPr>
                <w:color w:val="000000"/>
                <w:sz w:val="20"/>
                <w:szCs w:val="20"/>
              </w:rPr>
              <w:t>7 000,0</w:t>
            </w:r>
          </w:p>
        </w:tc>
        <w:tc>
          <w:tcPr>
            <w:tcW w:w="836"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54B79">
            <w:pPr>
              <w:ind w:left="-127" w:right="-98"/>
              <w:jc w:val="center"/>
              <w:rPr>
                <w:color w:val="000000"/>
                <w:sz w:val="20"/>
                <w:szCs w:val="20"/>
              </w:rPr>
            </w:pPr>
            <w:r w:rsidRPr="00EA3D17">
              <w:rPr>
                <w:color w:val="000000"/>
                <w:sz w:val="20"/>
                <w:szCs w:val="20"/>
              </w:rPr>
              <w:t>0,0</w:t>
            </w:r>
          </w:p>
        </w:tc>
        <w:tc>
          <w:tcPr>
            <w:tcW w:w="667"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4F7088">
            <w:pPr>
              <w:jc w:val="center"/>
              <w:rPr>
                <w:color w:val="000000"/>
                <w:sz w:val="20"/>
                <w:szCs w:val="20"/>
              </w:rPr>
            </w:pPr>
            <w:r w:rsidRPr="00EA3D17">
              <w:rPr>
                <w:color w:val="000000"/>
                <w:sz w:val="20"/>
                <w:szCs w:val="20"/>
              </w:rPr>
              <w:t>0,0</w:t>
            </w:r>
          </w:p>
        </w:tc>
        <w:tc>
          <w:tcPr>
            <w:tcW w:w="667"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B545D2">
            <w:pPr>
              <w:ind w:left="-72" w:right="-42"/>
              <w:jc w:val="center"/>
              <w:rPr>
                <w:color w:val="000000"/>
                <w:sz w:val="20"/>
                <w:szCs w:val="20"/>
              </w:rPr>
            </w:pPr>
            <w:r w:rsidRPr="00EA3D17">
              <w:rPr>
                <w:color w:val="000000"/>
                <w:sz w:val="20"/>
                <w:szCs w:val="20"/>
              </w:rPr>
              <w:t>96,6</w:t>
            </w:r>
          </w:p>
        </w:tc>
        <w:tc>
          <w:tcPr>
            <w:tcW w:w="669" w:type="dxa"/>
            <w:tcBorders>
              <w:top w:val="nil"/>
              <w:left w:val="nil"/>
              <w:bottom w:val="single" w:sz="4" w:space="0" w:color="auto"/>
              <w:right w:val="single" w:sz="4" w:space="0" w:color="auto"/>
            </w:tcBorders>
            <w:shd w:val="clear" w:color="auto" w:fill="auto"/>
            <w:vAlign w:val="center"/>
            <w:hideMark/>
          </w:tcPr>
          <w:p w:rsidR="000B7B23" w:rsidRPr="00EA3D17" w:rsidRDefault="000B7B23" w:rsidP="00B545D2">
            <w:pPr>
              <w:ind w:left="-29" w:right="-83" w:hanging="12"/>
              <w:jc w:val="center"/>
              <w:rPr>
                <w:color w:val="000000"/>
                <w:sz w:val="20"/>
                <w:szCs w:val="20"/>
              </w:rPr>
            </w:pPr>
            <w:r w:rsidRPr="00EA3D17">
              <w:rPr>
                <w:color w:val="000000"/>
                <w:sz w:val="20"/>
                <w:szCs w:val="20"/>
              </w:rPr>
              <w:t>0,0</w:t>
            </w:r>
          </w:p>
        </w:tc>
      </w:tr>
    </w:tbl>
    <w:p w:rsidR="000B7B23" w:rsidRPr="00A52DB6" w:rsidRDefault="000B7B23" w:rsidP="004F7088">
      <w:pPr>
        <w:autoSpaceDE w:val="0"/>
        <w:autoSpaceDN w:val="0"/>
        <w:adjustRightInd w:val="0"/>
        <w:ind w:firstLine="708"/>
        <w:jc w:val="both"/>
        <w:rPr>
          <w:sz w:val="16"/>
          <w:szCs w:val="16"/>
        </w:rPr>
      </w:pPr>
    </w:p>
    <w:p w:rsidR="000B7B23" w:rsidRDefault="000B7B23" w:rsidP="004F7088">
      <w:pPr>
        <w:autoSpaceDE w:val="0"/>
        <w:autoSpaceDN w:val="0"/>
        <w:adjustRightInd w:val="0"/>
        <w:ind w:firstLine="708"/>
        <w:jc w:val="both"/>
        <w:rPr>
          <w:color w:val="000000"/>
          <w:sz w:val="28"/>
          <w:szCs w:val="28"/>
        </w:rPr>
      </w:pPr>
      <w:r w:rsidRPr="00021D72">
        <w:rPr>
          <w:sz w:val="28"/>
          <w:szCs w:val="28"/>
        </w:rPr>
        <w:t xml:space="preserve">При проверке целевого использования средств субсидии, предоставленной на финансовое обеспечение затрат по осуществлению уставной деятельности Фонда в </w:t>
      </w:r>
      <w:r w:rsidRPr="00021D72">
        <w:rPr>
          <w:color w:val="000000"/>
          <w:sz w:val="28"/>
          <w:szCs w:val="28"/>
        </w:rPr>
        <w:t>2019-2021 годах, установлено следующее.</w:t>
      </w:r>
    </w:p>
    <w:p w:rsidR="000B7B23" w:rsidRDefault="000B7B23" w:rsidP="004F7088">
      <w:pPr>
        <w:autoSpaceDE w:val="0"/>
        <w:autoSpaceDN w:val="0"/>
        <w:adjustRightInd w:val="0"/>
        <w:spacing w:before="60"/>
        <w:ind w:firstLine="709"/>
        <w:jc w:val="both"/>
        <w:rPr>
          <w:color w:val="000000"/>
          <w:sz w:val="28"/>
          <w:szCs w:val="28"/>
        </w:rPr>
      </w:pPr>
      <w:r w:rsidRPr="002D6145">
        <w:rPr>
          <w:b/>
          <w:color w:val="000000"/>
          <w:sz w:val="28"/>
          <w:szCs w:val="28"/>
        </w:rPr>
        <w:t>Расходы, произведенные Фондом в 2019 году</w:t>
      </w:r>
      <w:r>
        <w:rPr>
          <w:b/>
          <w:color w:val="000000"/>
          <w:sz w:val="28"/>
          <w:szCs w:val="28"/>
        </w:rPr>
        <w:t>,</w:t>
      </w:r>
      <w:r>
        <w:rPr>
          <w:color w:val="000000"/>
          <w:sz w:val="28"/>
          <w:szCs w:val="28"/>
        </w:rPr>
        <w:t xml:space="preserve"> подтверждены первичными учетными документами на сумму 7 837,8 тыс. рублей или 48,2% от использованных средств субсидии </w:t>
      </w:r>
      <w:r w:rsidRPr="00E31992">
        <w:rPr>
          <w:color w:val="000000"/>
          <w:sz w:val="28"/>
          <w:szCs w:val="28"/>
        </w:rPr>
        <w:t>(</w:t>
      </w:r>
      <w:r w:rsidRPr="00E31992">
        <w:rPr>
          <w:bCs/>
          <w:color w:val="000000"/>
          <w:sz w:val="28"/>
          <w:szCs w:val="28"/>
        </w:rPr>
        <w:t>16 271,7 тыс. рублей)</w:t>
      </w:r>
      <w:r w:rsidRPr="00777B08">
        <w:rPr>
          <w:color w:val="000000"/>
          <w:sz w:val="28"/>
          <w:szCs w:val="28"/>
        </w:rPr>
        <w:t>,</w:t>
      </w:r>
      <w:r>
        <w:rPr>
          <w:color w:val="000000"/>
          <w:sz w:val="28"/>
          <w:szCs w:val="28"/>
        </w:rPr>
        <w:t xml:space="preserve"> в том числе:</w:t>
      </w:r>
    </w:p>
    <w:p w:rsidR="000B7B23" w:rsidRDefault="000B7B23" w:rsidP="004F7088">
      <w:pPr>
        <w:autoSpaceDE w:val="0"/>
        <w:autoSpaceDN w:val="0"/>
        <w:adjustRightInd w:val="0"/>
        <w:ind w:firstLine="708"/>
        <w:jc w:val="both"/>
        <w:rPr>
          <w:sz w:val="28"/>
          <w:szCs w:val="28"/>
        </w:rPr>
      </w:pPr>
      <w:r>
        <w:rPr>
          <w:sz w:val="28"/>
          <w:szCs w:val="28"/>
        </w:rPr>
        <w:t>- операции по расчетам с подотчетными лицами – на сумму 868,3 тыс. рублей;</w:t>
      </w:r>
    </w:p>
    <w:p w:rsidR="000B7B23" w:rsidRDefault="000B7B23" w:rsidP="004F7088">
      <w:pPr>
        <w:autoSpaceDE w:val="0"/>
        <w:autoSpaceDN w:val="0"/>
        <w:adjustRightInd w:val="0"/>
        <w:ind w:firstLine="708"/>
        <w:jc w:val="both"/>
        <w:rPr>
          <w:sz w:val="28"/>
          <w:szCs w:val="28"/>
        </w:rPr>
      </w:pPr>
      <w:r>
        <w:rPr>
          <w:sz w:val="28"/>
          <w:szCs w:val="28"/>
        </w:rPr>
        <w:t>- операции по расчетам с поставщиками и подрядчиками – на сумму 6 969,5 тыс. рублей</w:t>
      </w:r>
      <w:bookmarkStart w:id="80" w:name="_Hlk101780333"/>
      <w:r>
        <w:rPr>
          <w:sz w:val="28"/>
          <w:szCs w:val="28"/>
        </w:rPr>
        <w:t xml:space="preserve">. </w:t>
      </w:r>
    </w:p>
    <w:p w:rsidR="000B7B23" w:rsidRDefault="000B7B23" w:rsidP="004F7088">
      <w:pPr>
        <w:autoSpaceDE w:val="0"/>
        <w:autoSpaceDN w:val="0"/>
        <w:adjustRightInd w:val="0"/>
        <w:ind w:firstLine="708"/>
        <w:jc w:val="both"/>
        <w:rPr>
          <w:sz w:val="28"/>
          <w:szCs w:val="28"/>
        </w:rPr>
      </w:pPr>
      <w:r w:rsidRPr="00373B04">
        <w:rPr>
          <w:sz w:val="28"/>
          <w:szCs w:val="28"/>
        </w:rPr>
        <w:t>Все операции по расчетам с персоналом по оплате труда</w:t>
      </w:r>
      <w:r>
        <w:rPr>
          <w:sz w:val="28"/>
          <w:szCs w:val="28"/>
        </w:rPr>
        <w:t xml:space="preserve"> и </w:t>
      </w:r>
      <w:r w:rsidRPr="00595D8C">
        <w:rPr>
          <w:sz w:val="28"/>
          <w:szCs w:val="28"/>
        </w:rPr>
        <w:t>р</w:t>
      </w:r>
      <w:r>
        <w:rPr>
          <w:sz w:val="28"/>
          <w:szCs w:val="28"/>
        </w:rPr>
        <w:t>асчетам по социальному страхованию и обеспечению</w:t>
      </w:r>
      <w:r w:rsidRPr="00373B04">
        <w:rPr>
          <w:sz w:val="28"/>
          <w:szCs w:val="28"/>
        </w:rPr>
        <w:t xml:space="preserve"> за 2019 год не подтверждены первичными учетными документами</w:t>
      </w:r>
      <w:r>
        <w:rPr>
          <w:sz w:val="28"/>
          <w:szCs w:val="28"/>
        </w:rPr>
        <w:t>.</w:t>
      </w:r>
    </w:p>
    <w:bookmarkEnd w:id="80"/>
    <w:p w:rsidR="000B7B23" w:rsidRDefault="000B7B23" w:rsidP="004F7088">
      <w:pPr>
        <w:autoSpaceDE w:val="0"/>
        <w:autoSpaceDN w:val="0"/>
        <w:adjustRightInd w:val="0"/>
        <w:spacing w:before="60"/>
        <w:ind w:firstLine="709"/>
        <w:jc w:val="both"/>
        <w:rPr>
          <w:color w:val="000000"/>
          <w:sz w:val="28"/>
          <w:szCs w:val="28"/>
        </w:rPr>
      </w:pPr>
      <w:r w:rsidRPr="00373B04">
        <w:rPr>
          <w:b/>
          <w:sz w:val="28"/>
          <w:szCs w:val="28"/>
        </w:rPr>
        <w:t>Расходы, произведенные Фондом в 2020 году</w:t>
      </w:r>
      <w:r>
        <w:rPr>
          <w:rStyle w:val="ab"/>
          <w:b/>
          <w:sz w:val="28"/>
          <w:szCs w:val="28"/>
        </w:rPr>
        <w:footnoteReference w:id="150"/>
      </w:r>
      <w:r>
        <w:rPr>
          <w:b/>
          <w:sz w:val="28"/>
          <w:szCs w:val="28"/>
        </w:rPr>
        <w:t>,</w:t>
      </w:r>
      <w:r w:rsidRPr="00373B04">
        <w:rPr>
          <w:sz w:val="28"/>
          <w:szCs w:val="28"/>
        </w:rPr>
        <w:t xml:space="preserve"> подтверждены первичными </w:t>
      </w:r>
      <w:r w:rsidRPr="00373B04">
        <w:rPr>
          <w:color w:val="000000"/>
          <w:sz w:val="28"/>
          <w:szCs w:val="28"/>
        </w:rPr>
        <w:t xml:space="preserve">учетными документами на сумму </w:t>
      </w:r>
      <w:r>
        <w:rPr>
          <w:color w:val="000000"/>
          <w:sz w:val="28"/>
          <w:szCs w:val="28"/>
        </w:rPr>
        <w:t>21 822,8</w:t>
      </w:r>
      <w:r w:rsidRPr="00373B04">
        <w:rPr>
          <w:color w:val="000000"/>
          <w:sz w:val="28"/>
          <w:szCs w:val="28"/>
        </w:rPr>
        <w:t xml:space="preserve"> тыс. рублей или </w:t>
      </w:r>
      <w:r>
        <w:rPr>
          <w:color w:val="000000"/>
          <w:sz w:val="28"/>
          <w:szCs w:val="28"/>
        </w:rPr>
        <w:t>96,5</w:t>
      </w:r>
      <w:r w:rsidRPr="00373B04">
        <w:rPr>
          <w:color w:val="000000"/>
          <w:sz w:val="28"/>
          <w:szCs w:val="28"/>
        </w:rPr>
        <w:t>% от использованных средств субсидии (</w:t>
      </w:r>
      <w:r w:rsidRPr="00373B04">
        <w:rPr>
          <w:bCs/>
          <w:color w:val="000000"/>
          <w:sz w:val="28"/>
          <w:szCs w:val="28"/>
        </w:rPr>
        <w:t>22 616,9</w:t>
      </w:r>
      <w:r w:rsidRPr="00373B04">
        <w:rPr>
          <w:b/>
          <w:bCs/>
          <w:color w:val="000000"/>
          <w:sz w:val="16"/>
          <w:szCs w:val="16"/>
        </w:rPr>
        <w:t xml:space="preserve"> </w:t>
      </w:r>
      <w:r w:rsidRPr="00373B04">
        <w:rPr>
          <w:bCs/>
          <w:color w:val="000000"/>
          <w:sz w:val="28"/>
          <w:szCs w:val="28"/>
        </w:rPr>
        <w:t>тыс. рублей)</w:t>
      </w:r>
      <w:r w:rsidRPr="00373B04">
        <w:rPr>
          <w:color w:val="000000"/>
          <w:sz w:val="28"/>
          <w:szCs w:val="28"/>
        </w:rPr>
        <w:t>, в том числе:</w:t>
      </w:r>
    </w:p>
    <w:p w:rsidR="000B7B23" w:rsidRDefault="000B7B23" w:rsidP="004F7088">
      <w:pPr>
        <w:autoSpaceDE w:val="0"/>
        <w:autoSpaceDN w:val="0"/>
        <w:adjustRightInd w:val="0"/>
        <w:ind w:firstLine="708"/>
        <w:jc w:val="both"/>
        <w:rPr>
          <w:color w:val="000000"/>
          <w:sz w:val="28"/>
          <w:szCs w:val="28"/>
        </w:rPr>
      </w:pPr>
      <w:r>
        <w:rPr>
          <w:color w:val="000000"/>
          <w:sz w:val="28"/>
          <w:szCs w:val="28"/>
        </w:rPr>
        <w:lastRenderedPageBreak/>
        <w:t>- </w:t>
      </w:r>
      <w:r>
        <w:rPr>
          <w:sz w:val="28"/>
          <w:szCs w:val="28"/>
        </w:rPr>
        <w:t xml:space="preserve">операции </w:t>
      </w:r>
      <w:r w:rsidRPr="00EF1BF8">
        <w:rPr>
          <w:sz w:val="28"/>
          <w:szCs w:val="28"/>
        </w:rPr>
        <w:t xml:space="preserve">по </w:t>
      </w:r>
      <w:r>
        <w:rPr>
          <w:sz w:val="28"/>
          <w:szCs w:val="28"/>
        </w:rPr>
        <w:t xml:space="preserve">расчетам с персоналом по оплате труда, </w:t>
      </w:r>
      <w:r w:rsidRPr="00595D8C">
        <w:rPr>
          <w:sz w:val="28"/>
          <w:szCs w:val="28"/>
        </w:rPr>
        <w:t>с учетом расходов по р</w:t>
      </w:r>
      <w:r>
        <w:rPr>
          <w:sz w:val="28"/>
          <w:szCs w:val="28"/>
        </w:rPr>
        <w:t>асчетам по социальному страхованию и обеспечению –</w:t>
      </w:r>
      <w:r>
        <w:rPr>
          <w:color w:val="000000"/>
          <w:sz w:val="28"/>
          <w:szCs w:val="28"/>
        </w:rPr>
        <w:t xml:space="preserve"> на сумму 11 909,9 тыс. рублей, что на 1 407,0 тыс. рублей больше расходов, отраженных Фондом в отчетах об использовании субсидии за 2020 год;</w:t>
      </w:r>
    </w:p>
    <w:p w:rsidR="000B7B23" w:rsidRDefault="000B7B23" w:rsidP="004F7088">
      <w:pPr>
        <w:autoSpaceDE w:val="0"/>
        <w:autoSpaceDN w:val="0"/>
        <w:adjustRightInd w:val="0"/>
        <w:ind w:firstLine="708"/>
        <w:jc w:val="both"/>
        <w:rPr>
          <w:sz w:val="28"/>
          <w:szCs w:val="28"/>
        </w:rPr>
      </w:pPr>
      <w:r>
        <w:rPr>
          <w:sz w:val="28"/>
          <w:szCs w:val="28"/>
        </w:rPr>
        <w:t>- операции по расчетам с подотчетными лицами – на сумму 657,0 тыс. рублей;</w:t>
      </w:r>
    </w:p>
    <w:p w:rsidR="000B7B23" w:rsidRDefault="000B7B23" w:rsidP="004F7088">
      <w:pPr>
        <w:autoSpaceDE w:val="0"/>
        <w:autoSpaceDN w:val="0"/>
        <w:adjustRightInd w:val="0"/>
        <w:ind w:firstLine="708"/>
        <w:jc w:val="both"/>
        <w:rPr>
          <w:sz w:val="28"/>
          <w:szCs w:val="28"/>
        </w:rPr>
      </w:pPr>
      <w:r>
        <w:rPr>
          <w:sz w:val="28"/>
          <w:szCs w:val="28"/>
        </w:rPr>
        <w:t>- операции по расчетам с поставщиками и подрядчиками – на сумму 9 255,9 тыс. рублей.</w:t>
      </w:r>
    </w:p>
    <w:p w:rsidR="000B7B23" w:rsidRDefault="000B7B23" w:rsidP="004F7088">
      <w:pPr>
        <w:autoSpaceDE w:val="0"/>
        <w:autoSpaceDN w:val="0"/>
        <w:adjustRightInd w:val="0"/>
        <w:spacing w:before="60"/>
        <w:ind w:firstLine="709"/>
        <w:jc w:val="both"/>
        <w:rPr>
          <w:color w:val="000000"/>
          <w:sz w:val="28"/>
          <w:szCs w:val="28"/>
        </w:rPr>
      </w:pPr>
      <w:r w:rsidRPr="002D6145">
        <w:rPr>
          <w:b/>
          <w:sz w:val="28"/>
          <w:szCs w:val="28"/>
        </w:rPr>
        <w:t>Расходы, произведенные Фондом в 2021 году</w:t>
      </w:r>
      <w:r>
        <w:rPr>
          <w:b/>
          <w:sz w:val="28"/>
          <w:szCs w:val="28"/>
        </w:rPr>
        <w:t>,</w:t>
      </w:r>
      <w:r>
        <w:rPr>
          <w:sz w:val="28"/>
          <w:szCs w:val="28"/>
        </w:rPr>
        <w:t xml:space="preserve"> подтверждены первичными </w:t>
      </w:r>
      <w:r>
        <w:rPr>
          <w:color w:val="000000"/>
          <w:sz w:val="28"/>
          <w:szCs w:val="28"/>
        </w:rPr>
        <w:t xml:space="preserve">учетными документами на сумму 14 653,1 тыс. рублей или 93,9% от использованных средств субсидии </w:t>
      </w:r>
      <w:r w:rsidRPr="00FB0DA8">
        <w:rPr>
          <w:color w:val="000000"/>
          <w:sz w:val="28"/>
          <w:szCs w:val="28"/>
        </w:rPr>
        <w:t>(</w:t>
      </w:r>
      <w:r w:rsidRPr="00FB0DA8">
        <w:rPr>
          <w:bCs/>
          <w:color w:val="000000"/>
          <w:sz w:val="28"/>
          <w:szCs w:val="28"/>
        </w:rPr>
        <w:t>15 601,5 тыс. рублей)</w:t>
      </w:r>
      <w:r>
        <w:rPr>
          <w:color w:val="000000"/>
          <w:sz w:val="28"/>
          <w:szCs w:val="28"/>
        </w:rPr>
        <w:t>, в том числе:</w:t>
      </w:r>
    </w:p>
    <w:p w:rsidR="000B7B23" w:rsidRDefault="000B7B23" w:rsidP="004F7088">
      <w:pPr>
        <w:autoSpaceDE w:val="0"/>
        <w:autoSpaceDN w:val="0"/>
        <w:adjustRightInd w:val="0"/>
        <w:ind w:firstLine="708"/>
        <w:jc w:val="both"/>
        <w:rPr>
          <w:color w:val="000000"/>
          <w:sz w:val="28"/>
          <w:szCs w:val="28"/>
        </w:rPr>
      </w:pPr>
      <w:r>
        <w:rPr>
          <w:color w:val="000000"/>
          <w:sz w:val="28"/>
          <w:szCs w:val="28"/>
        </w:rPr>
        <w:t>- </w:t>
      </w:r>
      <w:r>
        <w:rPr>
          <w:sz w:val="28"/>
          <w:szCs w:val="28"/>
        </w:rPr>
        <w:t xml:space="preserve">операции </w:t>
      </w:r>
      <w:r w:rsidRPr="00EF1BF8">
        <w:rPr>
          <w:sz w:val="28"/>
          <w:szCs w:val="28"/>
        </w:rPr>
        <w:t xml:space="preserve">по </w:t>
      </w:r>
      <w:r>
        <w:rPr>
          <w:sz w:val="28"/>
          <w:szCs w:val="28"/>
        </w:rPr>
        <w:t xml:space="preserve">расчетам с персоналом по оплате труда, </w:t>
      </w:r>
      <w:r w:rsidRPr="00595D8C">
        <w:rPr>
          <w:sz w:val="28"/>
          <w:szCs w:val="28"/>
        </w:rPr>
        <w:t>с учетом расходов по р</w:t>
      </w:r>
      <w:r>
        <w:rPr>
          <w:sz w:val="28"/>
          <w:szCs w:val="28"/>
        </w:rPr>
        <w:t>асчетам по социальному страхованию и обеспечению</w:t>
      </w:r>
      <w:r>
        <w:rPr>
          <w:color w:val="000000"/>
          <w:sz w:val="28"/>
          <w:szCs w:val="28"/>
        </w:rPr>
        <w:t xml:space="preserve"> </w:t>
      </w:r>
      <w:r>
        <w:rPr>
          <w:sz w:val="28"/>
          <w:szCs w:val="28"/>
        </w:rPr>
        <w:t>–</w:t>
      </w:r>
      <w:r>
        <w:rPr>
          <w:color w:val="000000"/>
          <w:sz w:val="28"/>
          <w:szCs w:val="28"/>
        </w:rPr>
        <w:t xml:space="preserve"> на сумму 9 592,7 тыс. рублей;</w:t>
      </w:r>
    </w:p>
    <w:p w:rsidR="000B7B23" w:rsidRDefault="000B7B23" w:rsidP="004F7088">
      <w:pPr>
        <w:autoSpaceDE w:val="0"/>
        <w:autoSpaceDN w:val="0"/>
        <w:adjustRightInd w:val="0"/>
        <w:ind w:firstLine="708"/>
        <w:jc w:val="both"/>
        <w:rPr>
          <w:sz w:val="28"/>
          <w:szCs w:val="28"/>
        </w:rPr>
      </w:pPr>
      <w:r>
        <w:rPr>
          <w:sz w:val="28"/>
          <w:szCs w:val="28"/>
        </w:rPr>
        <w:t>- операции по расчетам с подотчетными лицами – на сумму 943,2 тыс. рублей;</w:t>
      </w:r>
    </w:p>
    <w:p w:rsidR="000B7B23" w:rsidRDefault="000B7B23" w:rsidP="004F7088">
      <w:pPr>
        <w:autoSpaceDE w:val="0"/>
        <w:autoSpaceDN w:val="0"/>
        <w:adjustRightInd w:val="0"/>
        <w:ind w:firstLine="708"/>
        <w:jc w:val="both"/>
        <w:rPr>
          <w:sz w:val="28"/>
          <w:szCs w:val="28"/>
        </w:rPr>
      </w:pPr>
      <w:r>
        <w:rPr>
          <w:sz w:val="28"/>
          <w:szCs w:val="28"/>
        </w:rPr>
        <w:t>- операции по расчетам с поставщиками и подрядчиками – на сумму 4 117,2 тыс. рублей.</w:t>
      </w:r>
    </w:p>
    <w:p w:rsidR="000B7B23" w:rsidRDefault="000B7B23" w:rsidP="004F7088">
      <w:pPr>
        <w:autoSpaceDE w:val="0"/>
        <w:autoSpaceDN w:val="0"/>
        <w:adjustRightInd w:val="0"/>
        <w:ind w:firstLine="708"/>
        <w:jc w:val="both"/>
        <w:rPr>
          <w:sz w:val="28"/>
          <w:szCs w:val="28"/>
          <w:highlight w:val="yellow"/>
        </w:rPr>
      </w:pPr>
      <w:r w:rsidRPr="00EC07B7">
        <w:rPr>
          <w:sz w:val="28"/>
          <w:szCs w:val="28"/>
        </w:rPr>
        <w:t>Таким образом, в нарушение статьи 9 Закон</w:t>
      </w:r>
      <w:r>
        <w:rPr>
          <w:sz w:val="28"/>
          <w:szCs w:val="28"/>
        </w:rPr>
        <w:t>а</w:t>
      </w:r>
      <w:r w:rsidRPr="00EC07B7">
        <w:rPr>
          <w:sz w:val="28"/>
          <w:szCs w:val="28"/>
        </w:rPr>
        <w:t xml:space="preserve"> о бухгалтерском учете в проверяемом периоде не подтверждены </w:t>
      </w:r>
      <w:r>
        <w:rPr>
          <w:sz w:val="28"/>
          <w:szCs w:val="28"/>
        </w:rPr>
        <w:t xml:space="preserve">в полном объеме </w:t>
      </w:r>
      <w:r w:rsidRPr="00EC07B7">
        <w:rPr>
          <w:sz w:val="28"/>
          <w:szCs w:val="28"/>
        </w:rPr>
        <w:t>первичными учетными документами факты хозяйственной жизни Фонда</w:t>
      </w:r>
      <w:r>
        <w:rPr>
          <w:sz w:val="28"/>
          <w:szCs w:val="28"/>
        </w:rPr>
        <w:t xml:space="preserve">, </w:t>
      </w:r>
      <w:r w:rsidRPr="00705CB4">
        <w:rPr>
          <w:sz w:val="28"/>
          <w:szCs w:val="28"/>
        </w:rPr>
        <w:t xml:space="preserve">чем создан риск ущерба окружному бюджету </w:t>
      </w:r>
      <w:r>
        <w:rPr>
          <w:sz w:val="28"/>
          <w:szCs w:val="28"/>
        </w:rPr>
        <w:t>в размере</w:t>
      </w:r>
      <w:r w:rsidRPr="00705CB4">
        <w:rPr>
          <w:sz w:val="28"/>
          <w:szCs w:val="28"/>
        </w:rPr>
        <w:t xml:space="preserve"> 10 176,4 тыс. рублей.</w:t>
      </w:r>
    </w:p>
    <w:p w:rsidR="000B7B23" w:rsidRDefault="000B7B23" w:rsidP="004F7088">
      <w:pPr>
        <w:autoSpaceDE w:val="0"/>
        <w:autoSpaceDN w:val="0"/>
        <w:adjustRightInd w:val="0"/>
        <w:ind w:firstLine="708"/>
        <w:jc w:val="both"/>
        <w:rPr>
          <w:sz w:val="28"/>
          <w:szCs w:val="28"/>
        </w:rPr>
      </w:pPr>
      <w:r w:rsidRPr="00765D63">
        <w:rPr>
          <w:sz w:val="28"/>
          <w:szCs w:val="28"/>
        </w:rPr>
        <w:t>В связи с отсутствием основных регистров бухгалтерского учета</w:t>
      </w:r>
      <w:r>
        <w:rPr>
          <w:sz w:val="28"/>
          <w:szCs w:val="28"/>
        </w:rPr>
        <w:t xml:space="preserve"> (ж</w:t>
      </w:r>
      <w:r w:rsidRPr="00765D63">
        <w:rPr>
          <w:sz w:val="28"/>
          <w:szCs w:val="28"/>
        </w:rPr>
        <w:t>урналов-ордеров, Главной книги</w:t>
      </w:r>
      <w:r>
        <w:rPr>
          <w:sz w:val="28"/>
          <w:szCs w:val="28"/>
        </w:rPr>
        <w:t>)</w:t>
      </w:r>
      <w:r w:rsidRPr="00765D63">
        <w:rPr>
          <w:sz w:val="28"/>
          <w:szCs w:val="28"/>
        </w:rPr>
        <w:t xml:space="preserve">, подтвердить </w:t>
      </w:r>
      <w:r>
        <w:rPr>
          <w:sz w:val="28"/>
          <w:szCs w:val="28"/>
        </w:rPr>
        <w:t xml:space="preserve">целевое использование </w:t>
      </w:r>
      <w:r w:rsidRPr="00765D63">
        <w:rPr>
          <w:sz w:val="28"/>
          <w:szCs w:val="28"/>
        </w:rPr>
        <w:t xml:space="preserve">средств субсидии, предоставленных Фонду на </w:t>
      </w:r>
      <w:r w:rsidRPr="00765D63">
        <w:rPr>
          <w:sz w:val="27"/>
          <w:szCs w:val="27"/>
        </w:rPr>
        <w:t>финансовое обеспечение уставной деятельности</w:t>
      </w:r>
      <w:r w:rsidRPr="00765D63">
        <w:rPr>
          <w:sz w:val="28"/>
          <w:szCs w:val="28"/>
        </w:rPr>
        <w:t xml:space="preserve"> в 2019-2021 годах</w:t>
      </w:r>
      <w:r>
        <w:rPr>
          <w:sz w:val="28"/>
          <w:szCs w:val="28"/>
        </w:rPr>
        <w:t>,</w:t>
      </w:r>
      <w:r w:rsidRPr="00765D63">
        <w:rPr>
          <w:sz w:val="28"/>
          <w:szCs w:val="28"/>
        </w:rPr>
        <w:t xml:space="preserve"> не представляется возможным.</w:t>
      </w:r>
    </w:p>
    <w:p w:rsidR="000B7B23" w:rsidRPr="00705CB4" w:rsidRDefault="000B7B23" w:rsidP="004F7088">
      <w:pPr>
        <w:autoSpaceDE w:val="0"/>
        <w:autoSpaceDN w:val="0"/>
        <w:adjustRightInd w:val="0"/>
        <w:ind w:firstLine="708"/>
        <w:jc w:val="both"/>
        <w:rPr>
          <w:sz w:val="28"/>
          <w:szCs w:val="28"/>
        </w:rPr>
      </w:pPr>
      <w:r w:rsidRPr="00705CB4">
        <w:rPr>
          <w:sz w:val="28"/>
          <w:szCs w:val="28"/>
        </w:rPr>
        <w:t>В нарушение пункта 4.1. По</w:t>
      </w:r>
      <w:r>
        <w:rPr>
          <w:sz w:val="28"/>
          <w:szCs w:val="28"/>
        </w:rPr>
        <w:t>рядка</w:t>
      </w:r>
      <w:r w:rsidRPr="00705CB4">
        <w:rPr>
          <w:sz w:val="28"/>
          <w:szCs w:val="28"/>
        </w:rPr>
        <w:t xml:space="preserve"> №250, Аппаратом не осуществлялся контроль соблюдения условий, целей и порядка предоставления субсидии. </w:t>
      </w:r>
    </w:p>
    <w:p w:rsidR="000B7B23" w:rsidRPr="00ED57B1" w:rsidRDefault="000B7B23" w:rsidP="004F7088">
      <w:pPr>
        <w:autoSpaceDE w:val="0"/>
        <w:autoSpaceDN w:val="0"/>
        <w:adjustRightInd w:val="0"/>
        <w:ind w:firstLine="708"/>
        <w:jc w:val="both"/>
        <w:rPr>
          <w:sz w:val="16"/>
          <w:szCs w:val="16"/>
          <w:highlight w:val="yellow"/>
        </w:rPr>
      </w:pPr>
    </w:p>
    <w:p w:rsidR="000B7B23" w:rsidRDefault="000B7B23" w:rsidP="004F7088">
      <w:pPr>
        <w:autoSpaceDE w:val="0"/>
        <w:autoSpaceDN w:val="0"/>
        <w:adjustRightInd w:val="0"/>
        <w:jc w:val="both"/>
        <w:rPr>
          <w:sz w:val="28"/>
          <w:szCs w:val="28"/>
        </w:rPr>
      </w:pPr>
      <w:r>
        <w:rPr>
          <w:b/>
          <w:sz w:val="28"/>
          <w:szCs w:val="28"/>
        </w:rPr>
        <w:tab/>
        <w:t xml:space="preserve">При проверке осуществления операций по списанию </w:t>
      </w:r>
      <w:r w:rsidRPr="00373B04">
        <w:rPr>
          <w:b/>
          <w:sz w:val="28"/>
          <w:szCs w:val="28"/>
        </w:rPr>
        <w:t>товарно-материальных ценностей</w:t>
      </w:r>
      <w:r>
        <w:rPr>
          <w:sz w:val="28"/>
          <w:szCs w:val="28"/>
        </w:rPr>
        <w:t xml:space="preserve"> установлено, что списание товарно-материальных ценностей, приобретенных Фондом в проверяемом периоде, не подтверждено первичными (сводными) учетными документами (актами на списание, ведомостями выдачи либо иными документами, предусмотренными учетной политикой). </w:t>
      </w:r>
    </w:p>
    <w:p w:rsidR="000B7B23" w:rsidRDefault="000B7B23" w:rsidP="004F7088">
      <w:pPr>
        <w:autoSpaceDE w:val="0"/>
        <w:autoSpaceDN w:val="0"/>
        <w:adjustRightInd w:val="0"/>
        <w:ind w:firstLine="708"/>
        <w:jc w:val="both"/>
        <w:rPr>
          <w:sz w:val="28"/>
          <w:szCs w:val="28"/>
        </w:rPr>
      </w:pPr>
      <w:r>
        <w:rPr>
          <w:sz w:val="28"/>
          <w:szCs w:val="28"/>
        </w:rPr>
        <w:t xml:space="preserve">В нарушение требований пункта 4 </w:t>
      </w:r>
      <w:hyperlink r:id="rId25" w:history="1">
        <w:r w:rsidRPr="00EC07B7">
          <w:rPr>
            <w:sz w:val="28"/>
            <w:szCs w:val="28"/>
          </w:rPr>
          <w:t>Положени</w:t>
        </w:r>
      </w:hyperlink>
      <w:r w:rsidRPr="00EC07B7">
        <w:rPr>
          <w:sz w:val="28"/>
          <w:szCs w:val="28"/>
        </w:rPr>
        <w:t>я п</w:t>
      </w:r>
      <w:r>
        <w:rPr>
          <w:sz w:val="28"/>
          <w:szCs w:val="28"/>
        </w:rPr>
        <w:t>о бухгалтерскому учету «Учетная политика организации»</w:t>
      </w:r>
      <w:r>
        <w:rPr>
          <w:rStyle w:val="ab"/>
          <w:sz w:val="28"/>
          <w:szCs w:val="28"/>
        </w:rPr>
        <w:footnoteReference w:id="151"/>
      </w:r>
      <w:r>
        <w:rPr>
          <w:sz w:val="28"/>
          <w:szCs w:val="28"/>
        </w:rPr>
        <w:t xml:space="preserve">,  формы первичных учетных документов, регистров бухгалтерского учета, а также документов для внутренней бухгалтерской отчетности </w:t>
      </w:r>
      <w:r w:rsidRPr="00D200C8">
        <w:rPr>
          <w:sz w:val="28"/>
          <w:szCs w:val="28"/>
        </w:rPr>
        <w:t>Учетн</w:t>
      </w:r>
      <w:r>
        <w:rPr>
          <w:sz w:val="28"/>
          <w:szCs w:val="28"/>
        </w:rPr>
        <w:t>ой</w:t>
      </w:r>
      <w:r w:rsidRPr="00D200C8">
        <w:rPr>
          <w:sz w:val="28"/>
          <w:szCs w:val="28"/>
        </w:rPr>
        <w:t xml:space="preserve"> политик</w:t>
      </w:r>
      <w:r>
        <w:rPr>
          <w:sz w:val="28"/>
          <w:szCs w:val="28"/>
        </w:rPr>
        <w:t>ой</w:t>
      </w:r>
      <w:r w:rsidRPr="00D200C8">
        <w:rPr>
          <w:sz w:val="28"/>
          <w:szCs w:val="28"/>
        </w:rPr>
        <w:t xml:space="preserve"> Фонда</w:t>
      </w:r>
      <w:r>
        <w:rPr>
          <w:sz w:val="28"/>
          <w:szCs w:val="28"/>
        </w:rPr>
        <w:t xml:space="preserve"> не предусмотрены.  </w:t>
      </w:r>
    </w:p>
    <w:p w:rsidR="000B7B23" w:rsidRPr="00E54879" w:rsidRDefault="000B7B23" w:rsidP="004F7088">
      <w:pPr>
        <w:autoSpaceDE w:val="0"/>
        <w:autoSpaceDN w:val="0"/>
        <w:adjustRightInd w:val="0"/>
        <w:ind w:firstLine="708"/>
        <w:jc w:val="both"/>
        <w:rPr>
          <w:sz w:val="28"/>
          <w:szCs w:val="28"/>
        </w:rPr>
      </w:pPr>
      <w:r w:rsidRPr="00D22FF8">
        <w:rPr>
          <w:sz w:val="28"/>
          <w:szCs w:val="28"/>
        </w:rPr>
        <w:t>В нарушение статьи 9 Закона о бухгалтерском учете, Фондом осуществлялась передача товарно-материальных ценностей в качестве подарков либо призов в отсутстви</w:t>
      </w:r>
      <w:r>
        <w:rPr>
          <w:sz w:val="28"/>
          <w:szCs w:val="28"/>
        </w:rPr>
        <w:t>е</w:t>
      </w:r>
      <w:r w:rsidRPr="00D22FF8">
        <w:rPr>
          <w:sz w:val="28"/>
          <w:szCs w:val="28"/>
        </w:rPr>
        <w:t xml:space="preserve"> первичного учетного документа, подтверждающего </w:t>
      </w:r>
      <w:r w:rsidRPr="00D22FF8">
        <w:rPr>
          <w:sz w:val="28"/>
          <w:szCs w:val="28"/>
        </w:rPr>
        <w:lastRenderedPageBreak/>
        <w:t>факт передачи (списания), в 2019 году – на сумму 145,0 тыс. рублей; в 2020 году – на сумму 747,6 тыс. рублей; в 2021 году – на сумму 457,2 тыс. рублей, чем создан риск ущерба окружному бюджету в размере 1 349,8 тыс. рублей.</w:t>
      </w:r>
      <w:r w:rsidRPr="00E54879">
        <w:rPr>
          <w:sz w:val="28"/>
          <w:szCs w:val="28"/>
        </w:rPr>
        <w:t xml:space="preserve"> </w:t>
      </w:r>
    </w:p>
    <w:p w:rsidR="000B7B23" w:rsidRPr="00A648A9" w:rsidRDefault="000B7B23" w:rsidP="004F7088">
      <w:pPr>
        <w:autoSpaceDE w:val="0"/>
        <w:autoSpaceDN w:val="0"/>
        <w:adjustRightInd w:val="0"/>
        <w:ind w:firstLine="708"/>
        <w:jc w:val="both"/>
        <w:rPr>
          <w:sz w:val="16"/>
          <w:szCs w:val="16"/>
        </w:rPr>
      </w:pPr>
    </w:p>
    <w:p w:rsidR="000B7B23" w:rsidRPr="00F67C3E" w:rsidRDefault="000B7B23" w:rsidP="004F7088">
      <w:pPr>
        <w:autoSpaceDE w:val="0"/>
        <w:autoSpaceDN w:val="0"/>
        <w:adjustRightInd w:val="0"/>
        <w:ind w:firstLine="708"/>
        <w:jc w:val="both"/>
        <w:rPr>
          <w:b/>
          <w:sz w:val="28"/>
          <w:szCs w:val="28"/>
        </w:rPr>
      </w:pPr>
      <w:r w:rsidRPr="00A44D8B">
        <w:rPr>
          <w:b/>
          <w:sz w:val="28"/>
          <w:szCs w:val="28"/>
        </w:rPr>
        <w:t>При проверке расчетов по оплате труда</w:t>
      </w:r>
      <w:r w:rsidRPr="00765E0A">
        <w:rPr>
          <w:sz w:val="28"/>
          <w:szCs w:val="28"/>
        </w:rPr>
        <w:t xml:space="preserve"> </w:t>
      </w:r>
      <w:r w:rsidRPr="00F67C3E">
        <w:rPr>
          <w:b/>
          <w:sz w:val="28"/>
          <w:szCs w:val="28"/>
        </w:rPr>
        <w:t>установлено следующее.</w:t>
      </w:r>
    </w:p>
    <w:p w:rsidR="000B7B23" w:rsidRPr="00F43897" w:rsidRDefault="000B7B23" w:rsidP="004F7088">
      <w:pPr>
        <w:autoSpaceDE w:val="0"/>
        <w:autoSpaceDN w:val="0"/>
        <w:adjustRightInd w:val="0"/>
        <w:ind w:firstLine="708"/>
        <w:jc w:val="both"/>
        <w:rPr>
          <w:sz w:val="28"/>
          <w:szCs w:val="28"/>
        </w:rPr>
      </w:pPr>
      <w:r>
        <w:rPr>
          <w:sz w:val="28"/>
          <w:szCs w:val="28"/>
        </w:rPr>
        <w:t xml:space="preserve">Размеры и форма оплаты труда работников Фонда определялись директором Фонда в соответствии со штатным расписанием и пунктом 8 Правил внутреннего трудового распорядка. С работниками, осуществляющими трудовую деятельность на постоянной основе, заключены </w:t>
      </w:r>
      <w:r w:rsidRPr="00F43897">
        <w:rPr>
          <w:sz w:val="28"/>
          <w:szCs w:val="28"/>
        </w:rPr>
        <w:t>трудовые договоры.</w:t>
      </w:r>
    </w:p>
    <w:p w:rsidR="000B7B23" w:rsidRDefault="000B7B23" w:rsidP="004F7088">
      <w:pPr>
        <w:autoSpaceDE w:val="0"/>
        <w:autoSpaceDN w:val="0"/>
        <w:adjustRightInd w:val="0"/>
        <w:ind w:firstLine="708"/>
        <w:jc w:val="both"/>
        <w:rPr>
          <w:sz w:val="28"/>
          <w:szCs w:val="28"/>
        </w:rPr>
      </w:pPr>
      <w:r w:rsidRPr="002025DB">
        <w:rPr>
          <w:sz w:val="28"/>
          <w:szCs w:val="28"/>
        </w:rPr>
        <w:t xml:space="preserve">В </w:t>
      </w:r>
      <w:r>
        <w:rPr>
          <w:sz w:val="28"/>
          <w:szCs w:val="28"/>
        </w:rPr>
        <w:t xml:space="preserve">ходе контрольного мероприятия выявлены </w:t>
      </w:r>
      <w:r w:rsidRPr="002025DB">
        <w:rPr>
          <w:sz w:val="28"/>
          <w:szCs w:val="28"/>
        </w:rPr>
        <w:t>нарушени</w:t>
      </w:r>
      <w:r>
        <w:rPr>
          <w:sz w:val="28"/>
          <w:szCs w:val="28"/>
        </w:rPr>
        <w:t>я</w:t>
      </w:r>
      <w:r w:rsidRPr="002025DB">
        <w:rPr>
          <w:sz w:val="28"/>
          <w:szCs w:val="28"/>
        </w:rPr>
        <w:t xml:space="preserve"> требований </w:t>
      </w:r>
      <w:r>
        <w:rPr>
          <w:sz w:val="28"/>
          <w:szCs w:val="28"/>
        </w:rPr>
        <w:t xml:space="preserve">статей 91, 135, 309.2 </w:t>
      </w:r>
      <w:r w:rsidRPr="002025DB">
        <w:rPr>
          <w:sz w:val="28"/>
          <w:szCs w:val="28"/>
        </w:rPr>
        <w:t>Трудового кодекса Российской Федерации</w:t>
      </w:r>
      <w:r>
        <w:rPr>
          <w:sz w:val="28"/>
          <w:szCs w:val="28"/>
        </w:rPr>
        <w:t>:</w:t>
      </w:r>
    </w:p>
    <w:p w:rsidR="000B7B23" w:rsidRDefault="000B7B23" w:rsidP="004F7088">
      <w:pPr>
        <w:autoSpaceDE w:val="0"/>
        <w:autoSpaceDN w:val="0"/>
        <w:adjustRightInd w:val="0"/>
        <w:ind w:firstLine="708"/>
        <w:jc w:val="both"/>
        <w:rPr>
          <w:sz w:val="28"/>
          <w:szCs w:val="28"/>
        </w:rPr>
      </w:pPr>
      <w:r>
        <w:rPr>
          <w:sz w:val="28"/>
          <w:szCs w:val="28"/>
        </w:rPr>
        <w:t>- </w:t>
      </w:r>
      <w:r w:rsidRPr="002025DB">
        <w:rPr>
          <w:sz w:val="28"/>
          <w:szCs w:val="28"/>
        </w:rPr>
        <w:t xml:space="preserve">не велся </w:t>
      </w:r>
      <w:hyperlink r:id="rId26" w:history="1">
        <w:r w:rsidRPr="002025DB">
          <w:rPr>
            <w:sz w:val="28"/>
            <w:szCs w:val="28"/>
          </w:rPr>
          <w:t>учет</w:t>
        </w:r>
      </w:hyperlink>
      <w:r w:rsidRPr="002025DB">
        <w:rPr>
          <w:sz w:val="28"/>
          <w:szCs w:val="28"/>
        </w:rPr>
        <w:t xml:space="preserve"> времени, фактически отработанного каждым работником</w:t>
      </w:r>
      <w:r>
        <w:rPr>
          <w:sz w:val="28"/>
          <w:szCs w:val="28"/>
        </w:rPr>
        <w:t>;</w:t>
      </w:r>
    </w:p>
    <w:p w:rsidR="000B7B23" w:rsidRPr="002025DB" w:rsidRDefault="000B7B23" w:rsidP="004F7088">
      <w:pPr>
        <w:autoSpaceDE w:val="0"/>
        <w:autoSpaceDN w:val="0"/>
        <w:adjustRightInd w:val="0"/>
        <w:ind w:firstLine="708"/>
        <w:jc w:val="both"/>
        <w:rPr>
          <w:sz w:val="28"/>
          <w:szCs w:val="28"/>
        </w:rPr>
      </w:pPr>
      <w:r>
        <w:rPr>
          <w:sz w:val="28"/>
          <w:szCs w:val="28"/>
        </w:rPr>
        <w:t>- </w:t>
      </w:r>
      <w:r w:rsidRPr="002025DB">
        <w:rPr>
          <w:sz w:val="28"/>
          <w:szCs w:val="28"/>
        </w:rPr>
        <w:t>не принят локальный нормативный акт, устанавливающий систему доплат и надбавок стимулирующего характера и систему премирования</w:t>
      </w:r>
      <w:r>
        <w:rPr>
          <w:sz w:val="28"/>
          <w:szCs w:val="28"/>
        </w:rPr>
        <w:t>;</w:t>
      </w:r>
    </w:p>
    <w:p w:rsidR="000B7B23" w:rsidRDefault="000B7B23" w:rsidP="004F7088">
      <w:pPr>
        <w:autoSpaceDE w:val="0"/>
        <w:autoSpaceDN w:val="0"/>
        <w:adjustRightInd w:val="0"/>
        <w:ind w:firstLine="708"/>
        <w:jc w:val="both"/>
        <w:rPr>
          <w:sz w:val="28"/>
          <w:szCs w:val="28"/>
        </w:rPr>
      </w:pPr>
      <w:r>
        <w:rPr>
          <w:sz w:val="28"/>
          <w:szCs w:val="28"/>
        </w:rPr>
        <w:t>- </w:t>
      </w:r>
      <w:r w:rsidRPr="00DC114F">
        <w:rPr>
          <w:sz w:val="28"/>
          <w:szCs w:val="28"/>
        </w:rPr>
        <w:t>в трудовых договорах, заключенных с работниками Фонда, также не определены системы доплат и надбавок стимулирующего характера, в том числе премирования (условия осуществления выплат стимулирующего характера и их размеры).</w:t>
      </w:r>
    </w:p>
    <w:p w:rsidR="000B7B23" w:rsidRDefault="000B7B23" w:rsidP="004F7088">
      <w:pPr>
        <w:autoSpaceDE w:val="0"/>
        <w:autoSpaceDN w:val="0"/>
        <w:adjustRightInd w:val="0"/>
        <w:ind w:firstLine="708"/>
        <w:jc w:val="both"/>
        <w:rPr>
          <w:sz w:val="28"/>
          <w:szCs w:val="28"/>
        </w:rPr>
      </w:pPr>
      <w:r>
        <w:rPr>
          <w:sz w:val="28"/>
          <w:szCs w:val="28"/>
        </w:rPr>
        <w:t>В то же время</w:t>
      </w:r>
      <w:r w:rsidRPr="002025DB">
        <w:rPr>
          <w:sz w:val="28"/>
          <w:szCs w:val="28"/>
        </w:rPr>
        <w:t>, в нарушение требований трудового законодательства, в проверяемом периоде на основании приказов директора Фонда произведено премирование работников Фонда в общей сумме 365,7 тыс. рублей, в том числе: в 2020 году – 94,0 тыс. рублей, в 2021 году – 271,7 тыс. рублей.</w:t>
      </w:r>
    </w:p>
    <w:p w:rsidR="000B7B23" w:rsidRPr="0023056F" w:rsidRDefault="000B7B23" w:rsidP="004F7088">
      <w:pPr>
        <w:ind w:firstLine="708"/>
        <w:jc w:val="both"/>
        <w:rPr>
          <w:b/>
          <w:sz w:val="16"/>
          <w:szCs w:val="16"/>
        </w:rPr>
      </w:pPr>
    </w:p>
    <w:p w:rsidR="000B7B23" w:rsidRDefault="000B7B23" w:rsidP="004F7088">
      <w:pPr>
        <w:ind w:firstLine="708"/>
        <w:jc w:val="both"/>
        <w:rPr>
          <w:b/>
          <w:sz w:val="28"/>
          <w:szCs w:val="28"/>
        </w:rPr>
      </w:pPr>
      <w:r>
        <w:rPr>
          <w:b/>
          <w:sz w:val="28"/>
          <w:szCs w:val="28"/>
        </w:rPr>
        <w:t>При проверке соблюдения законодательства при заключении и исполнении договоров установлено следующее.</w:t>
      </w:r>
    </w:p>
    <w:p w:rsidR="000B7B23" w:rsidRDefault="000B7B23" w:rsidP="004F7088">
      <w:pPr>
        <w:ind w:firstLine="709"/>
        <w:jc w:val="both"/>
        <w:rPr>
          <w:sz w:val="28"/>
          <w:szCs w:val="28"/>
        </w:rPr>
      </w:pPr>
      <w:r>
        <w:rPr>
          <w:sz w:val="28"/>
          <w:szCs w:val="28"/>
        </w:rPr>
        <w:t xml:space="preserve">В проверяемом периоде, в нарушение подпункта 9 пункта 8.6. Устава, директором Фонда в отсутствие утвержденной Советом Фонда сметы доходов и расходов осуществлялись от имени Фонда сделки, </w:t>
      </w:r>
      <w:r w:rsidRPr="00370A23">
        <w:rPr>
          <w:sz w:val="28"/>
          <w:szCs w:val="28"/>
        </w:rPr>
        <w:t>связанные с созданием молодежного центра «Ангар».</w:t>
      </w:r>
      <w:r>
        <w:rPr>
          <w:sz w:val="28"/>
          <w:szCs w:val="28"/>
        </w:rPr>
        <w:t xml:space="preserve">  </w:t>
      </w:r>
    </w:p>
    <w:p w:rsidR="000B7B23" w:rsidRDefault="000B7B23" w:rsidP="004F7088">
      <w:pPr>
        <w:ind w:firstLine="709"/>
        <w:jc w:val="both"/>
        <w:rPr>
          <w:sz w:val="28"/>
          <w:szCs w:val="28"/>
        </w:rPr>
      </w:pPr>
      <w:r>
        <w:rPr>
          <w:sz w:val="28"/>
          <w:szCs w:val="28"/>
        </w:rPr>
        <w:t xml:space="preserve">Так, </w:t>
      </w:r>
      <w:r w:rsidRPr="002C1098">
        <w:rPr>
          <w:sz w:val="28"/>
          <w:szCs w:val="28"/>
        </w:rPr>
        <w:t xml:space="preserve">Фондом </w:t>
      </w:r>
      <w:r>
        <w:rPr>
          <w:sz w:val="28"/>
          <w:szCs w:val="28"/>
        </w:rPr>
        <w:t>с</w:t>
      </w:r>
      <w:r w:rsidRPr="002C1098">
        <w:rPr>
          <w:sz w:val="28"/>
          <w:szCs w:val="28"/>
        </w:rPr>
        <w:t xml:space="preserve"> ООО «Агентство стратегического развития «ЦЕНТР» заключен </w:t>
      </w:r>
      <w:r>
        <w:rPr>
          <w:sz w:val="28"/>
          <w:szCs w:val="28"/>
        </w:rPr>
        <w:t xml:space="preserve">договор возмездного оказания услуг от </w:t>
      </w:r>
      <w:r w:rsidRPr="002C1098">
        <w:rPr>
          <w:sz w:val="28"/>
          <w:szCs w:val="28"/>
        </w:rPr>
        <w:t>20 февраля 2019 года</w:t>
      </w:r>
      <w:r>
        <w:rPr>
          <w:sz w:val="28"/>
          <w:szCs w:val="28"/>
        </w:rPr>
        <w:t xml:space="preserve">, предметом которого является оказание комплекса услуг по разработке концепции создания молодежного центра в </w:t>
      </w:r>
      <w:proofErr w:type="spellStart"/>
      <w:r>
        <w:rPr>
          <w:sz w:val="28"/>
          <w:szCs w:val="28"/>
        </w:rPr>
        <w:t>г.Анадырь</w:t>
      </w:r>
      <w:proofErr w:type="spellEnd"/>
      <w:r>
        <w:rPr>
          <w:sz w:val="28"/>
          <w:szCs w:val="28"/>
        </w:rPr>
        <w:t xml:space="preserve"> Чукотского автономного округа (далее – Договор) стоимостью 3 580,0 тыс. рублей. Согласно актам сдачи-приемки услуг от 6 мая 2019 года и от 10 июля 2019 года работы, предусмотренные Договором, выполнены и оплачены Фондом в полном объеме.</w:t>
      </w:r>
    </w:p>
    <w:p w:rsidR="000B7B23" w:rsidRDefault="000B7B23" w:rsidP="004F7088">
      <w:pPr>
        <w:ind w:firstLine="709"/>
        <w:jc w:val="both"/>
        <w:rPr>
          <w:sz w:val="28"/>
          <w:szCs w:val="28"/>
        </w:rPr>
      </w:pPr>
      <w:r>
        <w:rPr>
          <w:sz w:val="28"/>
          <w:szCs w:val="28"/>
        </w:rPr>
        <w:t>На основании решения Совета Фонда</w:t>
      </w:r>
      <w:r>
        <w:rPr>
          <w:rStyle w:val="ab"/>
          <w:sz w:val="28"/>
          <w:szCs w:val="28"/>
        </w:rPr>
        <w:footnoteReference w:id="152"/>
      </w:r>
      <w:r>
        <w:rPr>
          <w:sz w:val="28"/>
          <w:szCs w:val="28"/>
        </w:rPr>
        <w:t xml:space="preserve"> между Фондом и гражданином </w:t>
      </w:r>
      <w:proofErr w:type="spellStart"/>
      <w:r>
        <w:rPr>
          <w:sz w:val="28"/>
          <w:szCs w:val="28"/>
        </w:rPr>
        <w:t>Петченко</w:t>
      </w:r>
      <w:proofErr w:type="spellEnd"/>
      <w:r>
        <w:rPr>
          <w:sz w:val="28"/>
          <w:szCs w:val="28"/>
        </w:rPr>
        <w:t xml:space="preserve"> О.Н. (далее – Продавец) заключен предварительный договор купли-продажи недвижимого имущества (нежилого помещения) от 30 декабря 2019 года (далее – Предварительный договор), согласно которому Фонд обязуется в будущем принять и оплатить объект недвижимого имущества (теплая стоянка, гараж 2 этажа) по адресу </w:t>
      </w:r>
      <w:proofErr w:type="spellStart"/>
      <w:r>
        <w:rPr>
          <w:sz w:val="28"/>
          <w:szCs w:val="28"/>
        </w:rPr>
        <w:t>г.Анадырь</w:t>
      </w:r>
      <w:proofErr w:type="spellEnd"/>
      <w:r>
        <w:rPr>
          <w:sz w:val="28"/>
          <w:szCs w:val="28"/>
        </w:rPr>
        <w:t xml:space="preserve">, </w:t>
      </w:r>
      <w:proofErr w:type="spellStart"/>
      <w:r>
        <w:rPr>
          <w:sz w:val="28"/>
          <w:szCs w:val="28"/>
        </w:rPr>
        <w:t>ул.Отке</w:t>
      </w:r>
      <w:proofErr w:type="spellEnd"/>
      <w:r>
        <w:rPr>
          <w:sz w:val="28"/>
          <w:szCs w:val="28"/>
        </w:rPr>
        <w:t>, 55 стоимостью 70 000,0 тыс. рублей.</w:t>
      </w:r>
    </w:p>
    <w:p w:rsidR="000B7B23" w:rsidRPr="00365D09" w:rsidRDefault="000B7B23" w:rsidP="004F7088">
      <w:pPr>
        <w:ind w:firstLine="709"/>
        <w:jc w:val="both"/>
        <w:rPr>
          <w:sz w:val="28"/>
          <w:szCs w:val="28"/>
        </w:rPr>
      </w:pPr>
      <w:r>
        <w:rPr>
          <w:sz w:val="28"/>
          <w:szCs w:val="28"/>
        </w:rPr>
        <w:lastRenderedPageBreak/>
        <w:t>Предварительный договор носит признаки смешанного договора, включающего элементы договоров продажи недвижимости и подряда на выполнение проектных и изыскательских работ. Согласно пункту 2.2.1 Предварительного договора Фонд обязан до заключения основного договора перечислить Продавцу аванс в общей сумме 7 000,0 тыс. рублей, а Продавец обязан использовать авансовые средства для составления проектной-сметной и иной проектно-технической документации</w:t>
      </w:r>
      <w:r w:rsidRPr="00370A23">
        <w:rPr>
          <w:sz w:val="28"/>
          <w:szCs w:val="28"/>
        </w:rPr>
        <w:t>, для подготовки которой необходимо выполнение инженерных изысканий.</w:t>
      </w:r>
      <w:r w:rsidRPr="00365D09">
        <w:rPr>
          <w:sz w:val="28"/>
          <w:szCs w:val="28"/>
        </w:rPr>
        <w:t xml:space="preserve"> </w:t>
      </w:r>
    </w:p>
    <w:p w:rsidR="000B7B23" w:rsidRDefault="000B7B23" w:rsidP="004F7088">
      <w:pPr>
        <w:ind w:firstLine="709"/>
        <w:jc w:val="both"/>
        <w:rPr>
          <w:sz w:val="28"/>
          <w:szCs w:val="28"/>
        </w:rPr>
      </w:pPr>
      <w:r>
        <w:rPr>
          <w:sz w:val="28"/>
          <w:szCs w:val="28"/>
        </w:rPr>
        <w:t xml:space="preserve">Согласно части 2 статьи 47 Градостроительного Кодекса Российской </w:t>
      </w:r>
      <w:r w:rsidRPr="0014041D">
        <w:rPr>
          <w:sz w:val="28"/>
          <w:szCs w:val="28"/>
        </w:rPr>
        <w:t>Федерации работы по договорам о выполнении инженерных изысканий,</w:t>
      </w:r>
      <w:r>
        <w:rPr>
          <w:sz w:val="28"/>
          <w:szCs w:val="28"/>
        </w:rPr>
        <w:t xml:space="preserve"> заключенным с застройщиком, техническим заказчиком, должны выполняться только индивидуальными предпринимателями или юридическими лицами, которые являются членами саморегулируемой организации. </w:t>
      </w:r>
    </w:p>
    <w:p w:rsidR="000B7B23" w:rsidRDefault="000B7B23" w:rsidP="004F7088">
      <w:pPr>
        <w:ind w:firstLine="709"/>
        <w:jc w:val="both"/>
        <w:rPr>
          <w:sz w:val="28"/>
          <w:szCs w:val="28"/>
        </w:rPr>
      </w:pPr>
      <w:r>
        <w:rPr>
          <w:sz w:val="28"/>
          <w:szCs w:val="28"/>
        </w:rPr>
        <w:t xml:space="preserve">Таким образом, Предварительным договором на физическое лицо неправомерно возложены обязанности по составлению проектной-сметной и иной проектно-технической документации. </w:t>
      </w:r>
    </w:p>
    <w:p w:rsidR="000B7B23" w:rsidRDefault="000B7B23" w:rsidP="004F7088">
      <w:pPr>
        <w:ind w:firstLine="709"/>
        <w:jc w:val="both"/>
        <w:rPr>
          <w:sz w:val="28"/>
          <w:szCs w:val="28"/>
        </w:rPr>
      </w:pPr>
      <w:r>
        <w:rPr>
          <w:sz w:val="28"/>
          <w:szCs w:val="28"/>
        </w:rPr>
        <w:t>Суммы аванса перечислены Фондом в полном объеме в соответствии с условиями договора.</w:t>
      </w:r>
    </w:p>
    <w:p w:rsidR="000B7B23" w:rsidRPr="00464353" w:rsidRDefault="000B7B23" w:rsidP="004F7088">
      <w:pPr>
        <w:ind w:firstLine="708"/>
        <w:jc w:val="both"/>
        <w:rPr>
          <w:sz w:val="28"/>
          <w:szCs w:val="28"/>
        </w:rPr>
      </w:pPr>
      <w:r w:rsidRPr="00464353">
        <w:rPr>
          <w:sz w:val="28"/>
          <w:szCs w:val="28"/>
        </w:rPr>
        <w:t xml:space="preserve">Актами приемки-передачи документов от 08.05.2020г. и от 09.06.2020г. подтвержден факт приема-передачи документов </w:t>
      </w:r>
      <w:r>
        <w:rPr>
          <w:sz w:val="28"/>
          <w:szCs w:val="28"/>
        </w:rPr>
        <w:t>Продавцом</w:t>
      </w:r>
      <w:r w:rsidRPr="00464353">
        <w:rPr>
          <w:sz w:val="28"/>
          <w:szCs w:val="28"/>
        </w:rPr>
        <w:t xml:space="preserve"> Фонду.</w:t>
      </w:r>
      <w:r>
        <w:rPr>
          <w:sz w:val="28"/>
          <w:szCs w:val="28"/>
        </w:rPr>
        <w:t xml:space="preserve"> Счетная палата отмечает, что оценить полноту переданных по актам приемки-передачи документов и их соответствие установленным Предварительным договорам задачам (подтверждение возможности проведения реконструкции на планируемом к приобретению Объекту) не представляется возможным, так как Предварительным договором не установлен перечень необходимых документов, а также обязанность Продавца в проведении экспертизы проектно-сметной документации.</w:t>
      </w:r>
    </w:p>
    <w:p w:rsidR="000B7B23" w:rsidRDefault="000B7B23" w:rsidP="004F7088">
      <w:pPr>
        <w:ind w:firstLine="709"/>
        <w:jc w:val="both"/>
        <w:rPr>
          <w:sz w:val="28"/>
          <w:szCs w:val="28"/>
        </w:rPr>
      </w:pPr>
      <w:r>
        <w:rPr>
          <w:sz w:val="28"/>
          <w:szCs w:val="28"/>
        </w:rPr>
        <w:t>Советом Фонда</w:t>
      </w:r>
      <w:r>
        <w:rPr>
          <w:rStyle w:val="ab"/>
          <w:sz w:val="28"/>
          <w:szCs w:val="28"/>
        </w:rPr>
        <w:footnoteReference w:id="153"/>
      </w:r>
      <w:r>
        <w:rPr>
          <w:sz w:val="28"/>
          <w:szCs w:val="28"/>
        </w:rPr>
        <w:t xml:space="preserve"> утверждена дорожная карта проекта Молодежный центр «Ангар», согласно которой заключение основного договора купли-продажи объекта и его регистрация запланированы на 20 июля 2020 года, после чего будет осуществлена полная реконструкция и плановый ввод в эксплуатацию объекта в сентябре 2021 года. При этом, Счетная палата отмечает, что дорожная карта не включает предварительную стоимость всех затрат, которые предполагаются в рамках ее реализации. Совет Фонда утверждает дорожную карту без учета фактического наличия финансовых ресурсов для достижения целей проекта.</w:t>
      </w:r>
    </w:p>
    <w:p w:rsidR="000B7B23" w:rsidRDefault="000B7B23" w:rsidP="004F7088">
      <w:pPr>
        <w:ind w:firstLine="709"/>
        <w:jc w:val="both"/>
        <w:rPr>
          <w:sz w:val="28"/>
          <w:szCs w:val="28"/>
        </w:rPr>
      </w:pPr>
      <w:r>
        <w:rPr>
          <w:sz w:val="28"/>
          <w:szCs w:val="28"/>
        </w:rPr>
        <w:t>Основной договор купли-продажи Фондом не был заключен. Советом Фонда</w:t>
      </w:r>
      <w:r>
        <w:rPr>
          <w:rStyle w:val="ab"/>
          <w:sz w:val="28"/>
          <w:szCs w:val="28"/>
        </w:rPr>
        <w:footnoteReference w:id="154"/>
      </w:r>
      <w:r>
        <w:rPr>
          <w:sz w:val="28"/>
          <w:szCs w:val="28"/>
        </w:rPr>
        <w:t xml:space="preserve"> принято решение о приостановке проекта по созданию молодежного центра «Ангар» в городском округе Анадырь в связи с тем, что в окружном бюджете не предусмотрены ассигнования на реализацию данного проекта.</w:t>
      </w:r>
    </w:p>
    <w:p w:rsidR="000B7B23" w:rsidRDefault="000B7B23" w:rsidP="004F7088">
      <w:pPr>
        <w:ind w:firstLine="709"/>
        <w:jc w:val="both"/>
        <w:rPr>
          <w:sz w:val="28"/>
          <w:szCs w:val="28"/>
        </w:rPr>
      </w:pPr>
      <w:r>
        <w:rPr>
          <w:sz w:val="28"/>
          <w:szCs w:val="28"/>
        </w:rPr>
        <w:t xml:space="preserve">Бюджетные средства в сумме 10 580,0 тыс. рублей, направленные в проверяемом периоде Фондом на реализацию проекта по созданию молодежного центра «Ангар»: </w:t>
      </w:r>
      <w:r w:rsidRPr="002C1098">
        <w:rPr>
          <w:sz w:val="28"/>
          <w:szCs w:val="28"/>
        </w:rPr>
        <w:t>ООО «Агентство стратегического развития «ЦЕНТР»</w:t>
      </w:r>
      <w:r>
        <w:rPr>
          <w:sz w:val="28"/>
          <w:szCs w:val="28"/>
        </w:rPr>
        <w:t xml:space="preserve"> на</w:t>
      </w:r>
      <w:r w:rsidRPr="009B3533">
        <w:rPr>
          <w:sz w:val="28"/>
          <w:szCs w:val="28"/>
        </w:rPr>
        <w:t xml:space="preserve"> </w:t>
      </w:r>
      <w:r>
        <w:rPr>
          <w:sz w:val="28"/>
          <w:szCs w:val="28"/>
        </w:rPr>
        <w:lastRenderedPageBreak/>
        <w:t xml:space="preserve">разработку концепции создания молодежного центра в г. Анадырь Чукотского автономного округа – в сумме 3 580,0 тыс. рублей и </w:t>
      </w:r>
      <w:proofErr w:type="spellStart"/>
      <w:r>
        <w:rPr>
          <w:sz w:val="28"/>
          <w:szCs w:val="28"/>
        </w:rPr>
        <w:t>Петченко</w:t>
      </w:r>
      <w:proofErr w:type="spellEnd"/>
      <w:r>
        <w:rPr>
          <w:sz w:val="28"/>
          <w:szCs w:val="28"/>
        </w:rPr>
        <w:t xml:space="preserve"> О.Н. для составления проектной-сметной и иной проектно-технической документации – в сумме 7 000,0 тыс. рублей, использованы безрезультатно.</w:t>
      </w:r>
    </w:p>
    <w:p w:rsidR="000B7B23" w:rsidRPr="0023056F" w:rsidRDefault="000B7B23" w:rsidP="004F7088">
      <w:pPr>
        <w:autoSpaceDE w:val="0"/>
        <w:autoSpaceDN w:val="0"/>
        <w:adjustRightInd w:val="0"/>
        <w:ind w:firstLine="708"/>
        <w:jc w:val="both"/>
        <w:rPr>
          <w:b/>
          <w:sz w:val="16"/>
          <w:szCs w:val="16"/>
        </w:rPr>
      </w:pPr>
    </w:p>
    <w:p w:rsidR="000B7B23" w:rsidRPr="004A1E43" w:rsidRDefault="000B7B23" w:rsidP="004F7088">
      <w:pPr>
        <w:autoSpaceDE w:val="0"/>
        <w:autoSpaceDN w:val="0"/>
        <w:adjustRightInd w:val="0"/>
        <w:ind w:firstLine="708"/>
        <w:jc w:val="both"/>
        <w:rPr>
          <w:b/>
          <w:sz w:val="28"/>
          <w:szCs w:val="28"/>
        </w:rPr>
      </w:pPr>
      <w:r w:rsidRPr="004A1E43">
        <w:rPr>
          <w:b/>
          <w:sz w:val="28"/>
          <w:szCs w:val="28"/>
        </w:rPr>
        <w:t>При проверке выполнения плана работы Фонда установлено следующее.</w:t>
      </w:r>
    </w:p>
    <w:p w:rsidR="000B7B23" w:rsidRPr="004A1E43" w:rsidRDefault="000B7B23" w:rsidP="004F7088">
      <w:pPr>
        <w:autoSpaceDE w:val="0"/>
        <w:autoSpaceDN w:val="0"/>
        <w:adjustRightInd w:val="0"/>
        <w:ind w:firstLine="708"/>
        <w:jc w:val="both"/>
        <w:rPr>
          <w:sz w:val="28"/>
          <w:szCs w:val="28"/>
        </w:rPr>
      </w:pPr>
      <w:r w:rsidRPr="004A1E43">
        <w:rPr>
          <w:sz w:val="28"/>
          <w:szCs w:val="28"/>
        </w:rPr>
        <w:t xml:space="preserve">Планы работы (мероприятий) Фонда на 2019-2021 годы утверждены директором Фонда.  Кроме того, в проверяемом периоде Советом Фонда принимались решения о проведении Фондом внеплановых мероприятий. </w:t>
      </w:r>
    </w:p>
    <w:p w:rsidR="000B7B23" w:rsidRPr="00292F8F" w:rsidRDefault="000B7B23" w:rsidP="004F7088">
      <w:pPr>
        <w:autoSpaceDE w:val="0"/>
        <w:autoSpaceDN w:val="0"/>
        <w:adjustRightInd w:val="0"/>
        <w:ind w:firstLine="708"/>
        <w:jc w:val="both"/>
        <w:rPr>
          <w:sz w:val="28"/>
          <w:szCs w:val="28"/>
        </w:rPr>
      </w:pPr>
      <w:r w:rsidRPr="002025DB">
        <w:rPr>
          <w:sz w:val="28"/>
          <w:szCs w:val="28"/>
        </w:rPr>
        <w:t xml:space="preserve">Контроль за выполнением принятых решений Советом Фонда не осуществлялся. </w:t>
      </w:r>
      <w:r w:rsidRPr="00466839">
        <w:rPr>
          <w:sz w:val="28"/>
          <w:szCs w:val="28"/>
        </w:rPr>
        <w:t xml:space="preserve">Изменения в план мероприятий не вносились, решения Совета Фонда в части </w:t>
      </w:r>
      <w:r>
        <w:rPr>
          <w:sz w:val="28"/>
          <w:szCs w:val="28"/>
        </w:rPr>
        <w:t>утверждения</w:t>
      </w:r>
      <w:r w:rsidRPr="00466839">
        <w:rPr>
          <w:sz w:val="28"/>
          <w:szCs w:val="28"/>
        </w:rPr>
        <w:t xml:space="preserve"> смет расходов на проведение мероприятий не выполнялись.</w:t>
      </w:r>
      <w:r w:rsidRPr="00021D72">
        <w:rPr>
          <w:sz w:val="28"/>
          <w:szCs w:val="28"/>
        </w:rPr>
        <w:t xml:space="preserve"> </w:t>
      </w:r>
      <w:r w:rsidRPr="00292F8F">
        <w:rPr>
          <w:sz w:val="28"/>
          <w:szCs w:val="28"/>
        </w:rPr>
        <w:t>Сметы на проведение</w:t>
      </w:r>
      <w:r>
        <w:rPr>
          <w:sz w:val="28"/>
          <w:szCs w:val="28"/>
        </w:rPr>
        <w:t xml:space="preserve"> как</w:t>
      </w:r>
      <w:r w:rsidRPr="00292F8F">
        <w:rPr>
          <w:sz w:val="28"/>
          <w:szCs w:val="28"/>
        </w:rPr>
        <w:t xml:space="preserve"> плановых</w:t>
      </w:r>
      <w:r>
        <w:rPr>
          <w:sz w:val="28"/>
          <w:szCs w:val="28"/>
        </w:rPr>
        <w:t>, так и внеплановых</w:t>
      </w:r>
      <w:r w:rsidRPr="00292F8F">
        <w:rPr>
          <w:sz w:val="28"/>
          <w:szCs w:val="28"/>
        </w:rPr>
        <w:t xml:space="preserve"> мероприятий</w:t>
      </w:r>
      <w:r>
        <w:rPr>
          <w:sz w:val="28"/>
          <w:szCs w:val="28"/>
        </w:rPr>
        <w:t>, отсутствуют.</w:t>
      </w:r>
    </w:p>
    <w:p w:rsidR="000B7B23" w:rsidRDefault="000B7B23" w:rsidP="004F7088">
      <w:pPr>
        <w:autoSpaceDE w:val="0"/>
        <w:autoSpaceDN w:val="0"/>
        <w:adjustRightInd w:val="0"/>
        <w:ind w:firstLine="708"/>
        <w:jc w:val="both"/>
        <w:rPr>
          <w:sz w:val="28"/>
          <w:szCs w:val="28"/>
        </w:rPr>
      </w:pPr>
      <w:r>
        <w:rPr>
          <w:sz w:val="28"/>
          <w:szCs w:val="28"/>
        </w:rPr>
        <w:t xml:space="preserve">Отчетность в разрезе проведенных мероприятий не составлялась, в связи с чем, установить размер средств, направленных на исполнение того или иного мероприятия, предусмотренного планом мероприятий либо решением Совета Фонда, не представляется возможным. </w:t>
      </w:r>
    </w:p>
    <w:p w:rsidR="000B7B23" w:rsidRPr="00D200C8" w:rsidRDefault="000B7B23" w:rsidP="004F7088">
      <w:pPr>
        <w:autoSpaceDE w:val="0"/>
        <w:autoSpaceDN w:val="0"/>
        <w:adjustRightInd w:val="0"/>
        <w:ind w:firstLine="708"/>
        <w:jc w:val="both"/>
        <w:rPr>
          <w:sz w:val="16"/>
          <w:szCs w:val="16"/>
        </w:rPr>
      </w:pPr>
    </w:p>
    <w:p w:rsidR="000B7B23" w:rsidRPr="001D7A34" w:rsidRDefault="000B7B23" w:rsidP="004F7088">
      <w:pPr>
        <w:pStyle w:val="ConsPlusNonformat"/>
        <w:ind w:firstLine="708"/>
        <w:jc w:val="both"/>
        <w:rPr>
          <w:rFonts w:ascii="Times New Roman" w:hAnsi="Times New Roman" w:cs="Times New Roman"/>
          <w:b/>
          <w:sz w:val="28"/>
          <w:szCs w:val="28"/>
        </w:rPr>
      </w:pPr>
      <w:r w:rsidRPr="001D7A34">
        <w:rPr>
          <w:rFonts w:ascii="Times New Roman" w:hAnsi="Times New Roman" w:cs="Times New Roman"/>
          <w:b/>
          <w:sz w:val="28"/>
          <w:szCs w:val="28"/>
        </w:rPr>
        <w:t>2.</w:t>
      </w:r>
      <w:r>
        <w:rPr>
          <w:rFonts w:ascii="Times New Roman" w:hAnsi="Times New Roman" w:cs="Times New Roman"/>
          <w:b/>
          <w:sz w:val="28"/>
          <w:szCs w:val="28"/>
        </w:rPr>
        <w:t>2</w:t>
      </w:r>
      <w:r w:rsidRPr="001D7A34">
        <w:rPr>
          <w:rFonts w:ascii="Times New Roman" w:hAnsi="Times New Roman" w:cs="Times New Roman"/>
          <w:b/>
          <w:sz w:val="28"/>
          <w:szCs w:val="28"/>
        </w:rPr>
        <w:t>. </w:t>
      </w:r>
      <w:r>
        <w:rPr>
          <w:rFonts w:ascii="Times New Roman" w:hAnsi="Times New Roman" w:cs="Times New Roman"/>
          <w:b/>
          <w:sz w:val="28"/>
          <w:szCs w:val="28"/>
        </w:rPr>
        <w:t>И</w:t>
      </w:r>
      <w:r w:rsidRPr="001D7A34">
        <w:rPr>
          <w:rFonts w:ascii="Times New Roman" w:hAnsi="Times New Roman" w:cs="Times New Roman"/>
          <w:b/>
          <w:sz w:val="28"/>
          <w:szCs w:val="28"/>
        </w:rPr>
        <w:t xml:space="preserve">спользование </w:t>
      </w:r>
      <w:r w:rsidRPr="001D7A34">
        <w:rPr>
          <w:rFonts w:ascii="Times New Roman" w:hAnsi="Times New Roman"/>
          <w:b/>
          <w:sz w:val="27"/>
          <w:szCs w:val="27"/>
        </w:rPr>
        <w:t>субсидии из резервного фонда Правительства Чукотского автономного округа</w:t>
      </w:r>
    </w:p>
    <w:p w:rsidR="000B7B23" w:rsidRPr="00914E10" w:rsidRDefault="000B7B23" w:rsidP="004F7088">
      <w:pPr>
        <w:autoSpaceDE w:val="0"/>
        <w:autoSpaceDN w:val="0"/>
        <w:adjustRightInd w:val="0"/>
        <w:ind w:firstLine="708"/>
        <w:jc w:val="both"/>
        <w:rPr>
          <w:b/>
          <w:sz w:val="16"/>
          <w:szCs w:val="16"/>
        </w:rPr>
      </w:pPr>
    </w:p>
    <w:p w:rsidR="000B7B23" w:rsidRPr="001E6EA3" w:rsidRDefault="000B7B23" w:rsidP="004F7088">
      <w:pPr>
        <w:autoSpaceDE w:val="0"/>
        <w:autoSpaceDN w:val="0"/>
        <w:adjustRightInd w:val="0"/>
        <w:ind w:firstLine="708"/>
        <w:jc w:val="both"/>
        <w:rPr>
          <w:b/>
          <w:bCs/>
          <w:color w:val="000000"/>
          <w:sz w:val="18"/>
          <w:szCs w:val="18"/>
        </w:rPr>
      </w:pPr>
      <w:r>
        <w:rPr>
          <w:sz w:val="27"/>
          <w:szCs w:val="27"/>
        </w:rPr>
        <w:t xml:space="preserve">В проверяемом периоде Фонду на организацию и проведение мероприятий предоставлялись субсидии из резервного фонда Правительства Чукотского автономного округа на основании заключенных Соглашений: </w:t>
      </w:r>
      <w:r>
        <w:rPr>
          <w:sz w:val="28"/>
          <w:szCs w:val="28"/>
        </w:rPr>
        <w:t>в</w:t>
      </w:r>
      <w:r w:rsidRPr="00D91821">
        <w:rPr>
          <w:sz w:val="28"/>
          <w:szCs w:val="28"/>
        </w:rPr>
        <w:t xml:space="preserve"> 20</w:t>
      </w:r>
      <w:r>
        <w:rPr>
          <w:sz w:val="28"/>
          <w:szCs w:val="28"/>
        </w:rPr>
        <w:t>20</w:t>
      </w:r>
      <w:r w:rsidRPr="00D91821">
        <w:rPr>
          <w:sz w:val="28"/>
          <w:szCs w:val="28"/>
        </w:rPr>
        <w:t xml:space="preserve"> год</w:t>
      </w:r>
      <w:r>
        <w:rPr>
          <w:sz w:val="28"/>
          <w:szCs w:val="28"/>
        </w:rPr>
        <w:t>у</w:t>
      </w:r>
      <w:r w:rsidRPr="00D91821">
        <w:rPr>
          <w:sz w:val="28"/>
          <w:szCs w:val="28"/>
        </w:rPr>
        <w:t xml:space="preserve"> –</w:t>
      </w:r>
      <w:r>
        <w:rPr>
          <w:sz w:val="28"/>
          <w:szCs w:val="28"/>
        </w:rPr>
        <w:t xml:space="preserve"> 4 880,4 </w:t>
      </w:r>
      <w:r w:rsidRPr="00D91821">
        <w:rPr>
          <w:sz w:val="28"/>
          <w:szCs w:val="28"/>
        </w:rPr>
        <w:t xml:space="preserve">тыс. рублей; </w:t>
      </w:r>
      <w:r>
        <w:rPr>
          <w:sz w:val="28"/>
          <w:szCs w:val="28"/>
        </w:rPr>
        <w:t>в</w:t>
      </w:r>
      <w:r w:rsidRPr="00D91821">
        <w:rPr>
          <w:sz w:val="28"/>
          <w:szCs w:val="28"/>
        </w:rPr>
        <w:t xml:space="preserve"> 202</w:t>
      </w:r>
      <w:r>
        <w:rPr>
          <w:sz w:val="28"/>
          <w:szCs w:val="28"/>
        </w:rPr>
        <w:t>1</w:t>
      </w:r>
      <w:r w:rsidRPr="00D91821">
        <w:rPr>
          <w:sz w:val="28"/>
          <w:szCs w:val="28"/>
        </w:rPr>
        <w:t xml:space="preserve"> год</w:t>
      </w:r>
      <w:r>
        <w:rPr>
          <w:sz w:val="28"/>
          <w:szCs w:val="28"/>
        </w:rPr>
        <w:t>у</w:t>
      </w:r>
      <w:r w:rsidRPr="00D91821">
        <w:rPr>
          <w:sz w:val="28"/>
          <w:szCs w:val="28"/>
        </w:rPr>
        <w:t xml:space="preserve"> – </w:t>
      </w:r>
      <w:r>
        <w:rPr>
          <w:sz w:val="28"/>
          <w:szCs w:val="28"/>
        </w:rPr>
        <w:t>2 307,3</w:t>
      </w:r>
      <w:r w:rsidRPr="00D91821">
        <w:rPr>
          <w:sz w:val="28"/>
          <w:szCs w:val="28"/>
        </w:rPr>
        <w:t xml:space="preserve"> тыс. рублей</w:t>
      </w:r>
      <w:r>
        <w:rPr>
          <w:sz w:val="28"/>
          <w:szCs w:val="28"/>
        </w:rPr>
        <w:t>. Финансирование Фонда на вышеуказанные цели произведено в полном объеме. Расходы произведены в 2020 году в сумме 3 423,4 тыс. рублей, в 2021 году – 2 307,3 тыс. рублей.</w:t>
      </w:r>
    </w:p>
    <w:p w:rsidR="000B7B23" w:rsidRDefault="000B7B23" w:rsidP="004F7088">
      <w:pPr>
        <w:autoSpaceDE w:val="0"/>
        <w:autoSpaceDN w:val="0"/>
        <w:adjustRightInd w:val="0"/>
        <w:ind w:firstLine="708"/>
        <w:jc w:val="both"/>
        <w:rPr>
          <w:sz w:val="28"/>
          <w:szCs w:val="28"/>
        </w:rPr>
      </w:pPr>
      <w:r>
        <w:rPr>
          <w:sz w:val="28"/>
          <w:szCs w:val="28"/>
        </w:rPr>
        <w:t>Средства субсидии в общей сумме 5 730,6 тыс. рублей направлены на цели, предусмотренные Соглашениями. Остаток средств субсидии в сумме 1 457,05 тыс. рублей возвращен в бюджет в установленном соглашениями порядке.</w:t>
      </w:r>
      <w:r w:rsidRPr="008555E1">
        <w:rPr>
          <w:sz w:val="28"/>
          <w:szCs w:val="28"/>
        </w:rPr>
        <w:t xml:space="preserve"> </w:t>
      </w:r>
    </w:p>
    <w:p w:rsidR="000B7B23" w:rsidRDefault="000B7B23" w:rsidP="004F7088">
      <w:pPr>
        <w:autoSpaceDE w:val="0"/>
        <w:autoSpaceDN w:val="0"/>
        <w:adjustRightInd w:val="0"/>
        <w:ind w:firstLine="708"/>
        <w:jc w:val="both"/>
        <w:rPr>
          <w:sz w:val="28"/>
          <w:szCs w:val="28"/>
        </w:rPr>
      </w:pPr>
      <w:r>
        <w:rPr>
          <w:sz w:val="28"/>
          <w:szCs w:val="28"/>
        </w:rPr>
        <w:t>Отчеты об использовании средств субсидий на реализацию мероприятий предоставлялись Фондом в сроки, установленные п.3 Соглашений, с приложением первичных учетных документов.</w:t>
      </w:r>
    </w:p>
    <w:p w:rsidR="000B7B23" w:rsidRPr="00FF5842" w:rsidRDefault="000B7B23" w:rsidP="004F7088">
      <w:pPr>
        <w:pStyle w:val="ConsPlusNonformat"/>
        <w:ind w:firstLine="708"/>
        <w:jc w:val="both"/>
        <w:rPr>
          <w:rFonts w:ascii="Times New Roman" w:hAnsi="Times New Roman"/>
          <w:b/>
          <w:sz w:val="16"/>
          <w:szCs w:val="16"/>
        </w:rPr>
      </w:pPr>
    </w:p>
    <w:p w:rsidR="000B7B23" w:rsidRPr="00451798" w:rsidRDefault="000B7B23" w:rsidP="004F7088">
      <w:pPr>
        <w:pStyle w:val="ConsPlusNonformat"/>
        <w:ind w:firstLine="708"/>
        <w:jc w:val="both"/>
        <w:rPr>
          <w:rFonts w:ascii="Times New Roman" w:hAnsi="Times New Roman" w:cs="Times New Roman"/>
          <w:b/>
          <w:sz w:val="28"/>
          <w:szCs w:val="28"/>
        </w:rPr>
      </w:pPr>
      <w:r w:rsidRPr="001D7A34">
        <w:rPr>
          <w:rFonts w:ascii="Times New Roman" w:hAnsi="Times New Roman" w:cs="Times New Roman"/>
          <w:b/>
          <w:sz w:val="28"/>
          <w:szCs w:val="28"/>
        </w:rPr>
        <w:t>2.</w:t>
      </w:r>
      <w:r>
        <w:rPr>
          <w:rFonts w:ascii="Times New Roman" w:hAnsi="Times New Roman" w:cs="Times New Roman"/>
          <w:b/>
          <w:sz w:val="28"/>
          <w:szCs w:val="28"/>
        </w:rPr>
        <w:t>3</w:t>
      </w:r>
      <w:r w:rsidRPr="001D7A34">
        <w:rPr>
          <w:rFonts w:ascii="Times New Roman" w:hAnsi="Times New Roman" w:cs="Times New Roman"/>
          <w:b/>
          <w:sz w:val="28"/>
          <w:szCs w:val="28"/>
        </w:rPr>
        <w:t>. </w:t>
      </w:r>
      <w:r w:rsidRPr="00451798">
        <w:rPr>
          <w:rFonts w:ascii="Times New Roman" w:hAnsi="Times New Roman" w:cs="Times New Roman"/>
          <w:b/>
          <w:sz w:val="28"/>
          <w:szCs w:val="28"/>
        </w:rPr>
        <w:t xml:space="preserve">Использование </w:t>
      </w:r>
      <w:r w:rsidRPr="00451798">
        <w:rPr>
          <w:rFonts w:ascii="Times New Roman" w:hAnsi="Times New Roman"/>
          <w:b/>
          <w:sz w:val="28"/>
          <w:szCs w:val="28"/>
        </w:rPr>
        <w:t>гранта на реализацию проекта «окружной конкурс по сбору твердых коммунальных отходов «Чистые игры»</w:t>
      </w:r>
    </w:p>
    <w:p w:rsidR="000B7B23" w:rsidRDefault="000B7B23" w:rsidP="004F7088">
      <w:pPr>
        <w:ind w:firstLine="708"/>
        <w:jc w:val="both"/>
        <w:rPr>
          <w:sz w:val="28"/>
          <w:szCs w:val="28"/>
        </w:rPr>
      </w:pPr>
      <w:r w:rsidRPr="00E5419B">
        <w:rPr>
          <w:sz w:val="28"/>
          <w:szCs w:val="28"/>
        </w:rPr>
        <w:t>В 2019 году Фонду на основании Соглашения от 19 августа 2019 года Департаментом образования и науки Чукотского автономного округа</w:t>
      </w:r>
      <w:r>
        <w:rPr>
          <w:sz w:val="28"/>
          <w:szCs w:val="28"/>
        </w:rPr>
        <w:t xml:space="preserve"> (далее – Департамент)</w:t>
      </w:r>
      <w:r w:rsidRPr="00E5419B">
        <w:rPr>
          <w:sz w:val="28"/>
          <w:szCs w:val="28"/>
        </w:rPr>
        <w:t xml:space="preserve"> предоставлялся грант в форме субсидии в сумме 110,0 тыс. рублей на реализацию проекта «</w:t>
      </w:r>
      <w:r>
        <w:rPr>
          <w:sz w:val="28"/>
          <w:szCs w:val="28"/>
        </w:rPr>
        <w:t>о</w:t>
      </w:r>
      <w:r w:rsidRPr="00E5419B">
        <w:rPr>
          <w:sz w:val="28"/>
          <w:szCs w:val="28"/>
        </w:rPr>
        <w:t>кружной конкурс по сбору твердых коммунальных отходов «Чистые игры».</w:t>
      </w:r>
      <w:r>
        <w:rPr>
          <w:sz w:val="28"/>
          <w:szCs w:val="28"/>
        </w:rPr>
        <w:t xml:space="preserve"> Согласно данным отчета о расходах от 6 декабря 2019 года, средства субсидии использованы в полном объеме. Приказом Фонда утвержден список победителей и призов. </w:t>
      </w:r>
    </w:p>
    <w:p w:rsidR="000B7B23" w:rsidRPr="005F1583" w:rsidRDefault="000B7B23" w:rsidP="004F7088">
      <w:pPr>
        <w:pStyle w:val="ConsPlusNonformat"/>
        <w:ind w:firstLine="708"/>
        <w:jc w:val="both"/>
        <w:rPr>
          <w:rFonts w:ascii="Times New Roman" w:hAnsi="Times New Roman"/>
          <w:sz w:val="16"/>
          <w:szCs w:val="16"/>
        </w:rPr>
      </w:pPr>
    </w:p>
    <w:p w:rsidR="000B7B23" w:rsidRPr="001D7A34" w:rsidRDefault="000B7B23" w:rsidP="004F7088">
      <w:pPr>
        <w:pStyle w:val="ConsPlusNonformat"/>
        <w:ind w:firstLine="708"/>
        <w:jc w:val="both"/>
        <w:rPr>
          <w:rFonts w:ascii="Times New Roman" w:hAnsi="Times New Roman" w:cs="Times New Roman"/>
          <w:b/>
          <w:sz w:val="28"/>
          <w:szCs w:val="28"/>
        </w:rPr>
      </w:pPr>
      <w:r w:rsidRPr="001D7A34">
        <w:rPr>
          <w:rFonts w:ascii="Times New Roman" w:hAnsi="Times New Roman" w:cs="Times New Roman"/>
          <w:b/>
          <w:sz w:val="28"/>
          <w:szCs w:val="28"/>
        </w:rPr>
        <w:lastRenderedPageBreak/>
        <w:t>2.</w:t>
      </w:r>
      <w:r>
        <w:rPr>
          <w:rFonts w:ascii="Times New Roman" w:hAnsi="Times New Roman" w:cs="Times New Roman"/>
          <w:b/>
          <w:sz w:val="28"/>
          <w:szCs w:val="28"/>
        </w:rPr>
        <w:t>4</w:t>
      </w:r>
      <w:r w:rsidRPr="001D7A34">
        <w:rPr>
          <w:rFonts w:ascii="Times New Roman" w:hAnsi="Times New Roman" w:cs="Times New Roman"/>
          <w:b/>
          <w:sz w:val="28"/>
          <w:szCs w:val="28"/>
        </w:rPr>
        <w:t>. </w:t>
      </w:r>
      <w:r>
        <w:rPr>
          <w:rFonts w:ascii="Times New Roman" w:hAnsi="Times New Roman" w:cs="Times New Roman"/>
          <w:b/>
          <w:sz w:val="28"/>
          <w:szCs w:val="28"/>
        </w:rPr>
        <w:t>И</w:t>
      </w:r>
      <w:r w:rsidRPr="001D7A34">
        <w:rPr>
          <w:rFonts w:ascii="Times New Roman" w:hAnsi="Times New Roman" w:cs="Times New Roman"/>
          <w:b/>
          <w:sz w:val="28"/>
          <w:szCs w:val="28"/>
        </w:rPr>
        <w:t xml:space="preserve">спользование </w:t>
      </w:r>
      <w:r>
        <w:rPr>
          <w:rFonts w:ascii="Times New Roman" w:hAnsi="Times New Roman" w:cs="Times New Roman"/>
          <w:b/>
          <w:sz w:val="28"/>
          <w:szCs w:val="28"/>
        </w:rPr>
        <w:t>денежного обеспечения, предоставленного Фонду Некоммерческой организацией «Фонд развития экономики и прямых инвестиций Чукотского автономного округа»</w:t>
      </w:r>
    </w:p>
    <w:p w:rsidR="000B7B23" w:rsidRDefault="000B7B23" w:rsidP="004F7088">
      <w:pPr>
        <w:autoSpaceDE w:val="0"/>
        <w:autoSpaceDN w:val="0"/>
        <w:adjustRightInd w:val="0"/>
        <w:ind w:firstLine="708"/>
        <w:jc w:val="both"/>
        <w:rPr>
          <w:sz w:val="28"/>
          <w:szCs w:val="28"/>
        </w:rPr>
      </w:pPr>
      <w:r>
        <w:rPr>
          <w:sz w:val="28"/>
          <w:szCs w:val="28"/>
        </w:rPr>
        <w:t>В</w:t>
      </w:r>
      <w:r w:rsidRPr="00E25404">
        <w:rPr>
          <w:sz w:val="28"/>
          <w:szCs w:val="28"/>
        </w:rPr>
        <w:t xml:space="preserve"> целях оказания поддержки, направленной на организацию участия субъектов малого и среднего предпринимательства Чукотского автономного округа в межрегиональной бизнес-миссии</w:t>
      </w:r>
      <w:r>
        <w:rPr>
          <w:sz w:val="28"/>
          <w:szCs w:val="28"/>
        </w:rPr>
        <w:t>,</w:t>
      </w:r>
      <w:r w:rsidRPr="00E25404">
        <w:rPr>
          <w:sz w:val="28"/>
          <w:szCs w:val="28"/>
        </w:rPr>
        <w:t xml:space="preserve"> </w:t>
      </w:r>
      <w:r>
        <w:rPr>
          <w:sz w:val="28"/>
          <w:szCs w:val="28"/>
        </w:rPr>
        <w:t xml:space="preserve">в </w:t>
      </w:r>
      <w:r w:rsidRPr="00E25404">
        <w:rPr>
          <w:sz w:val="28"/>
          <w:szCs w:val="28"/>
        </w:rPr>
        <w:t>2020-2021 годах</w:t>
      </w:r>
      <w:r>
        <w:rPr>
          <w:sz w:val="28"/>
          <w:szCs w:val="28"/>
        </w:rPr>
        <w:t xml:space="preserve"> Фонду </w:t>
      </w:r>
      <w:r w:rsidRPr="00E25404">
        <w:rPr>
          <w:sz w:val="28"/>
          <w:szCs w:val="28"/>
        </w:rPr>
        <w:t>Некоммерческ</w:t>
      </w:r>
      <w:r>
        <w:rPr>
          <w:sz w:val="28"/>
          <w:szCs w:val="28"/>
        </w:rPr>
        <w:t>ой</w:t>
      </w:r>
      <w:r w:rsidRPr="00E25404">
        <w:rPr>
          <w:sz w:val="28"/>
          <w:szCs w:val="28"/>
        </w:rPr>
        <w:t xml:space="preserve"> организаци</w:t>
      </w:r>
      <w:r>
        <w:rPr>
          <w:sz w:val="28"/>
          <w:szCs w:val="28"/>
        </w:rPr>
        <w:t>ей</w:t>
      </w:r>
      <w:r w:rsidRPr="00E25404">
        <w:rPr>
          <w:sz w:val="28"/>
          <w:szCs w:val="28"/>
        </w:rPr>
        <w:t xml:space="preserve"> «Фонд развития экономики и прямых инвестиций Чукотского автономного округа» предоставлял</w:t>
      </w:r>
      <w:r>
        <w:rPr>
          <w:sz w:val="28"/>
          <w:szCs w:val="28"/>
        </w:rPr>
        <w:t>ось</w:t>
      </w:r>
      <w:r w:rsidRPr="00E25404">
        <w:rPr>
          <w:sz w:val="28"/>
          <w:szCs w:val="28"/>
        </w:rPr>
        <w:t xml:space="preserve"> денежное обеспечение</w:t>
      </w:r>
      <w:r>
        <w:rPr>
          <w:sz w:val="28"/>
          <w:szCs w:val="28"/>
        </w:rPr>
        <w:t xml:space="preserve"> в общей сумме 2 766,7 тыс. рублей, в том числе: в 2020 году –  1 566,7 тыс. рублей, в 2021 году – 1 200,0 тыс. рублей.</w:t>
      </w:r>
      <w:r w:rsidRPr="00E25404">
        <w:rPr>
          <w:sz w:val="28"/>
          <w:szCs w:val="28"/>
        </w:rPr>
        <w:t xml:space="preserve"> </w:t>
      </w:r>
    </w:p>
    <w:p w:rsidR="000B7B23" w:rsidRDefault="000B7B23" w:rsidP="004F7088">
      <w:pPr>
        <w:autoSpaceDE w:val="0"/>
        <w:autoSpaceDN w:val="0"/>
        <w:adjustRightInd w:val="0"/>
        <w:ind w:firstLine="708"/>
        <w:jc w:val="both"/>
        <w:rPr>
          <w:sz w:val="28"/>
          <w:szCs w:val="28"/>
        </w:rPr>
      </w:pPr>
      <w:r>
        <w:rPr>
          <w:sz w:val="28"/>
          <w:szCs w:val="28"/>
        </w:rPr>
        <w:t>Расходы произведены на общую сумму 2 042,9 тыс. рублей, и подтверждены</w:t>
      </w:r>
      <w:r w:rsidRPr="00F53D35">
        <w:rPr>
          <w:sz w:val="28"/>
          <w:szCs w:val="28"/>
        </w:rPr>
        <w:t xml:space="preserve"> акт</w:t>
      </w:r>
      <w:r>
        <w:rPr>
          <w:sz w:val="28"/>
          <w:szCs w:val="28"/>
        </w:rPr>
        <w:t>ами</w:t>
      </w:r>
      <w:r w:rsidRPr="00F53D35">
        <w:rPr>
          <w:sz w:val="28"/>
          <w:szCs w:val="28"/>
        </w:rPr>
        <w:t xml:space="preserve"> </w:t>
      </w:r>
      <w:r>
        <w:rPr>
          <w:sz w:val="28"/>
          <w:szCs w:val="28"/>
        </w:rPr>
        <w:t xml:space="preserve">сдачи-приемки </w:t>
      </w:r>
      <w:r w:rsidRPr="00F53D35">
        <w:rPr>
          <w:sz w:val="28"/>
          <w:szCs w:val="28"/>
        </w:rPr>
        <w:t xml:space="preserve">выполненных работ </w:t>
      </w:r>
      <w:r>
        <w:rPr>
          <w:sz w:val="28"/>
          <w:szCs w:val="28"/>
        </w:rPr>
        <w:t xml:space="preserve">в том числе: за 2020 год – 1 342,8 тыс. рублей, за 2021 год – 700,1 тыс. рублей. </w:t>
      </w:r>
    </w:p>
    <w:p w:rsidR="000B7B23" w:rsidRPr="00E460D8" w:rsidRDefault="000B7B23" w:rsidP="004F7088">
      <w:pPr>
        <w:autoSpaceDE w:val="0"/>
        <w:autoSpaceDN w:val="0"/>
        <w:adjustRightInd w:val="0"/>
        <w:ind w:firstLine="708"/>
        <w:jc w:val="both"/>
        <w:rPr>
          <w:b/>
          <w:sz w:val="28"/>
          <w:szCs w:val="28"/>
        </w:rPr>
      </w:pPr>
      <w:r>
        <w:rPr>
          <w:b/>
          <w:sz w:val="28"/>
          <w:szCs w:val="28"/>
        </w:rPr>
        <w:t>3. </w:t>
      </w:r>
      <w:r w:rsidRPr="00E460D8">
        <w:rPr>
          <w:b/>
          <w:sz w:val="28"/>
          <w:szCs w:val="28"/>
        </w:rPr>
        <w:t>Результаты проверок, проводимых в проверяемом периоде иными контрольными органами</w:t>
      </w:r>
    </w:p>
    <w:p w:rsidR="000B7B23" w:rsidRDefault="000B7B23" w:rsidP="004F7088">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ab/>
        <w:t>В рамках осуществления бюджетных полномочий главным распорядителем бюджетных средств, Аппаратом с 24 мая 2021 года инициирована проверка Фонда на предмет использования средств субсидии, предоставленной в 2020 году из окружного бюджета в виде имущественного взноса в целях финансового обеспечения затрат по осуществлению уставной деятельности.</w:t>
      </w:r>
      <w:r w:rsidRPr="00FB514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Срок проведения проверки – 30 календарных дней.  </w:t>
      </w:r>
    </w:p>
    <w:p w:rsidR="000B7B23" w:rsidRDefault="000B7B23" w:rsidP="004F7088">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В связи с тем, что проверке представлены документы не в полном объеме по причине отправки документов за 2020 год для проведения аудиторской проверки, срок проведения проверки неоднократно продлевался до предоставления аудиторского заключения по результатам обязательного аудита бухгалтерской (финансовой) отчетности Фонда за 2020 год. </w:t>
      </w:r>
    </w:p>
    <w:p w:rsidR="000B7B23" w:rsidRDefault="000B7B23" w:rsidP="004F7088">
      <w:pPr>
        <w:pStyle w:val="ConsPlusNonformat"/>
        <w:jc w:val="both"/>
        <w:rPr>
          <w:rFonts w:ascii="Times New Roman" w:eastAsia="Times New Roman" w:hAnsi="Times New Roman" w:cs="Times New Roman"/>
          <w:color w:val="000000"/>
          <w:sz w:val="26"/>
          <w:szCs w:val="26"/>
        </w:rPr>
      </w:pPr>
      <w:r>
        <w:rPr>
          <w:rFonts w:ascii="Times New Roman" w:hAnsi="Times New Roman" w:cs="Times New Roman"/>
          <w:color w:val="000000"/>
          <w:sz w:val="28"/>
          <w:szCs w:val="28"/>
        </w:rPr>
        <w:tab/>
        <w:t>В установленные сроки, запрошенные комиссией по проведению проверки документы не представлены, о чем составлен акт от 15 марта 2022 года.</w:t>
      </w:r>
    </w:p>
    <w:p w:rsidR="000B7B23" w:rsidRPr="00AF69AF" w:rsidRDefault="000B7B23" w:rsidP="004F7088">
      <w:pPr>
        <w:pStyle w:val="ConsPlusNonformat"/>
        <w:ind w:firstLine="708"/>
        <w:jc w:val="both"/>
        <w:rPr>
          <w:rFonts w:ascii="Times New Roman" w:eastAsia="Times New Roman" w:hAnsi="Times New Roman" w:cs="Times New Roman"/>
          <w:color w:val="000000"/>
          <w:sz w:val="16"/>
          <w:szCs w:val="16"/>
        </w:rPr>
      </w:pPr>
    </w:p>
    <w:p w:rsidR="000B7B23" w:rsidRDefault="000B7B23" w:rsidP="004F7088">
      <w:pPr>
        <w:pStyle w:val="ConsPlusNonformat"/>
        <w:ind w:firstLine="708"/>
        <w:jc w:val="both"/>
        <w:rPr>
          <w:rFonts w:ascii="Times New Roman" w:hAnsi="Times New Roman" w:cs="Times New Roman"/>
          <w:color w:val="000000"/>
          <w:sz w:val="28"/>
          <w:szCs w:val="28"/>
        </w:rPr>
      </w:pPr>
      <w:r w:rsidRPr="00CC6CEB">
        <w:rPr>
          <w:rFonts w:ascii="Times New Roman" w:hAnsi="Times New Roman" w:cs="Times New Roman"/>
          <w:b/>
          <w:color w:val="000000"/>
          <w:sz w:val="28"/>
          <w:szCs w:val="28"/>
        </w:rPr>
        <w:t>Возражения или замечания руководителей объектов контрольного мероприятия на результаты контрольного мероприятия (при наличии</w:t>
      </w:r>
      <w:r w:rsidRPr="00CC6CEB">
        <w:rPr>
          <w:rFonts w:ascii="Times New Roman" w:hAnsi="Times New Roman" w:cs="Times New Roman"/>
          <w:b/>
          <w:color w:val="000000"/>
        </w:rPr>
        <w:t>)</w:t>
      </w:r>
      <w:r w:rsidRPr="00BB5BC7">
        <w:rPr>
          <w:rFonts w:ascii="Times New Roman" w:hAnsi="Times New Roman" w:cs="Times New Roman"/>
          <w:b/>
          <w:color w:val="000000"/>
          <w:sz w:val="28"/>
          <w:szCs w:val="28"/>
        </w:rPr>
        <w:t>:</w:t>
      </w:r>
      <w:r w:rsidRPr="00AF69AF">
        <w:rPr>
          <w:rFonts w:ascii="Times New Roman" w:hAnsi="Times New Roman" w:cs="Times New Roman"/>
          <w:color w:val="000000"/>
          <w:sz w:val="28"/>
          <w:szCs w:val="28"/>
        </w:rPr>
        <w:t xml:space="preserve"> </w:t>
      </w:r>
      <w:r w:rsidRPr="00AA0871">
        <w:rPr>
          <w:rFonts w:ascii="Times New Roman" w:hAnsi="Times New Roman" w:cs="Times New Roman"/>
          <w:color w:val="000000"/>
          <w:sz w:val="28"/>
          <w:szCs w:val="28"/>
        </w:rPr>
        <w:t xml:space="preserve">по результатам контрольного мероприятия </w:t>
      </w:r>
      <w:r>
        <w:rPr>
          <w:rFonts w:ascii="Times New Roman" w:hAnsi="Times New Roman" w:cs="Times New Roman"/>
          <w:color w:val="000000"/>
          <w:sz w:val="28"/>
          <w:szCs w:val="28"/>
        </w:rPr>
        <w:t>оформ</w:t>
      </w:r>
      <w:r w:rsidRPr="00AA0871">
        <w:rPr>
          <w:rFonts w:ascii="Times New Roman" w:hAnsi="Times New Roman" w:cs="Times New Roman"/>
          <w:color w:val="000000"/>
          <w:sz w:val="28"/>
          <w:szCs w:val="28"/>
        </w:rPr>
        <w:t xml:space="preserve">лен акт от </w:t>
      </w:r>
      <w:r>
        <w:rPr>
          <w:rFonts w:ascii="Times New Roman" w:hAnsi="Times New Roman" w:cs="Times New Roman"/>
          <w:color w:val="000000"/>
          <w:sz w:val="28"/>
          <w:szCs w:val="28"/>
        </w:rPr>
        <w:t>23 мая 2022</w:t>
      </w:r>
      <w:r w:rsidRPr="00AA0871">
        <w:rPr>
          <w:rFonts w:ascii="Times New Roman" w:hAnsi="Times New Roman" w:cs="Times New Roman"/>
          <w:color w:val="000000"/>
          <w:sz w:val="28"/>
          <w:szCs w:val="28"/>
        </w:rPr>
        <w:t xml:space="preserve"> года, подписанный без разногласий.</w:t>
      </w:r>
    </w:p>
    <w:p w:rsidR="000B7B23" w:rsidRPr="00926592" w:rsidRDefault="000B7B23" w:rsidP="004F7088">
      <w:pPr>
        <w:pStyle w:val="ConsPlusNonformat"/>
        <w:ind w:firstLine="708"/>
        <w:jc w:val="both"/>
        <w:rPr>
          <w:rFonts w:ascii="Times New Roman" w:hAnsi="Times New Roman" w:cs="Times New Roman"/>
          <w:color w:val="000000"/>
          <w:sz w:val="16"/>
          <w:szCs w:val="16"/>
        </w:rPr>
      </w:pPr>
    </w:p>
    <w:p w:rsidR="000B7B23" w:rsidRDefault="000B7B23" w:rsidP="004F7088">
      <w:pPr>
        <w:pStyle w:val="ConsPlusNonformat"/>
        <w:ind w:firstLine="708"/>
        <w:jc w:val="both"/>
        <w:rPr>
          <w:rFonts w:ascii="Times New Roman" w:hAnsi="Times New Roman" w:cs="Times New Roman"/>
          <w:b/>
          <w:color w:val="000000"/>
          <w:sz w:val="28"/>
          <w:szCs w:val="28"/>
        </w:rPr>
      </w:pPr>
      <w:r w:rsidRPr="00CC6CEB">
        <w:rPr>
          <w:rFonts w:ascii="Times New Roman" w:hAnsi="Times New Roman" w:cs="Times New Roman"/>
          <w:b/>
          <w:color w:val="000000"/>
          <w:sz w:val="28"/>
          <w:szCs w:val="28"/>
        </w:rPr>
        <w:t>Выводы:</w:t>
      </w:r>
    </w:p>
    <w:p w:rsidR="000B7B23" w:rsidRDefault="000B7B23" w:rsidP="004F7088">
      <w:pPr>
        <w:pStyle w:val="ConsPlusNonformat"/>
        <w:spacing w:before="80"/>
        <w:ind w:firstLine="709"/>
        <w:jc w:val="both"/>
        <w:rPr>
          <w:rFonts w:ascii="Times New Roman" w:hAnsi="Times New Roman"/>
          <w:sz w:val="28"/>
          <w:szCs w:val="28"/>
        </w:rPr>
      </w:pPr>
      <w:bookmarkStart w:id="81" w:name="_Hlk104474911"/>
      <w:r>
        <w:rPr>
          <w:rFonts w:ascii="Times New Roman" w:hAnsi="Times New Roman"/>
          <w:sz w:val="28"/>
          <w:szCs w:val="28"/>
        </w:rPr>
        <w:t>1. В 2019-2021 годах ф</w:t>
      </w:r>
      <w:r w:rsidRPr="00D200C8">
        <w:rPr>
          <w:rFonts w:ascii="Times New Roman" w:hAnsi="Times New Roman"/>
          <w:sz w:val="28"/>
          <w:szCs w:val="28"/>
        </w:rPr>
        <w:t>инансово-хозяйственная деятельность Фонда осуществлялась за счет средств</w:t>
      </w:r>
      <w:r>
        <w:rPr>
          <w:rFonts w:ascii="Times New Roman" w:hAnsi="Times New Roman"/>
          <w:sz w:val="28"/>
          <w:szCs w:val="28"/>
        </w:rPr>
        <w:t xml:space="preserve"> окружного бюджета </w:t>
      </w:r>
      <w:r w:rsidRPr="00403AF4">
        <w:rPr>
          <w:rFonts w:ascii="Times New Roman" w:hAnsi="Times New Roman" w:cs="Times New Roman"/>
          <w:sz w:val="28"/>
          <w:szCs w:val="28"/>
        </w:rPr>
        <w:t xml:space="preserve">и </w:t>
      </w:r>
      <w:r w:rsidRPr="00E25404">
        <w:rPr>
          <w:rFonts w:ascii="Times New Roman" w:hAnsi="Times New Roman"/>
          <w:sz w:val="28"/>
          <w:szCs w:val="28"/>
        </w:rPr>
        <w:t>денежно</w:t>
      </w:r>
      <w:r>
        <w:rPr>
          <w:rFonts w:ascii="Times New Roman" w:hAnsi="Times New Roman"/>
          <w:sz w:val="28"/>
          <w:szCs w:val="28"/>
        </w:rPr>
        <w:t>го</w:t>
      </w:r>
      <w:r w:rsidRPr="00E25404">
        <w:rPr>
          <w:rFonts w:ascii="Times New Roman" w:hAnsi="Times New Roman"/>
          <w:sz w:val="28"/>
          <w:szCs w:val="28"/>
        </w:rPr>
        <w:t xml:space="preserve"> обеспечени</w:t>
      </w:r>
      <w:r>
        <w:rPr>
          <w:rFonts w:ascii="Times New Roman" w:hAnsi="Times New Roman"/>
          <w:sz w:val="28"/>
          <w:szCs w:val="28"/>
        </w:rPr>
        <w:t>я</w:t>
      </w:r>
      <w:r w:rsidRPr="00E25404">
        <w:rPr>
          <w:rFonts w:ascii="Times New Roman" w:hAnsi="Times New Roman"/>
          <w:sz w:val="28"/>
          <w:szCs w:val="28"/>
        </w:rPr>
        <w:t>, предоставленно</w:t>
      </w:r>
      <w:r>
        <w:rPr>
          <w:rFonts w:ascii="Times New Roman" w:hAnsi="Times New Roman"/>
          <w:sz w:val="28"/>
          <w:szCs w:val="28"/>
        </w:rPr>
        <w:t>го</w:t>
      </w:r>
      <w:r w:rsidRPr="00E25404">
        <w:rPr>
          <w:rFonts w:ascii="Times New Roman" w:hAnsi="Times New Roman"/>
          <w:sz w:val="28"/>
          <w:szCs w:val="28"/>
        </w:rPr>
        <w:t xml:space="preserve"> </w:t>
      </w:r>
      <w:r w:rsidRPr="00403AF4">
        <w:rPr>
          <w:rFonts w:ascii="Times New Roman" w:hAnsi="Times New Roman"/>
          <w:sz w:val="28"/>
          <w:szCs w:val="28"/>
        </w:rPr>
        <w:t>Некоммерческой организацией «Фонд развития экономики и прямых инвестиций Чукотского автономного округа»</w:t>
      </w:r>
      <w:r>
        <w:rPr>
          <w:rFonts w:ascii="Times New Roman" w:hAnsi="Times New Roman"/>
          <w:sz w:val="28"/>
          <w:szCs w:val="28"/>
        </w:rPr>
        <w:t xml:space="preserve"> </w:t>
      </w:r>
      <w:r w:rsidRPr="00E25404">
        <w:rPr>
          <w:rFonts w:ascii="Times New Roman" w:hAnsi="Times New Roman"/>
          <w:sz w:val="28"/>
          <w:szCs w:val="28"/>
        </w:rPr>
        <w:t>в целях оказания поддержки субъектам малого и среднего предпринимательства округа</w:t>
      </w:r>
      <w:r>
        <w:rPr>
          <w:rFonts w:ascii="Times New Roman" w:hAnsi="Times New Roman"/>
          <w:sz w:val="28"/>
          <w:szCs w:val="28"/>
        </w:rPr>
        <w:t>.</w:t>
      </w:r>
      <w:r w:rsidRPr="00E25404">
        <w:rPr>
          <w:rFonts w:ascii="Times New Roman" w:hAnsi="Times New Roman"/>
          <w:sz w:val="28"/>
          <w:szCs w:val="28"/>
        </w:rPr>
        <w:t xml:space="preserve"> </w:t>
      </w:r>
    </w:p>
    <w:p w:rsidR="000B7B23" w:rsidRPr="001D7A34" w:rsidRDefault="000B7B23" w:rsidP="004F7088">
      <w:pPr>
        <w:pStyle w:val="ConsPlusNonformat"/>
        <w:ind w:firstLine="708"/>
        <w:jc w:val="both"/>
        <w:rPr>
          <w:rFonts w:ascii="Times New Roman" w:hAnsi="Times New Roman" w:cs="Times New Roman"/>
          <w:sz w:val="28"/>
          <w:szCs w:val="28"/>
        </w:rPr>
      </w:pPr>
      <w:r w:rsidRPr="001D7A34">
        <w:rPr>
          <w:rFonts w:ascii="Times New Roman" w:hAnsi="Times New Roman" w:cs="Times New Roman"/>
          <w:sz w:val="28"/>
          <w:szCs w:val="28"/>
        </w:rPr>
        <w:t xml:space="preserve">В проверяемом периоде на финансово-хозяйственную деятельность Фонда </w:t>
      </w:r>
      <w:r>
        <w:rPr>
          <w:rFonts w:ascii="Times New Roman" w:hAnsi="Times New Roman" w:cs="Times New Roman"/>
          <w:sz w:val="28"/>
          <w:szCs w:val="28"/>
        </w:rPr>
        <w:t>было направлено за счет всех источников финансирования 65 211,2 тыс. рублей. Согласно данных отчетов Фонда об использовании средств, Фондом использовано 62 373,7 тыс. рублей или 95,6% от полученного финансирования.</w:t>
      </w:r>
    </w:p>
    <w:p w:rsidR="000B7B23" w:rsidRPr="00BB5764" w:rsidRDefault="000B7B23" w:rsidP="004F7088">
      <w:pPr>
        <w:spacing w:before="60" w:after="60"/>
        <w:ind w:firstLine="709"/>
        <w:jc w:val="both"/>
        <w:rPr>
          <w:sz w:val="28"/>
          <w:szCs w:val="28"/>
        </w:rPr>
      </w:pPr>
      <w:r>
        <w:rPr>
          <w:sz w:val="28"/>
          <w:szCs w:val="28"/>
        </w:rPr>
        <w:lastRenderedPageBreak/>
        <w:t>2. Советом Фонда в нарушение</w:t>
      </w:r>
      <w:r w:rsidRPr="00D200C8">
        <w:rPr>
          <w:sz w:val="28"/>
          <w:szCs w:val="28"/>
        </w:rPr>
        <w:t xml:space="preserve"> пункт</w:t>
      </w:r>
      <w:r>
        <w:rPr>
          <w:sz w:val="28"/>
          <w:szCs w:val="28"/>
        </w:rPr>
        <w:t>а</w:t>
      </w:r>
      <w:r w:rsidRPr="00D200C8">
        <w:rPr>
          <w:sz w:val="28"/>
          <w:szCs w:val="28"/>
        </w:rPr>
        <w:t xml:space="preserve"> 7.9. Устава ежегодно </w:t>
      </w:r>
      <w:r>
        <w:rPr>
          <w:sz w:val="28"/>
          <w:szCs w:val="28"/>
        </w:rPr>
        <w:t xml:space="preserve">не </w:t>
      </w:r>
      <w:r w:rsidRPr="00D200C8">
        <w:rPr>
          <w:sz w:val="28"/>
          <w:szCs w:val="28"/>
        </w:rPr>
        <w:t>утвержда</w:t>
      </w:r>
      <w:r>
        <w:rPr>
          <w:sz w:val="28"/>
          <w:szCs w:val="28"/>
        </w:rPr>
        <w:t>лись</w:t>
      </w:r>
      <w:r w:rsidRPr="00D200C8">
        <w:rPr>
          <w:sz w:val="28"/>
          <w:szCs w:val="28"/>
        </w:rPr>
        <w:t xml:space="preserve"> смет</w:t>
      </w:r>
      <w:r>
        <w:rPr>
          <w:sz w:val="28"/>
          <w:szCs w:val="28"/>
        </w:rPr>
        <w:t>ы</w:t>
      </w:r>
      <w:r w:rsidRPr="00D200C8">
        <w:rPr>
          <w:sz w:val="28"/>
          <w:szCs w:val="28"/>
        </w:rPr>
        <w:t xml:space="preserve"> доходов и расходов на содержание Фонда</w:t>
      </w:r>
      <w:r>
        <w:rPr>
          <w:sz w:val="28"/>
          <w:szCs w:val="28"/>
        </w:rPr>
        <w:t>.</w:t>
      </w:r>
    </w:p>
    <w:p w:rsidR="000B7B23" w:rsidRPr="00D200C8" w:rsidRDefault="000B7B23" w:rsidP="004F7088">
      <w:pPr>
        <w:ind w:firstLine="709"/>
        <w:jc w:val="both"/>
        <w:rPr>
          <w:sz w:val="28"/>
          <w:szCs w:val="28"/>
        </w:rPr>
      </w:pPr>
      <w:r>
        <w:rPr>
          <w:sz w:val="28"/>
          <w:szCs w:val="28"/>
        </w:rPr>
        <w:t>3. Попечительский Совет Фонда в должной мере не осуществлял н</w:t>
      </w:r>
      <w:r w:rsidRPr="00D200C8">
        <w:rPr>
          <w:sz w:val="28"/>
          <w:szCs w:val="28"/>
        </w:rPr>
        <w:t>адзор за деятельностью Фонда, принятием Советом Фонда и директором Фонда решений, и обеспечением их исполнения</w:t>
      </w:r>
      <w:r>
        <w:rPr>
          <w:sz w:val="28"/>
          <w:szCs w:val="28"/>
        </w:rPr>
        <w:t xml:space="preserve">. </w:t>
      </w:r>
    </w:p>
    <w:p w:rsidR="000B7B23" w:rsidRDefault="000B7B23" w:rsidP="004F7088">
      <w:pPr>
        <w:autoSpaceDE w:val="0"/>
        <w:autoSpaceDN w:val="0"/>
        <w:adjustRightInd w:val="0"/>
        <w:spacing w:before="60"/>
        <w:ind w:firstLine="709"/>
        <w:jc w:val="both"/>
        <w:rPr>
          <w:sz w:val="28"/>
          <w:szCs w:val="28"/>
        </w:rPr>
      </w:pPr>
      <w:bookmarkStart w:id="82" w:name="_Hlk104798674"/>
      <w:r>
        <w:rPr>
          <w:sz w:val="28"/>
          <w:szCs w:val="28"/>
        </w:rPr>
        <w:t xml:space="preserve">4. В ходе контрольного мероприятия установлены грубые нарушения Федерального закона «О бухгалтерском учете». </w:t>
      </w:r>
    </w:p>
    <w:p w:rsidR="000B7B23" w:rsidRDefault="000B7B23" w:rsidP="004F7088">
      <w:pPr>
        <w:autoSpaceDE w:val="0"/>
        <w:autoSpaceDN w:val="0"/>
        <w:adjustRightInd w:val="0"/>
        <w:ind w:firstLine="709"/>
        <w:jc w:val="both"/>
        <w:rPr>
          <w:sz w:val="28"/>
          <w:szCs w:val="28"/>
        </w:rPr>
      </w:pPr>
      <w:r>
        <w:rPr>
          <w:sz w:val="28"/>
          <w:szCs w:val="28"/>
        </w:rPr>
        <w:t xml:space="preserve">В нарушение пункта 1 статьи 7 Закона о бухгалтерском учете </w:t>
      </w:r>
      <w:r w:rsidRPr="00777B08">
        <w:rPr>
          <w:sz w:val="28"/>
          <w:szCs w:val="28"/>
        </w:rPr>
        <w:t xml:space="preserve">и подпункта 6 пункта 8.6. Устава Фонда, </w:t>
      </w:r>
      <w:r>
        <w:rPr>
          <w:sz w:val="28"/>
          <w:szCs w:val="28"/>
        </w:rPr>
        <w:t>руководителем Фонда не надлежащим образом организовано ведение бухгалтерского учета</w:t>
      </w:r>
      <w:r w:rsidRPr="00271331">
        <w:rPr>
          <w:sz w:val="28"/>
          <w:szCs w:val="28"/>
        </w:rPr>
        <w:t xml:space="preserve"> </w:t>
      </w:r>
      <w:r>
        <w:rPr>
          <w:sz w:val="28"/>
          <w:szCs w:val="28"/>
        </w:rPr>
        <w:t>и хранение документов бухгалтерского учета организации.</w:t>
      </w:r>
    </w:p>
    <w:p w:rsidR="000B7B23" w:rsidRDefault="000B7B23" w:rsidP="004F7088">
      <w:pPr>
        <w:autoSpaceDE w:val="0"/>
        <w:autoSpaceDN w:val="0"/>
        <w:adjustRightInd w:val="0"/>
        <w:ind w:firstLine="708"/>
        <w:jc w:val="both"/>
        <w:rPr>
          <w:sz w:val="28"/>
          <w:szCs w:val="28"/>
        </w:rPr>
      </w:pPr>
      <w:r>
        <w:rPr>
          <w:sz w:val="28"/>
          <w:szCs w:val="28"/>
        </w:rPr>
        <w:t>В</w:t>
      </w:r>
      <w:r w:rsidRPr="00EC07B7">
        <w:rPr>
          <w:sz w:val="28"/>
          <w:szCs w:val="28"/>
        </w:rPr>
        <w:t xml:space="preserve"> нарушение статьи 9 Закон</w:t>
      </w:r>
      <w:r>
        <w:rPr>
          <w:sz w:val="28"/>
          <w:szCs w:val="28"/>
        </w:rPr>
        <w:t>а</w:t>
      </w:r>
      <w:r w:rsidRPr="00EC07B7">
        <w:rPr>
          <w:sz w:val="28"/>
          <w:szCs w:val="28"/>
        </w:rPr>
        <w:t xml:space="preserve"> о бухгалтерском учете в проверяемом периоде не подтверждены первичными учетными документами факты хозяйственной жизни Фонда на общую сумму </w:t>
      </w:r>
      <w:r>
        <w:rPr>
          <w:sz w:val="28"/>
          <w:szCs w:val="28"/>
        </w:rPr>
        <w:t xml:space="preserve">11 526,2 тыс. рублей, </w:t>
      </w:r>
      <w:r w:rsidRPr="00D93A00">
        <w:rPr>
          <w:sz w:val="28"/>
          <w:szCs w:val="28"/>
        </w:rPr>
        <w:t>чем создан риск ущерба окружному бюджету.</w:t>
      </w:r>
    </w:p>
    <w:p w:rsidR="000B7B23" w:rsidRDefault="000B7B23" w:rsidP="004F7088">
      <w:pPr>
        <w:autoSpaceDE w:val="0"/>
        <w:autoSpaceDN w:val="0"/>
        <w:adjustRightInd w:val="0"/>
        <w:ind w:firstLine="709"/>
        <w:jc w:val="both"/>
        <w:rPr>
          <w:sz w:val="28"/>
          <w:szCs w:val="28"/>
        </w:rPr>
      </w:pPr>
      <w:r>
        <w:rPr>
          <w:sz w:val="28"/>
          <w:szCs w:val="28"/>
        </w:rPr>
        <w:t>Главным бухгалтером Фонда в проверяемом периоде не выполнялись обязанности ведения бухгалтерского учета, установленные статьей 6 Закона о бухгалтерском учете и трудовым договором:</w:t>
      </w:r>
    </w:p>
    <w:p w:rsidR="000B7B23" w:rsidRDefault="000B7B23" w:rsidP="004F7088">
      <w:pPr>
        <w:autoSpaceDE w:val="0"/>
        <w:autoSpaceDN w:val="0"/>
        <w:adjustRightInd w:val="0"/>
        <w:ind w:firstLine="709"/>
        <w:jc w:val="both"/>
        <w:rPr>
          <w:sz w:val="28"/>
          <w:szCs w:val="28"/>
        </w:rPr>
      </w:pPr>
      <w:r>
        <w:rPr>
          <w:sz w:val="28"/>
          <w:szCs w:val="28"/>
        </w:rPr>
        <w:t>- в нарушение статей 10,11 З</w:t>
      </w:r>
      <w:r w:rsidRPr="00D02F22">
        <w:rPr>
          <w:sz w:val="28"/>
          <w:szCs w:val="28"/>
        </w:rPr>
        <w:t>акон</w:t>
      </w:r>
      <w:r>
        <w:rPr>
          <w:sz w:val="28"/>
          <w:szCs w:val="28"/>
        </w:rPr>
        <w:t>а</w:t>
      </w:r>
      <w:r w:rsidRPr="00D02F22">
        <w:rPr>
          <w:sz w:val="28"/>
          <w:szCs w:val="28"/>
        </w:rPr>
        <w:t xml:space="preserve"> </w:t>
      </w:r>
      <w:r>
        <w:rPr>
          <w:sz w:val="28"/>
          <w:szCs w:val="28"/>
        </w:rPr>
        <w:t>о</w:t>
      </w:r>
      <w:r w:rsidRPr="00D02F22">
        <w:rPr>
          <w:sz w:val="28"/>
          <w:szCs w:val="28"/>
        </w:rPr>
        <w:t xml:space="preserve"> бухгалтерском учете</w:t>
      </w:r>
      <w:r>
        <w:rPr>
          <w:sz w:val="28"/>
          <w:szCs w:val="28"/>
        </w:rPr>
        <w:t xml:space="preserve"> не осуществлялась своевременная регистрация и накопление в </w:t>
      </w:r>
      <w:hyperlink r:id="rId27" w:history="1">
        <w:r w:rsidRPr="00B46CD4">
          <w:rPr>
            <w:sz w:val="28"/>
            <w:szCs w:val="28"/>
          </w:rPr>
          <w:t>регистрах</w:t>
        </w:r>
      </w:hyperlink>
      <w:r w:rsidRPr="00B46CD4">
        <w:rPr>
          <w:sz w:val="28"/>
          <w:szCs w:val="28"/>
        </w:rPr>
        <w:t xml:space="preserve"> бухгалтерского учета</w:t>
      </w:r>
      <w:r>
        <w:rPr>
          <w:sz w:val="28"/>
          <w:szCs w:val="28"/>
        </w:rPr>
        <w:t xml:space="preserve"> </w:t>
      </w:r>
      <w:r w:rsidRPr="00B46CD4">
        <w:rPr>
          <w:sz w:val="28"/>
          <w:szCs w:val="28"/>
        </w:rPr>
        <w:t>данны</w:t>
      </w:r>
      <w:r>
        <w:rPr>
          <w:sz w:val="28"/>
          <w:szCs w:val="28"/>
        </w:rPr>
        <w:t>х</w:t>
      </w:r>
      <w:r w:rsidRPr="00B46CD4">
        <w:rPr>
          <w:sz w:val="28"/>
          <w:szCs w:val="28"/>
        </w:rPr>
        <w:t>, содержащи</w:t>
      </w:r>
      <w:r>
        <w:rPr>
          <w:sz w:val="28"/>
          <w:szCs w:val="28"/>
        </w:rPr>
        <w:t>х</w:t>
      </w:r>
      <w:r w:rsidRPr="00B46CD4">
        <w:rPr>
          <w:sz w:val="28"/>
          <w:szCs w:val="28"/>
        </w:rPr>
        <w:t>ся в первичных учетных документах</w:t>
      </w:r>
      <w:r>
        <w:rPr>
          <w:sz w:val="28"/>
          <w:szCs w:val="28"/>
        </w:rPr>
        <w:t xml:space="preserve">, не велся бухгалтерский учет посредством двойной записи на счетах бухгалтерского учета, не осуществлялась инвентаризация активов и обязательств; </w:t>
      </w:r>
    </w:p>
    <w:p w:rsidR="000B7B23" w:rsidRDefault="000B7B23" w:rsidP="004F7088">
      <w:pPr>
        <w:autoSpaceDE w:val="0"/>
        <w:autoSpaceDN w:val="0"/>
        <w:adjustRightInd w:val="0"/>
        <w:ind w:firstLine="708"/>
        <w:jc w:val="both"/>
        <w:rPr>
          <w:sz w:val="28"/>
          <w:szCs w:val="28"/>
        </w:rPr>
      </w:pPr>
      <w:r>
        <w:rPr>
          <w:sz w:val="28"/>
          <w:szCs w:val="28"/>
        </w:rPr>
        <w:t>- с</w:t>
      </w:r>
      <w:r w:rsidRPr="00EB7657">
        <w:rPr>
          <w:sz w:val="28"/>
          <w:szCs w:val="28"/>
        </w:rPr>
        <w:t>оставлялась упрощенная бухгалтерская (финансовая) отчетность</w:t>
      </w:r>
      <w:r>
        <w:rPr>
          <w:sz w:val="28"/>
          <w:szCs w:val="28"/>
        </w:rPr>
        <w:t xml:space="preserve">, не предусмотренная </w:t>
      </w:r>
      <w:r w:rsidRPr="00EB7657">
        <w:rPr>
          <w:sz w:val="28"/>
          <w:szCs w:val="28"/>
        </w:rPr>
        <w:t>Учетной политикой Фонда</w:t>
      </w:r>
      <w:r>
        <w:rPr>
          <w:sz w:val="28"/>
          <w:szCs w:val="28"/>
        </w:rPr>
        <w:t>.</w:t>
      </w:r>
      <w:r w:rsidRPr="00EB7657">
        <w:rPr>
          <w:sz w:val="28"/>
          <w:szCs w:val="28"/>
        </w:rPr>
        <w:t xml:space="preserve"> </w:t>
      </w:r>
      <w:r>
        <w:rPr>
          <w:sz w:val="28"/>
          <w:szCs w:val="28"/>
        </w:rPr>
        <w:t xml:space="preserve">В нарушение </w:t>
      </w:r>
      <w:r w:rsidRPr="00EB7657">
        <w:rPr>
          <w:sz w:val="28"/>
          <w:szCs w:val="28"/>
        </w:rPr>
        <w:t>пункт</w:t>
      </w:r>
      <w:r>
        <w:rPr>
          <w:sz w:val="28"/>
          <w:szCs w:val="28"/>
        </w:rPr>
        <w:t>а</w:t>
      </w:r>
      <w:r w:rsidRPr="00EB7657">
        <w:rPr>
          <w:sz w:val="28"/>
          <w:szCs w:val="28"/>
        </w:rPr>
        <w:t xml:space="preserve"> 1 статьи 13 Закона о бухгалтерском учете</w:t>
      </w:r>
      <w:r>
        <w:rPr>
          <w:sz w:val="28"/>
          <w:szCs w:val="28"/>
        </w:rPr>
        <w:t>,</w:t>
      </w:r>
      <w:r w:rsidRPr="00EB7657">
        <w:rPr>
          <w:sz w:val="28"/>
          <w:szCs w:val="28"/>
        </w:rPr>
        <w:t xml:space="preserve"> вышеуказанная отчетность </w:t>
      </w:r>
      <w:r>
        <w:rPr>
          <w:sz w:val="28"/>
          <w:szCs w:val="28"/>
        </w:rPr>
        <w:t xml:space="preserve">составлена в отсутствие основных регистров бухгалтерского учета, что </w:t>
      </w:r>
      <w:r w:rsidRPr="00EB7657">
        <w:rPr>
          <w:sz w:val="28"/>
          <w:szCs w:val="28"/>
        </w:rPr>
        <w:t>не дает достоверно</w:t>
      </w:r>
      <w:r>
        <w:rPr>
          <w:sz w:val="28"/>
          <w:szCs w:val="28"/>
        </w:rPr>
        <w:t>го</w:t>
      </w:r>
      <w:r w:rsidRPr="00EB7657">
        <w:rPr>
          <w:sz w:val="28"/>
          <w:szCs w:val="28"/>
        </w:rPr>
        <w:t xml:space="preserve"> представлени</w:t>
      </w:r>
      <w:r>
        <w:rPr>
          <w:sz w:val="28"/>
          <w:szCs w:val="28"/>
        </w:rPr>
        <w:t>я</w:t>
      </w:r>
      <w:r w:rsidRPr="00EB7657">
        <w:rPr>
          <w:sz w:val="28"/>
          <w:szCs w:val="28"/>
        </w:rPr>
        <w:t xml:space="preserve"> о финансовом результате деятельности Фонда и движении денежных средств за отчетный период</w:t>
      </w:r>
      <w:r>
        <w:rPr>
          <w:sz w:val="28"/>
          <w:szCs w:val="28"/>
        </w:rPr>
        <w:t>.</w:t>
      </w:r>
    </w:p>
    <w:bookmarkEnd w:id="82"/>
    <w:p w:rsidR="000B7B23" w:rsidRPr="0094520F" w:rsidRDefault="000B7B23" w:rsidP="004F7088">
      <w:pPr>
        <w:autoSpaceDE w:val="0"/>
        <w:autoSpaceDN w:val="0"/>
        <w:adjustRightInd w:val="0"/>
        <w:spacing w:before="60"/>
        <w:ind w:firstLine="709"/>
        <w:jc w:val="both"/>
        <w:rPr>
          <w:sz w:val="28"/>
          <w:szCs w:val="28"/>
        </w:rPr>
      </w:pPr>
      <w:r>
        <w:rPr>
          <w:sz w:val="28"/>
          <w:szCs w:val="28"/>
        </w:rPr>
        <w:t>5</w:t>
      </w:r>
      <w:r w:rsidRPr="0094520F">
        <w:rPr>
          <w:sz w:val="28"/>
          <w:szCs w:val="28"/>
        </w:rPr>
        <w:t xml:space="preserve">. Аппаратом Губернатора и Правительства Чукотского автономного округа, как Учредителем Фонда, </w:t>
      </w:r>
      <w:r>
        <w:rPr>
          <w:sz w:val="28"/>
          <w:szCs w:val="28"/>
        </w:rPr>
        <w:t xml:space="preserve">в проверяемом периоде </w:t>
      </w:r>
      <w:r w:rsidRPr="0094520F">
        <w:rPr>
          <w:sz w:val="28"/>
          <w:szCs w:val="28"/>
        </w:rPr>
        <w:t>допущены нарушения Порядка определения объема и предоставления субсидии некоммерческой организации «Фонд поддержки молодежи», утвержденного Постановлением Правительства Чукотского автономного округа от 31 июля 2018 года №250:</w:t>
      </w:r>
    </w:p>
    <w:p w:rsidR="000B7B23" w:rsidRPr="00EC61ED" w:rsidRDefault="000B7B23" w:rsidP="004F7088">
      <w:pPr>
        <w:autoSpaceDE w:val="0"/>
        <w:autoSpaceDN w:val="0"/>
        <w:adjustRightInd w:val="0"/>
        <w:ind w:firstLine="708"/>
        <w:jc w:val="both"/>
        <w:rPr>
          <w:sz w:val="28"/>
          <w:szCs w:val="28"/>
        </w:rPr>
      </w:pPr>
      <w:r w:rsidRPr="00EC61ED">
        <w:rPr>
          <w:sz w:val="28"/>
          <w:szCs w:val="28"/>
        </w:rPr>
        <w:t>- не осуществлялся контроль соблюдения условий, целей и порядка предоставления субсидии (пункт 4.1. По</w:t>
      </w:r>
      <w:r>
        <w:rPr>
          <w:sz w:val="28"/>
          <w:szCs w:val="28"/>
        </w:rPr>
        <w:t>рядка</w:t>
      </w:r>
      <w:r w:rsidRPr="00EC61ED">
        <w:rPr>
          <w:sz w:val="28"/>
          <w:szCs w:val="28"/>
        </w:rPr>
        <w:t xml:space="preserve"> №250);</w:t>
      </w:r>
    </w:p>
    <w:p w:rsidR="000B7B23" w:rsidRPr="00EC61ED" w:rsidRDefault="000B7B23" w:rsidP="004F7088">
      <w:pPr>
        <w:autoSpaceDE w:val="0"/>
        <w:autoSpaceDN w:val="0"/>
        <w:adjustRightInd w:val="0"/>
        <w:ind w:firstLine="708"/>
        <w:jc w:val="both"/>
        <w:rPr>
          <w:sz w:val="28"/>
          <w:szCs w:val="28"/>
        </w:rPr>
      </w:pPr>
      <w:r w:rsidRPr="00EC61ED">
        <w:rPr>
          <w:sz w:val="28"/>
          <w:szCs w:val="28"/>
        </w:rPr>
        <w:t>- заключались Соглашения с Фондом и предоставлялась субсидия на финансовое обеспечение затрат на осуществление уставной деятельности Фонда в отсутствие сметы доходов и расходов</w:t>
      </w:r>
      <w:r>
        <w:rPr>
          <w:sz w:val="28"/>
          <w:szCs w:val="28"/>
        </w:rPr>
        <w:t xml:space="preserve"> Фонда</w:t>
      </w:r>
      <w:r w:rsidRPr="00EC61ED">
        <w:rPr>
          <w:sz w:val="28"/>
          <w:szCs w:val="28"/>
        </w:rPr>
        <w:t xml:space="preserve"> (п.2.2.,</w:t>
      </w:r>
      <w:r>
        <w:rPr>
          <w:sz w:val="28"/>
          <w:szCs w:val="28"/>
        </w:rPr>
        <w:t xml:space="preserve"> </w:t>
      </w:r>
      <w:r w:rsidRPr="00EC61ED">
        <w:rPr>
          <w:sz w:val="28"/>
          <w:szCs w:val="28"/>
        </w:rPr>
        <w:t xml:space="preserve">п.2.3. Порядка №250). </w:t>
      </w:r>
    </w:p>
    <w:p w:rsidR="000B7B23" w:rsidRDefault="000B7B23" w:rsidP="004F7088">
      <w:pPr>
        <w:autoSpaceDE w:val="0"/>
        <w:autoSpaceDN w:val="0"/>
        <w:adjustRightInd w:val="0"/>
        <w:spacing w:before="60" w:after="60"/>
        <w:ind w:firstLine="709"/>
        <w:jc w:val="both"/>
        <w:rPr>
          <w:sz w:val="28"/>
          <w:szCs w:val="28"/>
        </w:rPr>
      </w:pPr>
      <w:r>
        <w:rPr>
          <w:sz w:val="28"/>
          <w:szCs w:val="28"/>
        </w:rPr>
        <w:t>6. </w:t>
      </w:r>
      <w:r w:rsidRPr="002025DB">
        <w:rPr>
          <w:sz w:val="28"/>
          <w:szCs w:val="28"/>
        </w:rPr>
        <w:t>В нарушение требований Трудового кодекса Российской Федерации Фондом</w:t>
      </w:r>
      <w:r>
        <w:rPr>
          <w:sz w:val="28"/>
          <w:szCs w:val="28"/>
        </w:rPr>
        <w:t xml:space="preserve">  </w:t>
      </w:r>
      <w:r w:rsidRPr="002025DB">
        <w:rPr>
          <w:sz w:val="28"/>
          <w:szCs w:val="28"/>
        </w:rPr>
        <w:t xml:space="preserve">не велся </w:t>
      </w:r>
      <w:hyperlink r:id="rId28" w:history="1">
        <w:r w:rsidRPr="002025DB">
          <w:rPr>
            <w:sz w:val="28"/>
            <w:szCs w:val="28"/>
          </w:rPr>
          <w:t>учет</w:t>
        </w:r>
      </w:hyperlink>
      <w:r w:rsidRPr="002025DB">
        <w:rPr>
          <w:sz w:val="28"/>
          <w:szCs w:val="28"/>
        </w:rPr>
        <w:t xml:space="preserve"> времени</w:t>
      </w:r>
      <w:r>
        <w:rPr>
          <w:sz w:val="28"/>
          <w:szCs w:val="28"/>
        </w:rPr>
        <w:t>,</w:t>
      </w:r>
      <w:r w:rsidRPr="002025DB">
        <w:rPr>
          <w:sz w:val="28"/>
          <w:szCs w:val="28"/>
        </w:rPr>
        <w:t xml:space="preserve"> фактически отработанного каждым работником</w:t>
      </w:r>
      <w:r>
        <w:rPr>
          <w:sz w:val="28"/>
          <w:szCs w:val="28"/>
        </w:rPr>
        <w:t xml:space="preserve">, не установлена </w:t>
      </w:r>
      <w:r w:rsidRPr="002025DB">
        <w:rPr>
          <w:sz w:val="28"/>
          <w:szCs w:val="28"/>
        </w:rPr>
        <w:t>систем</w:t>
      </w:r>
      <w:r>
        <w:rPr>
          <w:sz w:val="28"/>
          <w:szCs w:val="28"/>
        </w:rPr>
        <w:t>а</w:t>
      </w:r>
      <w:r w:rsidRPr="002025DB">
        <w:rPr>
          <w:sz w:val="28"/>
          <w:szCs w:val="28"/>
        </w:rPr>
        <w:t xml:space="preserve"> доплат и надбавок стимулирующего характера и систем</w:t>
      </w:r>
      <w:r>
        <w:rPr>
          <w:sz w:val="28"/>
          <w:szCs w:val="28"/>
        </w:rPr>
        <w:t>а</w:t>
      </w:r>
      <w:r w:rsidRPr="002025DB">
        <w:rPr>
          <w:sz w:val="28"/>
          <w:szCs w:val="28"/>
        </w:rPr>
        <w:t xml:space="preserve"> </w:t>
      </w:r>
      <w:r w:rsidRPr="002025DB">
        <w:rPr>
          <w:sz w:val="28"/>
          <w:szCs w:val="28"/>
        </w:rPr>
        <w:lastRenderedPageBreak/>
        <w:t>премирования</w:t>
      </w:r>
      <w:r>
        <w:rPr>
          <w:sz w:val="28"/>
          <w:szCs w:val="28"/>
        </w:rPr>
        <w:t>.</w:t>
      </w:r>
      <w:r w:rsidRPr="00DC114F">
        <w:rPr>
          <w:sz w:val="28"/>
          <w:szCs w:val="28"/>
        </w:rPr>
        <w:t xml:space="preserve"> </w:t>
      </w:r>
      <w:r>
        <w:rPr>
          <w:sz w:val="28"/>
          <w:szCs w:val="28"/>
        </w:rPr>
        <w:t xml:space="preserve">При этом, в проверяемом периоде </w:t>
      </w:r>
      <w:r w:rsidRPr="002025DB">
        <w:rPr>
          <w:sz w:val="28"/>
          <w:szCs w:val="28"/>
        </w:rPr>
        <w:t>Фонд</w:t>
      </w:r>
      <w:r>
        <w:rPr>
          <w:sz w:val="28"/>
          <w:szCs w:val="28"/>
        </w:rPr>
        <w:t xml:space="preserve">ом осуществлено </w:t>
      </w:r>
      <w:r w:rsidRPr="002025DB">
        <w:rPr>
          <w:sz w:val="28"/>
          <w:szCs w:val="28"/>
        </w:rPr>
        <w:t>премирование работников в общей сумме 365,7 тыс. рублей</w:t>
      </w:r>
      <w:r>
        <w:rPr>
          <w:sz w:val="28"/>
          <w:szCs w:val="28"/>
        </w:rPr>
        <w:t xml:space="preserve">. </w:t>
      </w:r>
    </w:p>
    <w:p w:rsidR="000B7B23" w:rsidRDefault="000B7B23" w:rsidP="004F7088">
      <w:pPr>
        <w:ind w:firstLine="709"/>
        <w:jc w:val="both"/>
        <w:rPr>
          <w:sz w:val="28"/>
          <w:szCs w:val="28"/>
        </w:rPr>
      </w:pPr>
      <w:r>
        <w:rPr>
          <w:sz w:val="28"/>
          <w:szCs w:val="28"/>
        </w:rPr>
        <w:t>7. Советом Фонда в 2020 году утверждена дорожная карта проекта Молодежный центр «Ангар» без учета фактического наличия финансовых ресурсов для достижения целей проекта.</w:t>
      </w:r>
      <w:r w:rsidRPr="00EC61ED">
        <w:rPr>
          <w:sz w:val="28"/>
          <w:szCs w:val="28"/>
        </w:rPr>
        <w:t xml:space="preserve"> </w:t>
      </w:r>
      <w:r>
        <w:rPr>
          <w:sz w:val="28"/>
          <w:szCs w:val="28"/>
        </w:rPr>
        <w:t xml:space="preserve">В нарушение пункта 8.6. Устава директором Фонда в отсутствие утвержденной Советом Фонда сметы доходов и расходов осуществлялись от имени Фонда сделки, </w:t>
      </w:r>
      <w:r w:rsidRPr="00370A23">
        <w:rPr>
          <w:sz w:val="28"/>
          <w:szCs w:val="28"/>
        </w:rPr>
        <w:t>связанные с созданием молодежного центра «Ангар».</w:t>
      </w:r>
    </w:p>
    <w:p w:rsidR="000B7B23" w:rsidRDefault="000B7B23" w:rsidP="004F7088">
      <w:pPr>
        <w:ind w:firstLine="709"/>
        <w:jc w:val="both"/>
        <w:rPr>
          <w:sz w:val="28"/>
          <w:szCs w:val="28"/>
        </w:rPr>
      </w:pPr>
      <w:r>
        <w:rPr>
          <w:sz w:val="28"/>
          <w:szCs w:val="28"/>
        </w:rPr>
        <w:t>В 2021 году Советом Фонда принято решение о приостановке проекта по созданию молодежного центра «Ангар» в городском округе Анадырь в связи с тем, что в окружном бюджете не предусмотрены ассигнования на реализацию данного проекта.</w:t>
      </w:r>
    </w:p>
    <w:p w:rsidR="000B7B23" w:rsidRDefault="000B7B23" w:rsidP="004F7088">
      <w:pPr>
        <w:ind w:firstLine="709"/>
        <w:jc w:val="both"/>
        <w:rPr>
          <w:sz w:val="28"/>
          <w:szCs w:val="28"/>
        </w:rPr>
      </w:pPr>
      <w:r>
        <w:rPr>
          <w:sz w:val="28"/>
          <w:szCs w:val="28"/>
        </w:rPr>
        <w:t>Бюджетные средства в сумме 10 580,0 тыс. рублей, направленные в проверяемом периоде Фондом на реализацию проекта по созданию молодежного центра «Ангар», использованы безрезультатно.</w:t>
      </w:r>
    </w:p>
    <w:bookmarkEnd w:id="81"/>
    <w:p w:rsidR="000B7B23" w:rsidRPr="00F03F76" w:rsidRDefault="000B7B23" w:rsidP="004F7088">
      <w:pPr>
        <w:pStyle w:val="ConsPlusNonformat"/>
        <w:ind w:firstLine="708"/>
        <w:jc w:val="both"/>
        <w:rPr>
          <w:rFonts w:ascii="Times New Roman" w:hAnsi="Times New Roman" w:cs="Times New Roman"/>
          <w:b/>
          <w:color w:val="000000"/>
          <w:sz w:val="16"/>
          <w:szCs w:val="16"/>
        </w:rPr>
      </w:pPr>
    </w:p>
    <w:p w:rsidR="000B7B23" w:rsidRPr="00CC6CEB" w:rsidRDefault="000B7B23" w:rsidP="004F7088">
      <w:pPr>
        <w:pStyle w:val="ConsPlusNonformat"/>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bookmarkStart w:id="83" w:name="_Hlk104818880"/>
      <w:r w:rsidRPr="00CC6CEB">
        <w:rPr>
          <w:rFonts w:ascii="Times New Roman" w:hAnsi="Times New Roman" w:cs="Times New Roman"/>
          <w:b/>
          <w:color w:val="000000"/>
          <w:sz w:val="28"/>
          <w:szCs w:val="28"/>
        </w:rPr>
        <w:t>Предложения (рекомендации):</w:t>
      </w:r>
    </w:p>
    <w:p w:rsidR="000B7B23" w:rsidRDefault="000B7B23" w:rsidP="00C404B9">
      <w:pPr>
        <w:numPr>
          <w:ilvl w:val="0"/>
          <w:numId w:val="5"/>
        </w:numPr>
        <w:tabs>
          <w:tab w:val="left" w:pos="993"/>
        </w:tabs>
        <w:spacing w:beforeLines="60" w:before="144"/>
        <w:ind w:left="0" w:firstLine="708"/>
        <w:jc w:val="both"/>
        <w:rPr>
          <w:sz w:val="28"/>
          <w:szCs w:val="28"/>
        </w:rPr>
      </w:pPr>
      <w:r>
        <w:rPr>
          <w:sz w:val="28"/>
          <w:szCs w:val="28"/>
        </w:rPr>
        <w:t xml:space="preserve">Направить информацию о результатах контрольного мероприятия в Совет Фонда и учредителю Фонда - Аппарату Губернатора и Правительства Чукотского автономного округа. </w:t>
      </w:r>
    </w:p>
    <w:p w:rsidR="000B7B23" w:rsidRDefault="000B7B23" w:rsidP="00C404B9">
      <w:pPr>
        <w:numPr>
          <w:ilvl w:val="0"/>
          <w:numId w:val="5"/>
        </w:numPr>
        <w:tabs>
          <w:tab w:val="left" w:pos="993"/>
        </w:tabs>
        <w:spacing w:beforeLines="60" w:before="144"/>
        <w:ind w:left="0" w:firstLine="708"/>
        <w:jc w:val="both"/>
        <w:rPr>
          <w:sz w:val="28"/>
          <w:szCs w:val="28"/>
        </w:rPr>
      </w:pPr>
      <w:r>
        <w:rPr>
          <w:sz w:val="28"/>
          <w:szCs w:val="28"/>
        </w:rPr>
        <w:t xml:space="preserve">Направить копию акта контрольного мероприятия в Попечительский Совет Фонда </w:t>
      </w:r>
      <w:r>
        <w:rPr>
          <w:color w:val="000000"/>
          <w:sz w:val="28"/>
          <w:szCs w:val="28"/>
        </w:rPr>
        <w:t>для рассмотрения на заседании Попечительского совета Фонда и принятия решений в соответствии с установленными пунктом 9.10. Устава Фонда полномочиями.</w:t>
      </w:r>
    </w:p>
    <w:p w:rsidR="000B7B23" w:rsidRPr="00665783" w:rsidRDefault="000B7B23" w:rsidP="004F7088">
      <w:pPr>
        <w:pStyle w:val="ConsPlusNonformat"/>
        <w:spacing w:before="80"/>
        <w:ind w:firstLine="709"/>
        <w:jc w:val="both"/>
        <w:rPr>
          <w:rFonts w:ascii="Times New Roman" w:hAnsi="Times New Roman" w:cs="Times New Roman"/>
          <w:sz w:val="28"/>
          <w:szCs w:val="28"/>
        </w:rPr>
      </w:pPr>
      <w:r w:rsidRPr="00665783">
        <w:rPr>
          <w:rFonts w:ascii="Times New Roman" w:hAnsi="Times New Roman" w:cs="Times New Roman"/>
          <w:sz w:val="28"/>
          <w:szCs w:val="28"/>
        </w:rPr>
        <w:t xml:space="preserve">3. Направить материалы </w:t>
      </w:r>
      <w:bookmarkStart w:id="84" w:name="_Hlk104892696"/>
      <w:r w:rsidRPr="00665783">
        <w:rPr>
          <w:rFonts w:ascii="Times New Roman" w:hAnsi="Times New Roman" w:cs="Times New Roman"/>
          <w:sz w:val="28"/>
          <w:szCs w:val="28"/>
        </w:rPr>
        <w:t xml:space="preserve">по результатам контрольного мероприятия </w:t>
      </w:r>
      <w:r w:rsidRPr="00665783">
        <w:rPr>
          <w:rFonts w:ascii="Times New Roman" w:hAnsi="Times New Roman" w:cs="Times New Roman"/>
          <w:color w:val="000000"/>
          <w:sz w:val="28"/>
          <w:szCs w:val="28"/>
        </w:rPr>
        <w:t xml:space="preserve">«Проверка финансово-хозяйственной деятельности Некоммерческой организации «Фонд поддержки молодежи» за 2019-2021 годы» </w:t>
      </w:r>
      <w:bookmarkEnd w:id="84"/>
      <w:r>
        <w:rPr>
          <w:rFonts w:ascii="Times New Roman" w:hAnsi="Times New Roman" w:cs="Times New Roman"/>
          <w:color w:val="000000"/>
          <w:sz w:val="28"/>
          <w:szCs w:val="28"/>
        </w:rPr>
        <w:t xml:space="preserve">в </w:t>
      </w:r>
      <w:r w:rsidRPr="00665783">
        <w:rPr>
          <w:rFonts w:ascii="Times New Roman" w:hAnsi="Times New Roman" w:cs="Times New Roman"/>
          <w:color w:val="000000"/>
          <w:sz w:val="28"/>
          <w:szCs w:val="28"/>
        </w:rPr>
        <w:t xml:space="preserve">УМВД </w:t>
      </w:r>
      <w:r w:rsidRPr="00665783">
        <w:rPr>
          <w:rFonts w:ascii="Times New Roman" w:hAnsi="Times New Roman" w:cs="Times New Roman"/>
          <w:sz w:val="28"/>
          <w:szCs w:val="28"/>
        </w:rPr>
        <w:t>по Чукотскому автономному округу для принятия необходимых мер реагирования по фактам, содержащим признаки риска ущерба окружному бюджету.</w:t>
      </w:r>
    </w:p>
    <w:bookmarkEnd w:id="83"/>
    <w:p w:rsidR="00231761" w:rsidRPr="00E41EBF" w:rsidRDefault="00231761" w:rsidP="00231761">
      <w:pPr>
        <w:jc w:val="center"/>
        <w:rPr>
          <w:b/>
          <w:sz w:val="28"/>
          <w:szCs w:val="28"/>
        </w:rPr>
      </w:pPr>
      <w:r>
        <w:rPr>
          <w:b/>
          <w:sz w:val="28"/>
          <w:szCs w:val="28"/>
        </w:rPr>
        <w:t>ОТЧЕТ</w:t>
      </w:r>
    </w:p>
    <w:p w:rsidR="00231761" w:rsidRPr="00D259DE" w:rsidRDefault="00231761" w:rsidP="00231761">
      <w:pPr>
        <w:pStyle w:val="6"/>
        <w:jc w:val="center"/>
        <w:rPr>
          <w:rFonts w:ascii="Times New Roman" w:hAnsi="Times New Roman"/>
          <w:color w:val="000000"/>
          <w:sz w:val="28"/>
          <w:szCs w:val="28"/>
        </w:rPr>
      </w:pPr>
      <w:r w:rsidRPr="00D259DE">
        <w:rPr>
          <w:rFonts w:ascii="Times New Roman" w:hAnsi="Times New Roman"/>
          <w:sz w:val="28"/>
          <w:szCs w:val="28"/>
        </w:rPr>
        <w:t xml:space="preserve">по результатам </w:t>
      </w:r>
      <w:r w:rsidRPr="00D259DE">
        <w:rPr>
          <w:rFonts w:ascii="Times New Roman" w:hAnsi="Times New Roman"/>
          <w:snapToGrid w:val="0"/>
          <w:sz w:val="28"/>
          <w:szCs w:val="28"/>
        </w:rPr>
        <w:t>контрольного мероприятия</w:t>
      </w:r>
      <w:r w:rsidRPr="00D259DE">
        <w:rPr>
          <w:rFonts w:ascii="Times New Roman" w:hAnsi="Times New Roman"/>
          <w:color w:val="000000"/>
          <w:sz w:val="28"/>
          <w:szCs w:val="28"/>
        </w:rPr>
        <w:t xml:space="preserve"> </w:t>
      </w:r>
    </w:p>
    <w:p w:rsidR="00231761" w:rsidRPr="00E41EBF" w:rsidRDefault="00231761" w:rsidP="00231761">
      <w:pPr>
        <w:jc w:val="center"/>
      </w:pPr>
      <w:r w:rsidRPr="00597A42">
        <w:rPr>
          <w:b/>
          <w:bCs/>
          <w:color w:val="000000"/>
          <w:sz w:val="28"/>
          <w:szCs w:val="28"/>
        </w:rPr>
        <w:t xml:space="preserve">«Проверка законности </w:t>
      </w:r>
      <w:r w:rsidRPr="00183A38">
        <w:rPr>
          <w:b/>
          <w:bCs/>
          <w:color w:val="000000"/>
          <w:sz w:val="28"/>
          <w:szCs w:val="28"/>
        </w:rPr>
        <w:t>предоставления и эффективности использования</w:t>
      </w:r>
      <w:r w:rsidRPr="00597A42">
        <w:rPr>
          <w:b/>
          <w:bCs/>
          <w:color w:val="000000"/>
          <w:sz w:val="28"/>
          <w:szCs w:val="28"/>
        </w:rPr>
        <w:t xml:space="preserve"> средств окружного бюджета, направленных в 2020-2021 годах на реализацию подпрограммы «Развитие угольной промышленности» Государственной программы «Развитие энергетики Чукотского автономного округа»</w:t>
      </w:r>
    </w:p>
    <w:p w:rsidR="00231761" w:rsidRPr="00E41EBF" w:rsidRDefault="00231761" w:rsidP="00231761">
      <w:pPr>
        <w:jc w:val="center"/>
      </w:pPr>
    </w:p>
    <w:p w:rsidR="00231761" w:rsidRPr="00FE20C9" w:rsidRDefault="00231761" w:rsidP="00231761">
      <w:pPr>
        <w:tabs>
          <w:tab w:val="left" w:pos="8222"/>
        </w:tabs>
        <w:jc w:val="center"/>
        <w:rPr>
          <w:sz w:val="20"/>
          <w:szCs w:val="20"/>
        </w:rPr>
      </w:pPr>
      <w:r w:rsidRPr="00FE20C9">
        <w:rPr>
          <w:sz w:val="20"/>
          <w:szCs w:val="20"/>
        </w:rPr>
        <w:t>(утвержден решением Коллегии Счетной палаты Чукотского автономного округа,</w:t>
      </w:r>
    </w:p>
    <w:p w:rsidR="00231761" w:rsidRPr="00FE20C9" w:rsidRDefault="00231761" w:rsidP="00231761">
      <w:pPr>
        <w:tabs>
          <w:tab w:val="left" w:pos="8222"/>
        </w:tabs>
        <w:jc w:val="center"/>
        <w:rPr>
          <w:sz w:val="20"/>
          <w:szCs w:val="20"/>
        </w:rPr>
      </w:pPr>
      <w:r w:rsidRPr="00FE20C9">
        <w:rPr>
          <w:sz w:val="20"/>
          <w:szCs w:val="20"/>
        </w:rPr>
        <w:t xml:space="preserve">протокол от 31 </w:t>
      </w:r>
      <w:r>
        <w:rPr>
          <w:sz w:val="20"/>
          <w:szCs w:val="20"/>
        </w:rPr>
        <w:t>мая</w:t>
      </w:r>
      <w:r w:rsidRPr="00FE20C9">
        <w:rPr>
          <w:sz w:val="20"/>
          <w:szCs w:val="20"/>
        </w:rPr>
        <w:t xml:space="preserve"> 202</w:t>
      </w:r>
      <w:r>
        <w:rPr>
          <w:sz w:val="20"/>
          <w:szCs w:val="20"/>
        </w:rPr>
        <w:t>2</w:t>
      </w:r>
      <w:r w:rsidRPr="00FE20C9">
        <w:rPr>
          <w:sz w:val="20"/>
          <w:szCs w:val="20"/>
        </w:rPr>
        <w:t xml:space="preserve"> года №</w:t>
      </w:r>
      <w:r>
        <w:rPr>
          <w:sz w:val="20"/>
          <w:szCs w:val="20"/>
        </w:rPr>
        <w:t>11</w:t>
      </w:r>
      <w:r w:rsidRPr="00FE20C9">
        <w:rPr>
          <w:sz w:val="20"/>
          <w:szCs w:val="20"/>
        </w:rPr>
        <w:t>)</w:t>
      </w:r>
    </w:p>
    <w:p w:rsidR="00231761" w:rsidRPr="00E41EBF" w:rsidRDefault="00231761" w:rsidP="00231761">
      <w:pPr>
        <w:tabs>
          <w:tab w:val="left" w:pos="8222"/>
        </w:tabs>
        <w:jc w:val="center"/>
        <w:rPr>
          <w:sz w:val="28"/>
          <w:szCs w:val="28"/>
        </w:rPr>
      </w:pPr>
      <w:r w:rsidRPr="00FE20C9">
        <w:rPr>
          <w:sz w:val="28"/>
          <w:szCs w:val="28"/>
        </w:rPr>
        <w:t>31 мая 2022 года</w:t>
      </w:r>
      <w:r w:rsidRPr="00E41EBF">
        <w:rPr>
          <w:sz w:val="28"/>
          <w:szCs w:val="28"/>
        </w:rPr>
        <w:t xml:space="preserve"> </w:t>
      </w:r>
      <w:r w:rsidRPr="00E41EBF">
        <w:rPr>
          <w:sz w:val="28"/>
          <w:szCs w:val="28"/>
        </w:rPr>
        <w:tab/>
        <w:t>г. Анадырь</w:t>
      </w:r>
    </w:p>
    <w:p w:rsidR="00231761" w:rsidRPr="00E72BA2" w:rsidRDefault="00231761" w:rsidP="00231761">
      <w:pPr>
        <w:jc w:val="both"/>
        <w:rPr>
          <w:sz w:val="6"/>
          <w:szCs w:val="6"/>
        </w:rPr>
      </w:pPr>
    </w:p>
    <w:p w:rsidR="00231761" w:rsidRPr="00132CEF" w:rsidRDefault="00231761" w:rsidP="00231761">
      <w:pPr>
        <w:ind w:right="-31" w:firstLine="708"/>
        <w:jc w:val="both"/>
        <w:rPr>
          <w:rFonts w:eastAsia="Calibri"/>
          <w:sz w:val="28"/>
          <w:szCs w:val="28"/>
        </w:rPr>
      </w:pPr>
      <w:r w:rsidRPr="00132CEF">
        <w:rPr>
          <w:b/>
          <w:bCs/>
          <w:sz w:val="28"/>
          <w:szCs w:val="28"/>
        </w:rPr>
        <w:t xml:space="preserve">1. Основание для проведения контрольного мероприятия: </w:t>
      </w:r>
      <w:r w:rsidRPr="00132CEF">
        <w:rPr>
          <w:rFonts w:eastAsia="Calibri"/>
          <w:sz w:val="28"/>
          <w:szCs w:val="28"/>
        </w:rPr>
        <w:t>пункт 1.</w:t>
      </w:r>
      <w:r>
        <w:rPr>
          <w:rFonts w:eastAsia="Calibri"/>
          <w:sz w:val="28"/>
          <w:szCs w:val="28"/>
        </w:rPr>
        <w:t>15</w:t>
      </w:r>
      <w:r w:rsidRPr="00132CEF">
        <w:rPr>
          <w:rFonts w:eastAsia="Calibri"/>
          <w:sz w:val="28"/>
          <w:szCs w:val="28"/>
        </w:rPr>
        <w:t>. Плана работы Счетной палаты Чукотского автономного округа на 202</w:t>
      </w:r>
      <w:r>
        <w:rPr>
          <w:rFonts w:eastAsia="Calibri"/>
          <w:sz w:val="28"/>
          <w:szCs w:val="28"/>
        </w:rPr>
        <w:t>2</w:t>
      </w:r>
      <w:r w:rsidRPr="00132CEF">
        <w:rPr>
          <w:rFonts w:eastAsia="Calibri"/>
          <w:sz w:val="28"/>
          <w:szCs w:val="28"/>
        </w:rPr>
        <w:t xml:space="preserve"> год, утвержденного решением Коллегии Счетной палаты Чукотского автономного округа (протокол от 28 декабря 202</w:t>
      </w:r>
      <w:r>
        <w:rPr>
          <w:rFonts w:eastAsia="Calibri"/>
          <w:sz w:val="28"/>
          <w:szCs w:val="28"/>
        </w:rPr>
        <w:t>1</w:t>
      </w:r>
      <w:r w:rsidRPr="00132CEF">
        <w:rPr>
          <w:rFonts w:eastAsia="Calibri"/>
          <w:sz w:val="28"/>
          <w:szCs w:val="28"/>
        </w:rPr>
        <w:t xml:space="preserve"> года №</w:t>
      </w:r>
      <w:r>
        <w:rPr>
          <w:rFonts w:eastAsia="Calibri"/>
          <w:sz w:val="28"/>
          <w:szCs w:val="28"/>
        </w:rPr>
        <w:t>32</w:t>
      </w:r>
      <w:r w:rsidRPr="00132CEF">
        <w:rPr>
          <w:rFonts w:eastAsia="Calibri"/>
          <w:sz w:val="28"/>
          <w:szCs w:val="28"/>
        </w:rPr>
        <w:t xml:space="preserve">). </w:t>
      </w:r>
    </w:p>
    <w:p w:rsidR="00231761" w:rsidRPr="00E72BA2" w:rsidRDefault="00231761" w:rsidP="00231761">
      <w:pPr>
        <w:ind w:right="-2" w:firstLine="708"/>
        <w:jc w:val="both"/>
        <w:rPr>
          <w:sz w:val="6"/>
          <w:szCs w:val="6"/>
        </w:rPr>
      </w:pPr>
    </w:p>
    <w:p w:rsidR="00231761" w:rsidRPr="00231761" w:rsidRDefault="00231761" w:rsidP="00231761">
      <w:pPr>
        <w:ind w:firstLine="709"/>
        <w:jc w:val="both"/>
        <w:rPr>
          <w:sz w:val="28"/>
          <w:szCs w:val="28"/>
        </w:rPr>
      </w:pPr>
      <w:r w:rsidRPr="00132CEF">
        <w:rPr>
          <w:b/>
          <w:bCs/>
          <w:sz w:val="28"/>
          <w:szCs w:val="28"/>
        </w:rPr>
        <w:t xml:space="preserve">2. Предмет контрольного мероприятия: </w:t>
      </w:r>
      <w:r w:rsidRPr="00B233DC">
        <w:rPr>
          <w:sz w:val="28"/>
          <w:szCs w:val="28"/>
        </w:rPr>
        <w:t>деятельность объектов контрольного мероприятия по предоставлению и использованию средств, направленных из окружного бюджета в форме субсидий юридическим лицам – предприятиям угольной промышленности, занимающимся добычей угля подземным способом, на возмещение затрат, связанных с техническим перевооружением и на финансовое обеспечение затрат, связанных с техническим перевооружением в рамках реализации подпрограммы «Развитие угольной промышленности» Государственной программы «Развитие энергетики Чукотского автономного округа»;</w:t>
      </w:r>
    </w:p>
    <w:p w:rsidR="00231761" w:rsidRPr="00B233DC" w:rsidRDefault="00231761" w:rsidP="00231761">
      <w:pPr>
        <w:ind w:firstLine="709"/>
        <w:jc w:val="both"/>
        <w:rPr>
          <w:sz w:val="28"/>
          <w:szCs w:val="28"/>
        </w:rPr>
      </w:pPr>
      <w:r w:rsidRPr="00B233DC">
        <w:rPr>
          <w:sz w:val="28"/>
          <w:szCs w:val="28"/>
        </w:rPr>
        <w:t>бухгалтерская, бюджетная, финансовая, статистическая и иная отчетность объектов контрольного мероприятия, первичные и иные документы по операциям с использованием предусмотренных средств.</w:t>
      </w:r>
    </w:p>
    <w:p w:rsidR="00231761" w:rsidRPr="00E72BA2" w:rsidRDefault="00231761" w:rsidP="00231761">
      <w:pPr>
        <w:ind w:firstLine="709"/>
        <w:jc w:val="both"/>
        <w:rPr>
          <w:rFonts w:eastAsia="Calibri"/>
          <w:sz w:val="6"/>
          <w:szCs w:val="6"/>
        </w:rPr>
      </w:pPr>
    </w:p>
    <w:p w:rsidR="00231761" w:rsidRPr="00132CEF" w:rsidRDefault="00231761" w:rsidP="00231761">
      <w:pPr>
        <w:widowControl w:val="0"/>
        <w:autoSpaceDE w:val="0"/>
        <w:autoSpaceDN w:val="0"/>
        <w:adjustRightInd w:val="0"/>
        <w:ind w:firstLine="708"/>
        <w:jc w:val="both"/>
        <w:rPr>
          <w:b/>
          <w:sz w:val="28"/>
          <w:szCs w:val="28"/>
        </w:rPr>
      </w:pPr>
      <w:r w:rsidRPr="00132CEF">
        <w:rPr>
          <w:b/>
          <w:sz w:val="28"/>
          <w:szCs w:val="28"/>
        </w:rPr>
        <w:t xml:space="preserve">3. Цели контрольного мероприятия: </w:t>
      </w:r>
      <w:bookmarkStart w:id="85" w:name="_Hlk51855913"/>
    </w:p>
    <w:p w:rsidR="00231761" w:rsidRPr="00E72BA2" w:rsidRDefault="00231761" w:rsidP="00231761">
      <w:pPr>
        <w:autoSpaceDE w:val="0"/>
        <w:autoSpaceDN w:val="0"/>
        <w:adjustRightInd w:val="0"/>
        <w:ind w:firstLine="709"/>
        <w:jc w:val="both"/>
        <w:rPr>
          <w:sz w:val="6"/>
          <w:szCs w:val="6"/>
        </w:rPr>
      </w:pPr>
    </w:p>
    <w:bookmarkEnd w:id="85"/>
    <w:p w:rsidR="00231761" w:rsidRDefault="00231761" w:rsidP="00231761">
      <w:pPr>
        <w:ind w:firstLine="709"/>
        <w:jc w:val="both"/>
        <w:rPr>
          <w:sz w:val="28"/>
          <w:szCs w:val="28"/>
        </w:rPr>
      </w:pPr>
      <w:r w:rsidRPr="00AA1B89">
        <w:rPr>
          <w:b/>
          <w:sz w:val="28"/>
          <w:szCs w:val="28"/>
        </w:rPr>
        <w:t>3.1. Цель 1</w:t>
      </w:r>
      <w:r>
        <w:rPr>
          <w:sz w:val="28"/>
          <w:szCs w:val="28"/>
        </w:rPr>
        <w:t xml:space="preserve">. </w:t>
      </w:r>
      <w:r w:rsidRPr="0082670A">
        <w:rPr>
          <w:sz w:val="28"/>
          <w:szCs w:val="28"/>
        </w:rPr>
        <w:t>Оценить законность</w:t>
      </w:r>
      <w:r>
        <w:rPr>
          <w:sz w:val="28"/>
          <w:szCs w:val="28"/>
        </w:rPr>
        <w:t xml:space="preserve"> предоставления и</w:t>
      </w:r>
      <w:r w:rsidRPr="0082670A">
        <w:rPr>
          <w:sz w:val="28"/>
          <w:szCs w:val="28"/>
        </w:rPr>
        <w:t xml:space="preserve"> использования средств окружного бюджета, направленных в форме субсидий – предприятиям угольной промышленности, занимающимся добычей угля подземным способом, на возмещение затрат, связанных с техническим перевооружением и на финансовое обеспечение затрат, связанных с техническим перевооружением</w:t>
      </w:r>
      <w:r>
        <w:rPr>
          <w:sz w:val="28"/>
          <w:szCs w:val="28"/>
        </w:rPr>
        <w:t>.</w:t>
      </w:r>
    </w:p>
    <w:p w:rsidR="00231761" w:rsidRPr="00335D0D" w:rsidRDefault="00231761" w:rsidP="00231761">
      <w:pPr>
        <w:ind w:firstLine="709"/>
        <w:jc w:val="both"/>
        <w:rPr>
          <w:b/>
          <w:sz w:val="28"/>
          <w:szCs w:val="28"/>
        </w:rPr>
      </w:pPr>
      <w:r w:rsidRPr="00335D0D">
        <w:rPr>
          <w:b/>
          <w:sz w:val="28"/>
          <w:szCs w:val="28"/>
        </w:rPr>
        <w:t>Вопросы:</w:t>
      </w:r>
    </w:p>
    <w:p w:rsidR="00231761" w:rsidRPr="00F0160A" w:rsidRDefault="00231761" w:rsidP="00231761">
      <w:pPr>
        <w:ind w:firstLine="709"/>
        <w:jc w:val="both"/>
        <w:rPr>
          <w:sz w:val="28"/>
          <w:szCs w:val="28"/>
        </w:rPr>
      </w:pPr>
      <w:r>
        <w:rPr>
          <w:sz w:val="28"/>
          <w:szCs w:val="28"/>
        </w:rPr>
        <w:t>3</w:t>
      </w:r>
      <w:r w:rsidRPr="00335D0D">
        <w:rPr>
          <w:sz w:val="28"/>
          <w:szCs w:val="28"/>
        </w:rPr>
        <w:t>.</w:t>
      </w:r>
      <w:r>
        <w:rPr>
          <w:sz w:val="28"/>
          <w:szCs w:val="28"/>
        </w:rPr>
        <w:t>1</w:t>
      </w:r>
      <w:r w:rsidRPr="00335D0D">
        <w:rPr>
          <w:sz w:val="28"/>
          <w:szCs w:val="28"/>
        </w:rPr>
        <w:t>.</w:t>
      </w:r>
      <w:r w:rsidRPr="00FC15DC">
        <w:rPr>
          <w:sz w:val="28"/>
          <w:szCs w:val="28"/>
        </w:rPr>
        <w:t>1</w:t>
      </w:r>
      <w:r>
        <w:rPr>
          <w:sz w:val="28"/>
          <w:szCs w:val="28"/>
        </w:rPr>
        <w:t>. </w:t>
      </w:r>
      <w:r w:rsidRPr="00335D0D">
        <w:rPr>
          <w:sz w:val="28"/>
          <w:szCs w:val="28"/>
        </w:rPr>
        <w:t xml:space="preserve">Законность </w:t>
      </w:r>
      <w:r>
        <w:rPr>
          <w:sz w:val="28"/>
          <w:szCs w:val="28"/>
        </w:rPr>
        <w:t xml:space="preserve">предоставления и </w:t>
      </w:r>
      <w:r w:rsidRPr="00335D0D">
        <w:rPr>
          <w:sz w:val="28"/>
          <w:szCs w:val="28"/>
        </w:rPr>
        <w:t>использования бюджетных средств, направленных в форме субсидий – предприятиям угольной промышленности, занимающимся добычей угля подземным способом, на возмещение затрат, связанных с техническим перевооружением и на финансовое обеспечение затрат, связанных с техническим перевооружением;</w:t>
      </w:r>
    </w:p>
    <w:p w:rsidR="00231761" w:rsidRDefault="00231761" w:rsidP="00231761">
      <w:pPr>
        <w:pStyle w:val="aff"/>
        <w:ind w:firstLine="709"/>
        <w:rPr>
          <w:sz w:val="28"/>
          <w:szCs w:val="28"/>
        </w:rPr>
      </w:pPr>
      <w:r w:rsidRPr="00AA1B89">
        <w:rPr>
          <w:b/>
          <w:sz w:val="28"/>
          <w:szCs w:val="28"/>
        </w:rPr>
        <w:t>3.2.</w:t>
      </w:r>
      <w:r w:rsidRPr="00AA1B89">
        <w:rPr>
          <w:b/>
        </w:rPr>
        <w:t>  </w:t>
      </w:r>
      <w:r w:rsidRPr="00AA1B89">
        <w:rPr>
          <w:b/>
          <w:sz w:val="28"/>
          <w:szCs w:val="28"/>
        </w:rPr>
        <w:t>Цель 2.</w:t>
      </w:r>
      <w:r>
        <w:rPr>
          <w:sz w:val="28"/>
          <w:szCs w:val="28"/>
        </w:rPr>
        <w:t xml:space="preserve"> Оценить </w:t>
      </w:r>
      <w:r w:rsidRPr="00FC15DC">
        <w:rPr>
          <w:sz w:val="28"/>
          <w:szCs w:val="28"/>
        </w:rPr>
        <w:t>результативност</w:t>
      </w:r>
      <w:r>
        <w:rPr>
          <w:sz w:val="28"/>
          <w:szCs w:val="28"/>
        </w:rPr>
        <w:t xml:space="preserve">ь </w:t>
      </w:r>
      <w:r w:rsidRPr="00FC15DC">
        <w:rPr>
          <w:sz w:val="28"/>
          <w:szCs w:val="28"/>
        </w:rPr>
        <w:t>использования</w:t>
      </w:r>
      <w:r>
        <w:rPr>
          <w:sz w:val="28"/>
          <w:szCs w:val="28"/>
        </w:rPr>
        <w:t xml:space="preserve"> бюджетных средств. </w:t>
      </w:r>
    </w:p>
    <w:p w:rsidR="00231761" w:rsidRPr="00D70F5B" w:rsidRDefault="00231761" w:rsidP="00231761">
      <w:pPr>
        <w:pStyle w:val="aff"/>
        <w:ind w:firstLine="709"/>
        <w:rPr>
          <w:b/>
          <w:sz w:val="28"/>
          <w:szCs w:val="28"/>
        </w:rPr>
      </w:pPr>
      <w:r w:rsidRPr="00D70F5B">
        <w:rPr>
          <w:b/>
          <w:sz w:val="28"/>
          <w:szCs w:val="28"/>
        </w:rPr>
        <w:t>Вопросы</w:t>
      </w:r>
      <w:r>
        <w:rPr>
          <w:b/>
          <w:sz w:val="28"/>
          <w:szCs w:val="28"/>
        </w:rPr>
        <w:t>:</w:t>
      </w:r>
    </w:p>
    <w:p w:rsidR="00231761" w:rsidRDefault="00231761" w:rsidP="00231761">
      <w:pPr>
        <w:ind w:firstLine="708"/>
        <w:jc w:val="both"/>
        <w:rPr>
          <w:rFonts w:eastAsia="Calibri"/>
          <w:sz w:val="28"/>
          <w:szCs w:val="28"/>
        </w:rPr>
      </w:pPr>
      <w:r>
        <w:rPr>
          <w:rFonts w:eastAsia="Calibri"/>
          <w:sz w:val="28"/>
          <w:szCs w:val="28"/>
        </w:rPr>
        <w:t>3.2.1. </w:t>
      </w:r>
      <w:r w:rsidRPr="00D70F5B">
        <w:rPr>
          <w:rFonts w:eastAsia="Calibri"/>
          <w:sz w:val="28"/>
          <w:szCs w:val="28"/>
        </w:rPr>
        <w:t>Оценка результативности</w:t>
      </w:r>
      <w:r>
        <w:rPr>
          <w:rFonts w:eastAsia="Calibri"/>
          <w:sz w:val="28"/>
          <w:szCs w:val="28"/>
        </w:rPr>
        <w:t xml:space="preserve"> </w:t>
      </w:r>
      <w:r w:rsidRPr="00D70F5B">
        <w:rPr>
          <w:rFonts w:eastAsia="Calibri"/>
          <w:sz w:val="28"/>
          <w:szCs w:val="28"/>
        </w:rPr>
        <w:t>использования средств окружного бюджета.</w:t>
      </w:r>
    </w:p>
    <w:p w:rsidR="00231761" w:rsidRPr="003B41AB" w:rsidRDefault="00231761" w:rsidP="00231761">
      <w:pPr>
        <w:ind w:firstLine="708"/>
        <w:jc w:val="both"/>
        <w:rPr>
          <w:rFonts w:eastAsia="Calibri"/>
          <w:sz w:val="16"/>
          <w:szCs w:val="16"/>
        </w:rPr>
      </w:pPr>
    </w:p>
    <w:p w:rsidR="00231761" w:rsidRDefault="00231761" w:rsidP="00231761">
      <w:pPr>
        <w:tabs>
          <w:tab w:val="left" w:pos="709"/>
        </w:tabs>
        <w:jc w:val="both"/>
        <w:rPr>
          <w:b/>
          <w:bCs/>
          <w:sz w:val="28"/>
          <w:szCs w:val="28"/>
        </w:rPr>
      </w:pPr>
      <w:r w:rsidRPr="00132CEF">
        <w:rPr>
          <w:rFonts w:eastAsia="Calibri"/>
          <w:sz w:val="28"/>
          <w:szCs w:val="28"/>
        </w:rPr>
        <w:lastRenderedPageBreak/>
        <w:tab/>
      </w:r>
      <w:r w:rsidRPr="00132CEF">
        <w:rPr>
          <w:b/>
          <w:sz w:val="28"/>
          <w:szCs w:val="28"/>
        </w:rPr>
        <w:t>5.</w:t>
      </w:r>
      <w:r w:rsidRPr="00132CEF">
        <w:rPr>
          <w:sz w:val="28"/>
          <w:szCs w:val="28"/>
        </w:rPr>
        <w:t> </w:t>
      </w:r>
      <w:r w:rsidRPr="00132CEF">
        <w:rPr>
          <w:b/>
          <w:sz w:val="28"/>
          <w:szCs w:val="28"/>
        </w:rPr>
        <w:t>Объект</w:t>
      </w:r>
      <w:r>
        <w:rPr>
          <w:b/>
          <w:sz w:val="28"/>
          <w:szCs w:val="28"/>
        </w:rPr>
        <w:t>ы</w:t>
      </w:r>
      <w:r w:rsidRPr="00132CEF">
        <w:rPr>
          <w:b/>
          <w:sz w:val="28"/>
          <w:szCs w:val="28"/>
        </w:rPr>
        <w:t xml:space="preserve"> </w:t>
      </w:r>
      <w:r w:rsidRPr="00132CEF">
        <w:rPr>
          <w:b/>
          <w:bCs/>
          <w:sz w:val="28"/>
          <w:szCs w:val="28"/>
        </w:rPr>
        <w:t xml:space="preserve">контрольного мероприятия: </w:t>
      </w:r>
    </w:p>
    <w:p w:rsidR="00231761" w:rsidRDefault="00231761" w:rsidP="00231761">
      <w:pPr>
        <w:tabs>
          <w:tab w:val="left" w:pos="709"/>
        </w:tabs>
        <w:jc w:val="both"/>
        <w:rPr>
          <w:sz w:val="28"/>
          <w:szCs w:val="28"/>
        </w:rPr>
      </w:pPr>
      <w:r>
        <w:rPr>
          <w:sz w:val="28"/>
          <w:szCs w:val="28"/>
        </w:rPr>
        <w:tab/>
        <w:t>- </w:t>
      </w:r>
      <w:r w:rsidRPr="00132CEF">
        <w:rPr>
          <w:sz w:val="28"/>
          <w:szCs w:val="28"/>
        </w:rPr>
        <w:t>Департамент промышленной политики Чукотского автономного округа (далее – Департамент промышленности, Департамент)</w:t>
      </w:r>
      <w:bookmarkStart w:id="86" w:name="_Hlk74737048"/>
      <w:r>
        <w:rPr>
          <w:sz w:val="28"/>
          <w:szCs w:val="28"/>
        </w:rPr>
        <w:t>;</w:t>
      </w:r>
    </w:p>
    <w:p w:rsidR="00231761" w:rsidRDefault="00231761" w:rsidP="00231761">
      <w:pPr>
        <w:tabs>
          <w:tab w:val="left" w:pos="709"/>
        </w:tabs>
        <w:jc w:val="both"/>
        <w:rPr>
          <w:sz w:val="28"/>
          <w:szCs w:val="28"/>
        </w:rPr>
      </w:pPr>
      <w:r>
        <w:rPr>
          <w:sz w:val="28"/>
          <w:szCs w:val="28"/>
        </w:rPr>
        <w:tab/>
        <w:t>- </w:t>
      </w:r>
      <w:r w:rsidRPr="00BA3DAC">
        <w:rPr>
          <w:sz w:val="28"/>
          <w:szCs w:val="28"/>
        </w:rPr>
        <w:t xml:space="preserve">Открытое акционерное общество «Шахта «Угольная» (далее – </w:t>
      </w:r>
      <w:r>
        <w:rPr>
          <w:sz w:val="28"/>
          <w:szCs w:val="28"/>
        </w:rPr>
        <w:br/>
      </w:r>
      <w:r w:rsidRPr="00BA3DAC">
        <w:rPr>
          <w:sz w:val="28"/>
          <w:szCs w:val="28"/>
        </w:rPr>
        <w:t>ОАО «Шахта «Угольная»)</w:t>
      </w:r>
      <w:r>
        <w:rPr>
          <w:sz w:val="28"/>
          <w:szCs w:val="28"/>
        </w:rPr>
        <w:t xml:space="preserve"> (</w:t>
      </w:r>
      <w:proofErr w:type="spellStart"/>
      <w:r>
        <w:rPr>
          <w:sz w:val="28"/>
          <w:szCs w:val="28"/>
        </w:rPr>
        <w:t>камерально</w:t>
      </w:r>
      <w:proofErr w:type="spellEnd"/>
      <w:r>
        <w:rPr>
          <w:sz w:val="28"/>
          <w:szCs w:val="28"/>
        </w:rPr>
        <w:t>)</w:t>
      </w:r>
      <w:r w:rsidRPr="00BA3DAC">
        <w:rPr>
          <w:sz w:val="28"/>
          <w:szCs w:val="28"/>
        </w:rPr>
        <w:t>.</w:t>
      </w:r>
    </w:p>
    <w:p w:rsidR="00231761" w:rsidRPr="00E72BA2" w:rsidRDefault="00231761" w:rsidP="00231761">
      <w:pPr>
        <w:tabs>
          <w:tab w:val="left" w:pos="709"/>
        </w:tabs>
        <w:jc w:val="both"/>
        <w:rPr>
          <w:sz w:val="6"/>
          <w:szCs w:val="6"/>
        </w:rPr>
      </w:pPr>
    </w:p>
    <w:p w:rsidR="00231761" w:rsidRPr="00132CEF" w:rsidRDefault="00231761" w:rsidP="00231761">
      <w:pPr>
        <w:tabs>
          <w:tab w:val="left" w:pos="709"/>
        </w:tabs>
        <w:jc w:val="both"/>
        <w:rPr>
          <w:sz w:val="28"/>
          <w:szCs w:val="28"/>
        </w:rPr>
      </w:pPr>
      <w:r>
        <w:rPr>
          <w:sz w:val="28"/>
          <w:szCs w:val="28"/>
        </w:rPr>
        <w:tab/>
      </w:r>
      <w:r w:rsidRPr="003B41AB">
        <w:rPr>
          <w:b/>
          <w:sz w:val="28"/>
          <w:szCs w:val="28"/>
        </w:rPr>
        <w:t>6. Проверяемый период деятельности:</w:t>
      </w:r>
      <w:r w:rsidRPr="003B41AB">
        <w:rPr>
          <w:sz w:val="28"/>
          <w:szCs w:val="28"/>
        </w:rPr>
        <w:t xml:space="preserve"> 2020 – 2021 годы.</w:t>
      </w:r>
    </w:p>
    <w:p w:rsidR="00231761" w:rsidRPr="00E72BA2" w:rsidRDefault="00231761" w:rsidP="00231761">
      <w:pPr>
        <w:tabs>
          <w:tab w:val="left" w:pos="709"/>
        </w:tabs>
        <w:jc w:val="both"/>
        <w:rPr>
          <w:bCs/>
          <w:sz w:val="6"/>
          <w:szCs w:val="6"/>
        </w:rPr>
      </w:pPr>
      <w:r w:rsidRPr="00132CEF">
        <w:rPr>
          <w:sz w:val="28"/>
          <w:szCs w:val="28"/>
        </w:rPr>
        <w:tab/>
      </w:r>
      <w:bookmarkEnd w:id="86"/>
    </w:p>
    <w:p w:rsidR="00231761" w:rsidRDefault="00231761" w:rsidP="00231761">
      <w:pPr>
        <w:ind w:firstLine="709"/>
        <w:jc w:val="both"/>
        <w:rPr>
          <w:sz w:val="28"/>
          <w:szCs w:val="28"/>
        </w:rPr>
      </w:pPr>
      <w:r>
        <w:rPr>
          <w:b/>
          <w:bCs/>
          <w:sz w:val="28"/>
          <w:szCs w:val="28"/>
        </w:rPr>
        <w:t>7</w:t>
      </w:r>
      <w:r w:rsidRPr="00132CEF">
        <w:rPr>
          <w:b/>
          <w:bCs/>
          <w:sz w:val="28"/>
          <w:szCs w:val="28"/>
        </w:rPr>
        <w:t xml:space="preserve">. Сроки проверки: </w:t>
      </w:r>
      <w:r w:rsidRPr="00132CEF">
        <w:rPr>
          <w:sz w:val="28"/>
          <w:szCs w:val="28"/>
        </w:rPr>
        <w:t xml:space="preserve">с </w:t>
      </w:r>
      <w:r>
        <w:rPr>
          <w:sz w:val="28"/>
          <w:szCs w:val="28"/>
        </w:rPr>
        <w:t>18</w:t>
      </w:r>
      <w:r w:rsidRPr="00132CEF">
        <w:rPr>
          <w:sz w:val="28"/>
          <w:szCs w:val="28"/>
        </w:rPr>
        <w:t xml:space="preserve"> </w:t>
      </w:r>
      <w:r>
        <w:rPr>
          <w:sz w:val="28"/>
          <w:szCs w:val="28"/>
        </w:rPr>
        <w:t>апреля</w:t>
      </w:r>
      <w:r w:rsidRPr="00132CEF">
        <w:rPr>
          <w:sz w:val="28"/>
          <w:szCs w:val="28"/>
        </w:rPr>
        <w:t xml:space="preserve"> </w:t>
      </w:r>
      <w:r w:rsidRPr="00515F83">
        <w:rPr>
          <w:sz w:val="28"/>
          <w:szCs w:val="28"/>
        </w:rPr>
        <w:t xml:space="preserve">по </w:t>
      </w:r>
      <w:r>
        <w:rPr>
          <w:sz w:val="28"/>
          <w:szCs w:val="28"/>
        </w:rPr>
        <w:t>31</w:t>
      </w:r>
      <w:r w:rsidRPr="00515F83">
        <w:rPr>
          <w:sz w:val="28"/>
          <w:szCs w:val="28"/>
        </w:rPr>
        <w:t xml:space="preserve"> мая</w:t>
      </w:r>
      <w:r w:rsidRPr="00132CEF">
        <w:rPr>
          <w:sz w:val="28"/>
          <w:szCs w:val="28"/>
        </w:rPr>
        <w:t xml:space="preserve"> 202</w:t>
      </w:r>
      <w:r>
        <w:rPr>
          <w:sz w:val="28"/>
          <w:szCs w:val="28"/>
        </w:rPr>
        <w:t>2</w:t>
      </w:r>
      <w:r w:rsidRPr="00132CEF">
        <w:rPr>
          <w:sz w:val="28"/>
          <w:szCs w:val="28"/>
        </w:rPr>
        <w:t xml:space="preserve"> года.</w:t>
      </w:r>
    </w:p>
    <w:p w:rsidR="00231761" w:rsidRPr="00E72BA2" w:rsidRDefault="00231761" w:rsidP="00231761">
      <w:pPr>
        <w:ind w:firstLine="709"/>
        <w:jc w:val="both"/>
        <w:rPr>
          <w:b/>
          <w:bCs/>
          <w:sz w:val="6"/>
          <w:szCs w:val="6"/>
        </w:rPr>
      </w:pPr>
    </w:p>
    <w:p w:rsidR="00231761" w:rsidRDefault="00231761" w:rsidP="00231761">
      <w:pPr>
        <w:ind w:firstLine="708"/>
        <w:jc w:val="both"/>
        <w:rPr>
          <w:b/>
          <w:sz w:val="28"/>
          <w:szCs w:val="28"/>
        </w:rPr>
      </w:pPr>
      <w:r w:rsidRPr="00231761">
        <w:rPr>
          <w:b/>
          <w:sz w:val="28"/>
          <w:szCs w:val="28"/>
        </w:rPr>
        <w:t>8</w:t>
      </w:r>
      <w:r>
        <w:rPr>
          <w:b/>
          <w:sz w:val="28"/>
          <w:szCs w:val="28"/>
        </w:rPr>
        <w:t>.</w:t>
      </w:r>
      <w:r w:rsidRPr="00027B83">
        <w:rPr>
          <w:b/>
          <w:sz w:val="28"/>
          <w:szCs w:val="28"/>
        </w:rPr>
        <w:t xml:space="preserve"> </w:t>
      </w:r>
      <w:r>
        <w:rPr>
          <w:b/>
          <w:sz w:val="28"/>
          <w:szCs w:val="28"/>
        </w:rPr>
        <w:t>Краткая характеристика проверяемой сферы.</w:t>
      </w:r>
    </w:p>
    <w:p w:rsidR="00231761" w:rsidRPr="00E72BA2" w:rsidRDefault="00231761" w:rsidP="00231761">
      <w:pPr>
        <w:ind w:firstLine="708"/>
        <w:jc w:val="both"/>
        <w:rPr>
          <w:b/>
          <w:sz w:val="6"/>
          <w:szCs w:val="6"/>
        </w:rPr>
      </w:pPr>
    </w:p>
    <w:p w:rsidR="00231761" w:rsidRDefault="00231761" w:rsidP="00231761">
      <w:pPr>
        <w:autoSpaceDE w:val="0"/>
        <w:autoSpaceDN w:val="0"/>
        <w:adjustRightInd w:val="0"/>
        <w:ind w:firstLine="709"/>
        <w:jc w:val="both"/>
        <w:rPr>
          <w:bCs/>
          <w:sz w:val="28"/>
          <w:szCs w:val="28"/>
        </w:rPr>
      </w:pPr>
      <w:r>
        <w:rPr>
          <w:bCs/>
          <w:sz w:val="28"/>
          <w:szCs w:val="28"/>
        </w:rPr>
        <w:t>В</w:t>
      </w:r>
      <w:r w:rsidRPr="00027B83">
        <w:rPr>
          <w:bCs/>
          <w:sz w:val="28"/>
          <w:szCs w:val="28"/>
        </w:rPr>
        <w:t xml:space="preserve"> Чукотском автономном округе действует единственное угледобывающее предприятие, занимающееся добычей угля подземным способом</w:t>
      </w:r>
      <w:r>
        <w:rPr>
          <w:bCs/>
          <w:sz w:val="28"/>
          <w:szCs w:val="28"/>
        </w:rPr>
        <w:t xml:space="preserve"> – </w:t>
      </w:r>
      <w:r>
        <w:rPr>
          <w:sz w:val="28"/>
          <w:szCs w:val="28"/>
        </w:rPr>
        <w:t>ОАО «Шахта «Угольная»</w:t>
      </w:r>
      <w:r>
        <w:rPr>
          <w:rStyle w:val="ab"/>
          <w:sz w:val="28"/>
          <w:szCs w:val="28"/>
        </w:rPr>
        <w:footnoteReference w:id="155"/>
      </w:r>
      <w:r>
        <w:rPr>
          <w:sz w:val="28"/>
          <w:szCs w:val="28"/>
        </w:rPr>
        <w:t>,</w:t>
      </w:r>
      <w:r w:rsidRPr="00027B83">
        <w:rPr>
          <w:bCs/>
          <w:sz w:val="28"/>
          <w:szCs w:val="28"/>
        </w:rPr>
        <w:t xml:space="preserve"> которое отрабатывает запасы буроугольного месторождения </w:t>
      </w:r>
      <w:r>
        <w:rPr>
          <w:bCs/>
          <w:sz w:val="28"/>
          <w:szCs w:val="28"/>
        </w:rPr>
        <w:t>«</w:t>
      </w:r>
      <w:r w:rsidRPr="00027B83">
        <w:rPr>
          <w:bCs/>
          <w:sz w:val="28"/>
          <w:szCs w:val="28"/>
        </w:rPr>
        <w:t>Анадырское</w:t>
      </w:r>
      <w:r w:rsidRPr="00064A64">
        <w:rPr>
          <w:bCs/>
          <w:sz w:val="28"/>
          <w:szCs w:val="28"/>
        </w:rPr>
        <w:t>» с 2000 года. Уголь</w:t>
      </w:r>
      <w:r>
        <w:rPr>
          <w:bCs/>
          <w:sz w:val="28"/>
          <w:szCs w:val="28"/>
        </w:rPr>
        <w:t>, добываемый предприятием, имеет огромное значение для экономики округа поскольку является основным энергетическим сырьем в Чукотском автономном округе.</w:t>
      </w:r>
      <w:r w:rsidR="00E72BA2">
        <w:rPr>
          <w:bCs/>
          <w:sz w:val="28"/>
          <w:szCs w:val="28"/>
        </w:rPr>
        <w:t xml:space="preserve"> </w:t>
      </w:r>
      <w:r w:rsidRPr="00027B83">
        <w:rPr>
          <w:bCs/>
          <w:sz w:val="28"/>
          <w:szCs w:val="28"/>
        </w:rPr>
        <w:t>За длительное время работы оборудование шахты морально и физически устарело, что не позволяет предприятию добиваться высокой экономической эффективности. С 2017 года произошло снижение добычи</w:t>
      </w:r>
      <w:r>
        <w:rPr>
          <w:bCs/>
          <w:sz w:val="28"/>
          <w:szCs w:val="28"/>
        </w:rPr>
        <w:t xml:space="preserve"> угля</w:t>
      </w:r>
      <w:r w:rsidRPr="00027B83">
        <w:rPr>
          <w:bCs/>
          <w:sz w:val="28"/>
          <w:szCs w:val="28"/>
        </w:rPr>
        <w:t xml:space="preserve"> </w:t>
      </w:r>
      <w:r w:rsidRPr="00064A64">
        <w:rPr>
          <w:bCs/>
          <w:sz w:val="28"/>
          <w:szCs w:val="28"/>
        </w:rPr>
        <w:t>с 189 тыс. тонн до 82,63 тыс. тонн в 2019 году. Учитывая социальную значимость угледобывающего</w:t>
      </w:r>
      <w:r w:rsidRPr="00027B83">
        <w:rPr>
          <w:bCs/>
          <w:sz w:val="28"/>
          <w:szCs w:val="28"/>
        </w:rPr>
        <w:t xml:space="preserve"> предприятия </w:t>
      </w:r>
      <w:r>
        <w:rPr>
          <w:bCs/>
          <w:sz w:val="28"/>
          <w:szCs w:val="28"/>
        </w:rPr>
        <w:t>ОАО «Шахта «Угольная»</w:t>
      </w:r>
      <w:r w:rsidRPr="00027B83">
        <w:rPr>
          <w:bCs/>
          <w:sz w:val="28"/>
          <w:szCs w:val="28"/>
        </w:rPr>
        <w:t xml:space="preserve">, в целях сохранения добычи на уровне 100 тыс. тонн </w:t>
      </w:r>
      <w:r>
        <w:rPr>
          <w:bCs/>
          <w:sz w:val="28"/>
          <w:szCs w:val="28"/>
        </w:rPr>
        <w:t xml:space="preserve">предприятию </w:t>
      </w:r>
      <w:r w:rsidRPr="00027B83">
        <w:rPr>
          <w:bCs/>
          <w:sz w:val="28"/>
          <w:szCs w:val="28"/>
        </w:rPr>
        <w:t>необходимо оказание государственной поддержки на возмещение затрат, связанных с техническим перевооружением.</w:t>
      </w:r>
    </w:p>
    <w:p w:rsidR="00231761" w:rsidRPr="003A2E00" w:rsidRDefault="00231761" w:rsidP="00231761">
      <w:pPr>
        <w:autoSpaceDE w:val="0"/>
        <w:autoSpaceDN w:val="0"/>
        <w:adjustRightInd w:val="0"/>
        <w:ind w:firstLine="709"/>
        <w:jc w:val="both"/>
        <w:rPr>
          <w:bCs/>
          <w:sz w:val="28"/>
          <w:szCs w:val="28"/>
        </w:rPr>
      </w:pPr>
      <w:r w:rsidRPr="00F8422D">
        <w:rPr>
          <w:bCs/>
          <w:sz w:val="28"/>
          <w:szCs w:val="28"/>
        </w:rPr>
        <w:t>В 2019 году Обществом с ограниченной ответственностью «</w:t>
      </w:r>
      <w:proofErr w:type="spellStart"/>
      <w:r w:rsidRPr="00F8422D">
        <w:rPr>
          <w:bCs/>
          <w:sz w:val="28"/>
          <w:szCs w:val="28"/>
        </w:rPr>
        <w:t>Техноуголь</w:t>
      </w:r>
      <w:proofErr w:type="spellEnd"/>
      <w:r w:rsidRPr="00F8422D">
        <w:rPr>
          <w:bCs/>
          <w:sz w:val="28"/>
          <w:szCs w:val="28"/>
        </w:rPr>
        <w:t>» разработана проектная документация «Техническое перевооружение</w:t>
      </w:r>
      <w:r w:rsidR="004957B6">
        <w:rPr>
          <w:bCs/>
          <w:sz w:val="28"/>
          <w:szCs w:val="28"/>
        </w:rPr>
        <w:t xml:space="preserve"> </w:t>
      </w:r>
      <w:r w:rsidRPr="00F8422D">
        <w:rPr>
          <w:bCs/>
          <w:sz w:val="28"/>
          <w:szCs w:val="28"/>
        </w:rPr>
        <w:t>ОАО</w:t>
      </w:r>
      <w:r>
        <w:rPr>
          <w:bCs/>
          <w:sz w:val="28"/>
          <w:szCs w:val="28"/>
        </w:rPr>
        <w:t> </w:t>
      </w:r>
      <w:r w:rsidRPr="00F8422D">
        <w:rPr>
          <w:bCs/>
          <w:sz w:val="28"/>
          <w:szCs w:val="28"/>
        </w:rPr>
        <w:t>«Шахта Угольная».</w:t>
      </w:r>
      <w:r>
        <w:rPr>
          <w:bCs/>
          <w:sz w:val="28"/>
          <w:szCs w:val="28"/>
        </w:rPr>
        <w:t xml:space="preserve"> </w:t>
      </w:r>
      <w:r w:rsidRPr="004A0713">
        <w:rPr>
          <w:bCs/>
          <w:sz w:val="28"/>
          <w:szCs w:val="28"/>
        </w:rPr>
        <w:t>Проект технического перевооружения прошел экспертизу промышленной безопасности</w:t>
      </w:r>
      <w:r>
        <w:rPr>
          <w:bCs/>
          <w:sz w:val="28"/>
          <w:szCs w:val="28"/>
        </w:rPr>
        <w:t>.</w:t>
      </w:r>
    </w:p>
    <w:p w:rsidR="00231761" w:rsidRDefault="00231761" w:rsidP="00231761">
      <w:pPr>
        <w:autoSpaceDE w:val="0"/>
        <w:autoSpaceDN w:val="0"/>
        <w:adjustRightInd w:val="0"/>
        <w:ind w:firstLine="709"/>
        <w:jc w:val="both"/>
        <w:rPr>
          <w:bCs/>
          <w:sz w:val="28"/>
          <w:szCs w:val="28"/>
        </w:rPr>
      </w:pPr>
      <w:r w:rsidRPr="004A0713">
        <w:rPr>
          <w:bCs/>
          <w:sz w:val="28"/>
          <w:szCs w:val="28"/>
        </w:rPr>
        <w:t>К проектной документации составлена ведомость оборудования и материалов, необходимых на реализацию мероприятий по техническому перевооружению ОАО «Шахта «Угольная» в 2020</w:t>
      </w:r>
      <w:r>
        <w:rPr>
          <w:bCs/>
          <w:sz w:val="28"/>
          <w:szCs w:val="28"/>
        </w:rPr>
        <w:t xml:space="preserve"> – </w:t>
      </w:r>
      <w:r w:rsidRPr="004A0713">
        <w:rPr>
          <w:bCs/>
          <w:sz w:val="28"/>
          <w:szCs w:val="28"/>
        </w:rPr>
        <w:t>2021 годах</w:t>
      </w:r>
      <w:r>
        <w:rPr>
          <w:rStyle w:val="ab"/>
          <w:bCs/>
          <w:sz w:val="28"/>
          <w:szCs w:val="28"/>
        </w:rPr>
        <w:footnoteReference w:id="156"/>
      </w:r>
      <w:r w:rsidRPr="004A0713">
        <w:rPr>
          <w:bCs/>
          <w:sz w:val="28"/>
          <w:szCs w:val="28"/>
        </w:rPr>
        <w:t>.</w:t>
      </w:r>
    </w:p>
    <w:p w:rsidR="00231761" w:rsidRDefault="00231761" w:rsidP="00231761">
      <w:pPr>
        <w:ind w:firstLine="709"/>
        <w:jc w:val="both"/>
        <w:rPr>
          <w:bCs/>
          <w:sz w:val="28"/>
          <w:szCs w:val="28"/>
        </w:rPr>
      </w:pPr>
      <w:r>
        <w:rPr>
          <w:bCs/>
          <w:sz w:val="28"/>
          <w:szCs w:val="28"/>
        </w:rPr>
        <w:t>Реализация мероприятий по оказанию государственной поддержки на возмещение затрат, связанных с техническим перевооружением в 2020 – 2021 годах осуществлялась в рамках</w:t>
      </w:r>
      <w:r w:rsidRPr="00B5239D">
        <w:rPr>
          <w:bCs/>
          <w:sz w:val="28"/>
          <w:szCs w:val="28"/>
        </w:rPr>
        <w:t xml:space="preserve"> </w:t>
      </w:r>
      <w:r>
        <w:rPr>
          <w:bCs/>
          <w:sz w:val="28"/>
          <w:szCs w:val="28"/>
        </w:rPr>
        <w:t>мероприятий</w:t>
      </w:r>
      <w:r w:rsidRPr="00FC15DC">
        <w:t xml:space="preserve"> </w:t>
      </w:r>
      <w:r w:rsidRPr="00FC15DC">
        <w:rPr>
          <w:bCs/>
          <w:sz w:val="28"/>
          <w:szCs w:val="28"/>
        </w:rPr>
        <w:t>подпрограммы «Развитие угольной промышленности» (далее – Подпрограмма) Государственной программы «Развитие энергетики Чукотского автономного округа»</w:t>
      </w:r>
      <w:r>
        <w:rPr>
          <w:bCs/>
          <w:sz w:val="28"/>
          <w:szCs w:val="28"/>
        </w:rPr>
        <w:t xml:space="preserve">: </w:t>
      </w:r>
    </w:p>
    <w:p w:rsidR="00231761" w:rsidRDefault="00231761" w:rsidP="00231761">
      <w:pPr>
        <w:ind w:firstLine="709"/>
        <w:jc w:val="both"/>
        <w:rPr>
          <w:bCs/>
          <w:sz w:val="28"/>
          <w:szCs w:val="28"/>
        </w:rPr>
      </w:pPr>
      <w:r>
        <w:rPr>
          <w:bCs/>
          <w:sz w:val="28"/>
          <w:szCs w:val="28"/>
        </w:rPr>
        <w:t>- «Субсидии юридическим лицам – предприятиям угольной промышленности, занимающимся добычей угля подземным способом, на возмещение затрат, связанных с техническим перевооружением»</w:t>
      </w:r>
      <w:r>
        <w:rPr>
          <w:rStyle w:val="ab"/>
          <w:bCs/>
          <w:sz w:val="28"/>
          <w:szCs w:val="28"/>
        </w:rPr>
        <w:footnoteReference w:id="157"/>
      </w:r>
      <w:r>
        <w:rPr>
          <w:bCs/>
          <w:sz w:val="28"/>
          <w:szCs w:val="28"/>
        </w:rPr>
        <w:t xml:space="preserve">; </w:t>
      </w:r>
    </w:p>
    <w:p w:rsidR="00231761" w:rsidRDefault="00231761" w:rsidP="00231761">
      <w:pPr>
        <w:ind w:firstLine="709"/>
        <w:jc w:val="both"/>
        <w:rPr>
          <w:bCs/>
          <w:sz w:val="28"/>
          <w:szCs w:val="28"/>
        </w:rPr>
      </w:pPr>
      <w:r>
        <w:rPr>
          <w:bCs/>
          <w:sz w:val="28"/>
          <w:szCs w:val="28"/>
        </w:rPr>
        <w:t>- «Субсидии юридическим лицам – предприятиям угольной промышленности, занимающимся добычей угля подземным способом, на финансовое обеспечение затрат, связанных с техническим перевооружением»</w:t>
      </w:r>
      <w:r>
        <w:rPr>
          <w:rStyle w:val="ab"/>
          <w:bCs/>
          <w:sz w:val="28"/>
          <w:szCs w:val="28"/>
        </w:rPr>
        <w:footnoteReference w:id="158"/>
      </w:r>
      <w:r>
        <w:rPr>
          <w:bCs/>
          <w:sz w:val="28"/>
          <w:szCs w:val="28"/>
        </w:rPr>
        <w:t xml:space="preserve">. </w:t>
      </w:r>
    </w:p>
    <w:p w:rsidR="00231761" w:rsidRDefault="00231761" w:rsidP="00231761">
      <w:pPr>
        <w:ind w:firstLine="709"/>
        <w:jc w:val="both"/>
        <w:rPr>
          <w:bCs/>
          <w:sz w:val="28"/>
          <w:szCs w:val="28"/>
        </w:rPr>
      </w:pPr>
      <w:r>
        <w:rPr>
          <w:bCs/>
          <w:sz w:val="28"/>
          <w:szCs w:val="28"/>
        </w:rPr>
        <w:lastRenderedPageBreak/>
        <w:t>Субсидии на возмещение затрат, связанных с техническим перевооружением, и на финансовое обеспечение затрат, связанных с техническим перевооружением, предоставлялись из окружного бюджета на безвозмездной и безвозвратной основе в целях возмещения затрат на закупку и поставку материалов и оборудования, связанных с техническим перевооружением.</w:t>
      </w:r>
    </w:p>
    <w:p w:rsidR="00231761" w:rsidRDefault="00231761" w:rsidP="00231761">
      <w:pPr>
        <w:ind w:firstLine="709"/>
        <w:jc w:val="both"/>
        <w:rPr>
          <w:bCs/>
          <w:sz w:val="28"/>
          <w:szCs w:val="28"/>
        </w:rPr>
      </w:pPr>
      <w:r w:rsidRPr="0050116E">
        <w:rPr>
          <w:bCs/>
          <w:sz w:val="28"/>
          <w:szCs w:val="28"/>
        </w:rPr>
        <w:t xml:space="preserve">Результатом предоставления субсидии является сохранение добычи угля на уровне </w:t>
      </w:r>
      <w:r>
        <w:rPr>
          <w:bCs/>
          <w:sz w:val="28"/>
          <w:szCs w:val="28"/>
        </w:rPr>
        <w:t xml:space="preserve">не менее </w:t>
      </w:r>
      <w:r w:rsidRPr="0050116E">
        <w:rPr>
          <w:bCs/>
          <w:sz w:val="28"/>
          <w:szCs w:val="28"/>
        </w:rPr>
        <w:t>100 тыс. тонн в год.</w:t>
      </w:r>
    </w:p>
    <w:p w:rsidR="00231761" w:rsidRDefault="00231761" w:rsidP="00231761">
      <w:pPr>
        <w:ind w:firstLine="709"/>
        <w:jc w:val="both"/>
        <w:rPr>
          <w:sz w:val="28"/>
          <w:szCs w:val="28"/>
        </w:rPr>
      </w:pPr>
      <w:r>
        <w:rPr>
          <w:sz w:val="28"/>
          <w:szCs w:val="28"/>
        </w:rPr>
        <w:t xml:space="preserve">Общий объем ресурсного обеспечения на реализацию Подпрограммы, </w:t>
      </w:r>
      <w:r w:rsidRPr="00BF065E">
        <w:rPr>
          <w:sz w:val="28"/>
          <w:szCs w:val="28"/>
        </w:rPr>
        <w:t>предусмотренный Государственной программой</w:t>
      </w:r>
      <w:r>
        <w:rPr>
          <w:sz w:val="28"/>
          <w:szCs w:val="28"/>
        </w:rPr>
        <w:t xml:space="preserve"> №41</w:t>
      </w:r>
      <w:r w:rsidRPr="00BF065E">
        <w:rPr>
          <w:sz w:val="28"/>
          <w:szCs w:val="28"/>
        </w:rPr>
        <w:t xml:space="preserve"> </w:t>
      </w:r>
      <w:r>
        <w:rPr>
          <w:sz w:val="28"/>
          <w:szCs w:val="28"/>
        </w:rPr>
        <w:t>и Законами об окружном бюджете на 2020 год</w:t>
      </w:r>
      <w:r>
        <w:rPr>
          <w:rStyle w:val="ab"/>
          <w:sz w:val="28"/>
          <w:szCs w:val="28"/>
        </w:rPr>
        <w:footnoteReference w:id="159"/>
      </w:r>
      <w:r>
        <w:rPr>
          <w:sz w:val="28"/>
          <w:szCs w:val="28"/>
        </w:rPr>
        <w:t xml:space="preserve"> и на 2021 год</w:t>
      </w:r>
      <w:r>
        <w:rPr>
          <w:rStyle w:val="ab"/>
          <w:sz w:val="28"/>
          <w:szCs w:val="28"/>
        </w:rPr>
        <w:footnoteReference w:id="160"/>
      </w:r>
      <w:r>
        <w:rPr>
          <w:sz w:val="28"/>
          <w:szCs w:val="28"/>
        </w:rPr>
        <w:t xml:space="preserve"> </w:t>
      </w:r>
      <w:r w:rsidRPr="00BF065E">
        <w:rPr>
          <w:sz w:val="28"/>
          <w:szCs w:val="28"/>
        </w:rPr>
        <w:t xml:space="preserve">составляет </w:t>
      </w:r>
      <w:r>
        <w:rPr>
          <w:sz w:val="28"/>
          <w:szCs w:val="28"/>
        </w:rPr>
        <w:t>316 313,6</w:t>
      </w:r>
      <w:r w:rsidRPr="00BF065E">
        <w:rPr>
          <w:sz w:val="28"/>
          <w:szCs w:val="28"/>
        </w:rPr>
        <w:t xml:space="preserve"> тыс. рублей</w:t>
      </w:r>
      <w:r>
        <w:rPr>
          <w:sz w:val="28"/>
          <w:szCs w:val="28"/>
        </w:rPr>
        <w:t xml:space="preserve"> за счет средств окружного бюджета</w:t>
      </w:r>
      <w:r w:rsidRPr="00BF065E">
        <w:rPr>
          <w:sz w:val="28"/>
          <w:szCs w:val="28"/>
        </w:rPr>
        <w:t xml:space="preserve">, в том числе: </w:t>
      </w:r>
      <w:r>
        <w:rPr>
          <w:sz w:val="28"/>
          <w:szCs w:val="28"/>
        </w:rPr>
        <w:t>в 2020 году – 83 313,6 </w:t>
      </w:r>
      <w:r w:rsidRPr="00BF065E">
        <w:rPr>
          <w:sz w:val="28"/>
          <w:szCs w:val="28"/>
        </w:rPr>
        <w:t>тыс. рублей</w:t>
      </w:r>
      <w:r>
        <w:rPr>
          <w:sz w:val="28"/>
          <w:szCs w:val="28"/>
        </w:rPr>
        <w:t xml:space="preserve">; </w:t>
      </w:r>
      <w:r>
        <w:rPr>
          <w:sz w:val="28"/>
          <w:szCs w:val="28"/>
        </w:rPr>
        <w:br/>
        <w:t>в 2021 году – 233 000,0 тыс. рублей.</w:t>
      </w:r>
    </w:p>
    <w:p w:rsidR="00231761" w:rsidRPr="00855BC3" w:rsidRDefault="00231761" w:rsidP="00231761">
      <w:pPr>
        <w:ind w:firstLine="709"/>
        <w:jc w:val="both"/>
        <w:rPr>
          <w:sz w:val="16"/>
          <w:szCs w:val="16"/>
        </w:rPr>
      </w:pPr>
    </w:p>
    <w:p w:rsidR="00231761" w:rsidRDefault="00231761" w:rsidP="00231761">
      <w:pPr>
        <w:ind w:firstLine="709"/>
        <w:jc w:val="both"/>
        <w:rPr>
          <w:sz w:val="28"/>
          <w:szCs w:val="28"/>
        </w:rPr>
      </w:pPr>
      <w:r w:rsidRPr="00855BC3">
        <w:rPr>
          <w:sz w:val="28"/>
          <w:szCs w:val="28"/>
        </w:rPr>
        <w:t>По результатам контрольного мероприятия установлено следующее.</w:t>
      </w:r>
    </w:p>
    <w:p w:rsidR="00231761" w:rsidRPr="008C1193" w:rsidRDefault="00231761" w:rsidP="00231761">
      <w:pPr>
        <w:jc w:val="both"/>
        <w:rPr>
          <w:sz w:val="16"/>
          <w:szCs w:val="16"/>
        </w:rPr>
      </w:pPr>
    </w:p>
    <w:p w:rsidR="00231761" w:rsidRDefault="00231761" w:rsidP="00231761">
      <w:pPr>
        <w:ind w:firstLine="709"/>
        <w:jc w:val="both"/>
        <w:rPr>
          <w:b/>
          <w:sz w:val="28"/>
          <w:szCs w:val="28"/>
        </w:rPr>
      </w:pPr>
      <w:r>
        <w:rPr>
          <w:b/>
          <w:sz w:val="28"/>
          <w:szCs w:val="28"/>
        </w:rPr>
        <w:t>Цель 1. </w:t>
      </w:r>
      <w:r w:rsidRPr="00A10A49">
        <w:rPr>
          <w:b/>
          <w:sz w:val="28"/>
          <w:szCs w:val="28"/>
        </w:rPr>
        <w:t xml:space="preserve">Законность </w:t>
      </w:r>
      <w:r>
        <w:rPr>
          <w:b/>
          <w:sz w:val="28"/>
          <w:szCs w:val="28"/>
        </w:rPr>
        <w:t xml:space="preserve">предоставления и </w:t>
      </w:r>
      <w:r w:rsidRPr="002B3359">
        <w:rPr>
          <w:b/>
          <w:sz w:val="28"/>
          <w:szCs w:val="28"/>
        </w:rPr>
        <w:t>использования бюджетных средств, направленных</w:t>
      </w:r>
      <w:r w:rsidRPr="00A10A49">
        <w:rPr>
          <w:b/>
          <w:sz w:val="28"/>
          <w:szCs w:val="28"/>
        </w:rPr>
        <w:t xml:space="preserve"> в форме субсидий – предприятиям угольной промышленности, занимающимся добычей угля подземным способом, на возмещение затрат, связанных с техническим перевооружением</w:t>
      </w:r>
      <w:r>
        <w:rPr>
          <w:b/>
          <w:sz w:val="28"/>
          <w:szCs w:val="28"/>
        </w:rPr>
        <w:t>,</w:t>
      </w:r>
      <w:r w:rsidRPr="00A10A49">
        <w:rPr>
          <w:b/>
          <w:sz w:val="28"/>
          <w:szCs w:val="28"/>
        </w:rPr>
        <w:t xml:space="preserve"> и на финансовое обеспечение затрат, связанных с техническим перевооружением</w:t>
      </w:r>
      <w:r>
        <w:rPr>
          <w:b/>
          <w:sz w:val="28"/>
          <w:szCs w:val="28"/>
        </w:rPr>
        <w:t xml:space="preserve"> в 2020-2021 годах.</w:t>
      </w:r>
    </w:p>
    <w:p w:rsidR="00231761" w:rsidRPr="003C67BD" w:rsidRDefault="00231761" w:rsidP="00231761">
      <w:pPr>
        <w:ind w:firstLine="709"/>
        <w:jc w:val="both"/>
        <w:rPr>
          <w:b/>
          <w:sz w:val="16"/>
          <w:szCs w:val="16"/>
        </w:rPr>
      </w:pPr>
    </w:p>
    <w:p w:rsidR="00231761" w:rsidRDefault="00231761" w:rsidP="00231761">
      <w:pPr>
        <w:ind w:firstLine="709"/>
        <w:jc w:val="both"/>
        <w:rPr>
          <w:b/>
          <w:sz w:val="28"/>
          <w:szCs w:val="28"/>
        </w:rPr>
      </w:pPr>
      <w:r>
        <w:rPr>
          <w:b/>
          <w:sz w:val="28"/>
          <w:szCs w:val="28"/>
        </w:rPr>
        <w:t>Субсидия на возмещение затрат, связанных с техническим перевооружением</w:t>
      </w:r>
    </w:p>
    <w:p w:rsidR="00231761" w:rsidRPr="00297CCB" w:rsidRDefault="00231761" w:rsidP="00231761">
      <w:pPr>
        <w:ind w:firstLine="709"/>
        <w:jc w:val="both"/>
        <w:rPr>
          <w:b/>
          <w:sz w:val="6"/>
          <w:szCs w:val="6"/>
        </w:rPr>
      </w:pPr>
    </w:p>
    <w:p w:rsidR="00231761" w:rsidRDefault="00231761" w:rsidP="00231761">
      <w:pPr>
        <w:ind w:firstLine="709"/>
        <w:jc w:val="both"/>
        <w:rPr>
          <w:sz w:val="28"/>
          <w:szCs w:val="28"/>
        </w:rPr>
      </w:pPr>
      <w:r>
        <w:rPr>
          <w:sz w:val="28"/>
          <w:szCs w:val="28"/>
        </w:rPr>
        <w:t>Департаментом промышленности в проверяемом периоде с ОАО «Шахта «Угольная» заключено 2 соглашения</w:t>
      </w:r>
      <w:r>
        <w:rPr>
          <w:rStyle w:val="ab"/>
          <w:sz w:val="28"/>
          <w:szCs w:val="28"/>
        </w:rPr>
        <w:footnoteReference w:id="161"/>
      </w:r>
      <w:r>
        <w:rPr>
          <w:sz w:val="28"/>
          <w:szCs w:val="28"/>
        </w:rPr>
        <w:t xml:space="preserve"> о предоставлении из окружного бюджета субсидии юридическим лицам – предприятиям угольной промышленности, занимающимся добычей угля подземным способом, на возмещение затрат, связанных с техническим перевооружением, на общую сумму 145 313,6 тыс. рублей, в том числе:</w:t>
      </w:r>
    </w:p>
    <w:p w:rsidR="00231761" w:rsidRDefault="00231761" w:rsidP="00231761">
      <w:pPr>
        <w:ind w:firstLine="709"/>
        <w:jc w:val="both"/>
        <w:rPr>
          <w:sz w:val="28"/>
          <w:szCs w:val="28"/>
        </w:rPr>
      </w:pPr>
      <w:r>
        <w:rPr>
          <w:sz w:val="28"/>
          <w:szCs w:val="28"/>
        </w:rPr>
        <w:t xml:space="preserve">- на 2020 год – </w:t>
      </w:r>
      <w:r w:rsidRPr="00585A61">
        <w:rPr>
          <w:sz w:val="28"/>
          <w:szCs w:val="28"/>
        </w:rPr>
        <w:t>83 313,6 тыс</w:t>
      </w:r>
      <w:r>
        <w:rPr>
          <w:sz w:val="28"/>
          <w:szCs w:val="28"/>
        </w:rPr>
        <w:t>. рублей (далее – Соглашение на 2020 год);</w:t>
      </w:r>
    </w:p>
    <w:p w:rsidR="00231761" w:rsidRDefault="00231761" w:rsidP="00231761">
      <w:pPr>
        <w:ind w:firstLine="709"/>
        <w:jc w:val="both"/>
        <w:rPr>
          <w:sz w:val="28"/>
          <w:szCs w:val="28"/>
        </w:rPr>
      </w:pPr>
      <w:r>
        <w:rPr>
          <w:sz w:val="28"/>
          <w:szCs w:val="28"/>
        </w:rPr>
        <w:t xml:space="preserve">- на 2021 год – 62 000,0 тыс. рублей (далее – </w:t>
      </w:r>
      <w:bookmarkStart w:id="87" w:name="_Hlk101863781"/>
      <w:r>
        <w:rPr>
          <w:sz w:val="28"/>
          <w:szCs w:val="28"/>
        </w:rPr>
        <w:t xml:space="preserve">Соглашение </w:t>
      </w:r>
      <w:bookmarkEnd w:id="87"/>
      <w:r>
        <w:rPr>
          <w:sz w:val="28"/>
          <w:szCs w:val="28"/>
        </w:rPr>
        <w:t>на 2021 год).</w:t>
      </w:r>
    </w:p>
    <w:p w:rsidR="00231761" w:rsidRPr="008C0A1A" w:rsidRDefault="00231761" w:rsidP="00231761">
      <w:pPr>
        <w:ind w:firstLine="709"/>
        <w:jc w:val="both"/>
        <w:rPr>
          <w:sz w:val="28"/>
          <w:szCs w:val="28"/>
        </w:rPr>
      </w:pPr>
      <w:r w:rsidRPr="008C0A1A">
        <w:rPr>
          <w:sz w:val="28"/>
          <w:szCs w:val="28"/>
        </w:rPr>
        <w:t xml:space="preserve">Средства субсидии </w:t>
      </w:r>
      <w:r>
        <w:rPr>
          <w:sz w:val="28"/>
          <w:szCs w:val="28"/>
        </w:rPr>
        <w:t>предоставлены</w:t>
      </w:r>
      <w:r w:rsidRPr="008C0A1A">
        <w:rPr>
          <w:sz w:val="28"/>
          <w:szCs w:val="28"/>
        </w:rPr>
        <w:t xml:space="preserve"> </w:t>
      </w:r>
      <w:r>
        <w:rPr>
          <w:sz w:val="28"/>
          <w:szCs w:val="28"/>
        </w:rPr>
        <w:t>Департаментом промышленности ОАО «Шахта Угольная»</w:t>
      </w:r>
      <w:r w:rsidRPr="008C0A1A">
        <w:rPr>
          <w:sz w:val="28"/>
          <w:szCs w:val="28"/>
        </w:rPr>
        <w:t xml:space="preserve"> в общей сумме 145 313,6 тыс. рублей</w:t>
      </w:r>
      <w:r>
        <w:rPr>
          <w:sz w:val="28"/>
          <w:szCs w:val="28"/>
        </w:rPr>
        <w:t xml:space="preserve"> на основании подтверждающих документов о понесенных затратах на общую сумму 145 873,1 тыс. рублей (без НДС), в том числе:</w:t>
      </w:r>
    </w:p>
    <w:p w:rsidR="00231761" w:rsidRDefault="00231761" w:rsidP="00231761">
      <w:pPr>
        <w:ind w:firstLine="709"/>
        <w:jc w:val="both"/>
        <w:rPr>
          <w:rFonts w:eastAsia="Calibri"/>
          <w:sz w:val="28"/>
        </w:rPr>
      </w:pPr>
      <w:r>
        <w:rPr>
          <w:rFonts w:eastAsia="Calibri"/>
          <w:sz w:val="28"/>
        </w:rPr>
        <w:t xml:space="preserve">- в 2020 году на сумму </w:t>
      </w:r>
      <w:r w:rsidRPr="00F8422D">
        <w:rPr>
          <w:rFonts w:eastAsia="Calibri"/>
          <w:sz w:val="28"/>
        </w:rPr>
        <w:t>87 536,1 тыс. рублей</w:t>
      </w:r>
      <w:r>
        <w:rPr>
          <w:rFonts w:eastAsia="Calibri"/>
          <w:sz w:val="28"/>
        </w:rPr>
        <w:t>;</w:t>
      </w:r>
    </w:p>
    <w:p w:rsidR="00231761" w:rsidRDefault="00231761" w:rsidP="00231761">
      <w:pPr>
        <w:ind w:firstLine="709"/>
        <w:jc w:val="both"/>
        <w:rPr>
          <w:rFonts w:eastAsia="Calibri"/>
          <w:sz w:val="28"/>
        </w:rPr>
      </w:pPr>
      <w:r>
        <w:rPr>
          <w:rFonts w:eastAsia="Calibri"/>
          <w:sz w:val="28"/>
        </w:rPr>
        <w:t xml:space="preserve">- в 2021 году на сумму </w:t>
      </w:r>
      <w:r w:rsidRPr="00F8422D">
        <w:rPr>
          <w:rFonts w:eastAsia="Calibri"/>
          <w:sz w:val="28"/>
        </w:rPr>
        <w:t>58 337,0 тыс. рублей</w:t>
      </w:r>
      <w:r>
        <w:rPr>
          <w:rFonts w:eastAsia="Calibri"/>
          <w:sz w:val="28"/>
        </w:rPr>
        <w:t>.</w:t>
      </w:r>
      <w:r w:rsidRPr="00F8422D">
        <w:rPr>
          <w:rFonts w:eastAsia="Calibri"/>
          <w:sz w:val="28"/>
        </w:rPr>
        <w:t xml:space="preserve"> </w:t>
      </w:r>
    </w:p>
    <w:p w:rsidR="00231761" w:rsidRDefault="00231761" w:rsidP="00231761">
      <w:pPr>
        <w:ind w:firstLine="709"/>
        <w:jc w:val="both"/>
        <w:rPr>
          <w:sz w:val="28"/>
          <w:szCs w:val="28"/>
        </w:rPr>
      </w:pPr>
      <w:r>
        <w:rPr>
          <w:sz w:val="28"/>
          <w:szCs w:val="28"/>
        </w:rPr>
        <w:lastRenderedPageBreak/>
        <w:t xml:space="preserve">Информация о предоставленной Субсидии </w:t>
      </w:r>
      <w:r w:rsidRPr="005A12C8">
        <w:rPr>
          <w:sz w:val="28"/>
          <w:szCs w:val="28"/>
        </w:rPr>
        <w:t>на возмещение затрат, связанн</w:t>
      </w:r>
      <w:r>
        <w:rPr>
          <w:sz w:val="28"/>
          <w:szCs w:val="28"/>
        </w:rPr>
        <w:t>ых</w:t>
      </w:r>
      <w:r w:rsidRPr="005A12C8">
        <w:rPr>
          <w:sz w:val="28"/>
          <w:szCs w:val="28"/>
        </w:rPr>
        <w:t xml:space="preserve"> с техническим перевооружением</w:t>
      </w:r>
      <w:r>
        <w:rPr>
          <w:sz w:val="28"/>
          <w:szCs w:val="28"/>
        </w:rPr>
        <w:t xml:space="preserve"> в 2020-2021 годах, представлена в таблице №1.</w:t>
      </w:r>
    </w:p>
    <w:p w:rsidR="00231761" w:rsidRDefault="00231761" w:rsidP="00231761">
      <w:pPr>
        <w:ind w:firstLine="709"/>
        <w:jc w:val="right"/>
        <w:rPr>
          <w:sz w:val="28"/>
          <w:szCs w:val="28"/>
        </w:rPr>
      </w:pPr>
      <w:r>
        <w:rPr>
          <w:sz w:val="28"/>
          <w:szCs w:val="28"/>
        </w:rPr>
        <w:t>Таблица №1</w:t>
      </w:r>
    </w:p>
    <w:p w:rsidR="00231761" w:rsidRDefault="00231761" w:rsidP="00231761">
      <w:pPr>
        <w:ind w:firstLine="709"/>
        <w:jc w:val="right"/>
        <w:rPr>
          <w:sz w:val="28"/>
          <w:szCs w:val="28"/>
        </w:rPr>
      </w:pPr>
      <w:r>
        <w:rPr>
          <w:sz w:val="28"/>
          <w:szCs w:val="28"/>
        </w:rPr>
        <w:t>(тыс. рублей)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9"/>
        <w:gridCol w:w="1816"/>
        <w:gridCol w:w="1700"/>
        <w:gridCol w:w="1836"/>
        <w:gridCol w:w="1816"/>
      </w:tblGrid>
      <w:tr w:rsidR="00231761" w:rsidRPr="00256D63" w:rsidTr="00000E53">
        <w:tc>
          <w:tcPr>
            <w:tcW w:w="2518" w:type="dxa"/>
            <w:shd w:val="clear" w:color="auto" w:fill="auto"/>
            <w:vAlign w:val="center"/>
          </w:tcPr>
          <w:p w:rsidR="00231761" w:rsidRPr="00256D63" w:rsidRDefault="00231761" w:rsidP="00000E53">
            <w:pPr>
              <w:jc w:val="center"/>
              <w:rPr>
                <w:rFonts w:eastAsia="Calibri"/>
                <w:sz w:val="20"/>
                <w:szCs w:val="20"/>
              </w:rPr>
            </w:pPr>
            <w:r w:rsidRPr="00256D63">
              <w:rPr>
                <w:rFonts w:eastAsia="Calibri"/>
                <w:sz w:val="20"/>
                <w:szCs w:val="20"/>
              </w:rPr>
              <w:t>Соглашение</w:t>
            </w:r>
          </w:p>
        </w:tc>
        <w:tc>
          <w:tcPr>
            <w:tcW w:w="1843" w:type="dxa"/>
            <w:shd w:val="clear" w:color="auto" w:fill="auto"/>
            <w:vAlign w:val="center"/>
          </w:tcPr>
          <w:p w:rsidR="00231761" w:rsidRPr="00256D63" w:rsidRDefault="00231761" w:rsidP="00000E53">
            <w:pPr>
              <w:jc w:val="center"/>
              <w:rPr>
                <w:rFonts w:eastAsia="Calibri"/>
                <w:sz w:val="20"/>
                <w:szCs w:val="20"/>
              </w:rPr>
            </w:pPr>
            <w:r w:rsidRPr="00256D63">
              <w:rPr>
                <w:rFonts w:eastAsia="Calibri"/>
                <w:sz w:val="20"/>
                <w:szCs w:val="20"/>
              </w:rPr>
              <w:t>Сумма Соглашения</w:t>
            </w:r>
          </w:p>
        </w:tc>
        <w:tc>
          <w:tcPr>
            <w:tcW w:w="1701" w:type="dxa"/>
            <w:shd w:val="clear" w:color="auto" w:fill="auto"/>
            <w:vAlign w:val="center"/>
          </w:tcPr>
          <w:p w:rsidR="00231761" w:rsidRPr="00256D63" w:rsidRDefault="00231761" w:rsidP="00000E53">
            <w:pPr>
              <w:jc w:val="center"/>
              <w:rPr>
                <w:rFonts w:eastAsia="Calibri"/>
                <w:sz w:val="20"/>
                <w:szCs w:val="20"/>
              </w:rPr>
            </w:pPr>
            <w:r w:rsidRPr="00256D63">
              <w:rPr>
                <w:rFonts w:eastAsia="Calibri"/>
                <w:sz w:val="20"/>
                <w:szCs w:val="20"/>
              </w:rPr>
              <w:t>Сумма фактически подтвержденных затрат</w:t>
            </w:r>
          </w:p>
        </w:tc>
        <w:tc>
          <w:tcPr>
            <w:tcW w:w="1843" w:type="dxa"/>
            <w:shd w:val="clear" w:color="auto" w:fill="auto"/>
            <w:vAlign w:val="center"/>
          </w:tcPr>
          <w:p w:rsidR="00231761" w:rsidRPr="00256D63" w:rsidRDefault="00231761" w:rsidP="00000E53">
            <w:pPr>
              <w:jc w:val="center"/>
              <w:rPr>
                <w:rFonts w:eastAsia="Calibri"/>
                <w:sz w:val="20"/>
                <w:szCs w:val="20"/>
              </w:rPr>
            </w:pPr>
            <w:r w:rsidRPr="00256D63">
              <w:rPr>
                <w:rFonts w:eastAsia="Calibri"/>
                <w:sz w:val="20"/>
                <w:szCs w:val="20"/>
              </w:rPr>
              <w:t>Сумма предоставленной субсидии</w:t>
            </w:r>
          </w:p>
        </w:tc>
        <w:tc>
          <w:tcPr>
            <w:tcW w:w="1842" w:type="dxa"/>
            <w:shd w:val="clear" w:color="auto" w:fill="auto"/>
            <w:vAlign w:val="center"/>
          </w:tcPr>
          <w:p w:rsidR="00231761" w:rsidRPr="00256D63" w:rsidRDefault="00231761" w:rsidP="00000E53">
            <w:pPr>
              <w:jc w:val="center"/>
              <w:rPr>
                <w:rFonts w:eastAsia="Calibri"/>
                <w:sz w:val="20"/>
                <w:szCs w:val="20"/>
              </w:rPr>
            </w:pPr>
            <w:r w:rsidRPr="00256D63">
              <w:rPr>
                <w:rFonts w:eastAsia="Calibri"/>
                <w:sz w:val="20"/>
                <w:szCs w:val="20"/>
              </w:rPr>
              <w:t xml:space="preserve">Отклонение, </w:t>
            </w:r>
            <w:r w:rsidRPr="00256D63">
              <w:rPr>
                <w:rFonts w:eastAsia="Calibri"/>
                <w:sz w:val="20"/>
                <w:szCs w:val="20"/>
              </w:rPr>
              <w:br/>
              <w:t>гр.4-гр.5</w:t>
            </w:r>
          </w:p>
        </w:tc>
      </w:tr>
      <w:tr w:rsidR="00231761" w:rsidRPr="00256D63" w:rsidTr="00000E53">
        <w:tc>
          <w:tcPr>
            <w:tcW w:w="2518" w:type="dxa"/>
            <w:shd w:val="clear" w:color="auto" w:fill="auto"/>
            <w:vAlign w:val="center"/>
          </w:tcPr>
          <w:p w:rsidR="00231761" w:rsidRPr="00256D63" w:rsidRDefault="00231761" w:rsidP="00000E53">
            <w:pPr>
              <w:jc w:val="center"/>
              <w:rPr>
                <w:rFonts w:eastAsia="Calibri"/>
                <w:sz w:val="20"/>
                <w:szCs w:val="20"/>
              </w:rPr>
            </w:pPr>
            <w:r w:rsidRPr="00256D63">
              <w:rPr>
                <w:rFonts w:eastAsia="Calibri"/>
                <w:sz w:val="20"/>
                <w:szCs w:val="20"/>
              </w:rPr>
              <w:t>1</w:t>
            </w:r>
          </w:p>
        </w:tc>
        <w:tc>
          <w:tcPr>
            <w:tcW w:w="1843" w:type="dxa"/>
            <w:shd w:val="clear" w:color="auto" w:fill="auto"/>
            <w:vAlign w:val="center"/>
          </w:tcPr>
          <w:p w:rsidR="00231761" w:rsidRPr="00256D63" w:rsidRDefault="00231761" w:rsidP="00000E53">
            <w:pPr>
              <w:jc w:val="center"/>
              <w:rPr>
                <w:rFonts w:eastAsia="Calibri"/>
                <w:sz w:val="20"/>
                <w:szCs w:val="20"/>
              </w:rPr>
            </w:pPr>
            <w:r w:rsidRPr="00256D63">
              <w:rPr>
                <w:rFonts w:eastAsia="Calibri"/>
                <w:sz w:val="20"/>
                <w:szCs w:val="20"/>
              </w:rPr>
              <w:t>2</w:t>
            </w:r>
          </w:p>
        </w:tc>
        <w:tc>
          <w:tcPr>
            <w:tcW w:w="1701" w:type="dxa"/>
            <w:shd w:val="clear" w:color="auto" w:fill="auto"/>
            <w:vAlign w:val="center"/>
          </w:tcPr>
          <w:p w:rsidR="00231761" w:rsidRPr="00256D63" w:rsidRDefault="00231761" w:rsidP="00000E53">
            <w:pPr>
              <w:jc w:val="center"/>
              <w:rPr>
                <w:rFonts w:eastAsia="Calibri"/>
                <w:sz w:val="20"/>
                <w:szCs w:val="20"/>
              </w:rPr>
            </w:pPr>
            <w:r w:rsidRPr="00256D63">
              <w:rPr>
                <w:rFonts w:eastAsia="Calibri"/>
                <w:sz w:val="20"/>
                <w:szCs w:val="20"/>
              </w:rPr>
              <w:t>4</w:t>
            </w:r>
          </w:p>
        </w:tc>
        <w:tc>
          <w:tcPr>
            <w:tcW w:w="1843" w:type="dxa"/>
            <w:shd w:val="clear" w:color="auto" w:fill="auto"/>
            <w:vAlign w:val="center"/>
          </w:tcPr>
          <w:p w:rsidR="00231761" w:rsidRPr="00256D63" w:rsidRDefault="00231761" w:rsidP="00000E53">
            <w:pPr>
              <w:jc w:val="center"/>
              <w:rPr>
                <w:rFonts w:eastAsia="Calibri"/>
                <w:sz w:val="20"/>
                <w:szCs w:val="20"/>
              </w:rPr>
            </w:pPr>
            <w:r w:rsidRPr="00256D63">
              <w:rPr>
                <w:rFonts w:eastAsia="Calibri"/>
                <w:sz w:val="20"/>
                <w:szCs w:val="20"/>
              </w:rPr>
              <w:t>5</w:t>
            </w:r>
          </w:p>
        </w:tc>
        <w:tc>
          <w:tcPr>
            <w:tcW w:w="1842" w:type="dxa"/>
            <w:shd w:val="clear" w:color="auto" w:fill="auto"/>
            <w:vAlign w:val="center"/>
          </w:tcPr>
          <w:p w:rsidR="00231761" w:rsidRPr="00256D63" w:rsidRDefault="00231761" w:rsidP="00000E53">
            <w:pPr>
              <w:jc w:val="center"/>
              <w:rPr>
                <w:rFonts w:eastAsia="Calibri"/>
                <w:sz w:val="20"/>
                <w:szCs w:val="20"/>
              </w:rPr>
            </w:pPr>
            <w:r w:rsidRPr="00256D63">
              <w:rPr>
                <w:rFonts w:eastAsia="Calibri"/>
                <w:sz w:val="20"/>
                <w:szCs w:val="20"/>
              </w:rPr>
              <w:t>6</w:t>
            </w:r>
          </w:p>
        </w:tc>
      </w:tr>
      <w:tr w:rsidR="00231761" w:rsidRPr="00256D63" w:rsidTr="00000E53">
        <w:tc>
          <w:tcPr>
            <w:tcW w:w="2518" w:type="dxa"/>
            <w:shd w:val="clear" w:color="auto" w:fill="auto"/>
          </w:tcPr>
          <w:p w:rsidR="00231761" w:rsidRPr="00256D63" w:rsidRDefault="00231761" w:rsidP="00000E53">
            <w:pPr>
              <w:rPr>
                <w:rFonts w:eastAsia="Calibri"/>
                <w:sz w:val="20"/>
                <w:szCs w:val="20"/>
              </w:rPr>
            </w:pPr>
            <w:r w:rsidRPr="00256D63">
              <w:rPr>
                <w:rFonts w:eastAsia="Calibri"/>
                <w:sz w:val="20"/>
                <w:szCs w:val="20"/>
              </w:rPr>
              <w:t>Соглашение на 2020 год</w:t>
            </w:r>
          </w:p>
        </w:tc>
        <w:tc>
          <w:tcPr>
            <w:tcW w:w="1843" w:type="dxa"/>
            <w:shd w:val="clear" w:color="auto" w:fill="auto"/>
            <w:vAlign w:val="center"/>
          </w:tcPr>
          <w:p w:rsidR="00231761" w:rsidRPr="00256D63" w:rsidRDefault="00231761" w:rsidP="00000E53">
            <w:pPr>
              <w:jc w:val="center"/>
              <w:rPr>
                <w:rFonts w:eastAsia="Calibri"/>
                <w:sz w:val="20"/>
                <w:szCs w:val="20"/>
              </w:rPr>
            </w:pPr>
            <w:r w:rsidRPr="00256D63">
              <w:rPr>
                <w:rFonts w:eastAsia="Calibri"/>
                <w:sz w:val="20"/>
                <w:szCs w:val="20"/>
              </w:rPr>
              <w:t>83 313,6</w:t>
            </w:r>
          </w:p>
        </w:tc>
        <w:tc>
          <w:tcPr>
            <w:tcW w:w="1701" w:type="dxa"/>
            <w:shd w:val="clear" w:color="auto" w:fill="auto"/>
            <w:vAlign w:val="center"/>
          </w:tcPr>
          <w:p w:rsidR="00231761" w:rsidRPr="00256D63" w:rsidRDefault="00231761" w:rsidP="00000E53">
            <w:pPr>
              <w:jc w:val="center"/>
              <w:rPr>
                <w:rFonts w:eastAsia="Calibri"/>
                <w:sz w:val="20"/>
                <w:szCs w:val="20"/>
              </w:rPr>
            </w:pPr>
            <w:r w:rsidRPr="00256D63">
              <w:rPr>
                <w:rFonts w:eastAsia="Calibri"/>
                <w:sz w:val="20"/>
                <w:szCs w:val="20"/>
              </w:rPr>
              <w:t>87 536,1</w:t>
            </w:r>
          </w:p>
        </w:tc>
        <w:tc>
          <w:tcPr>
            <w:tcW w:w="1843" w:type="dxa"/>
            <w:shd w:val="clear" w:color="auto" w:fill="auto"/>
            <w:vAlign w:val="center"/>
          </w:tcPr>
          <w:p w:rsidR="00231761" w:rsidRPr="00256D63" w:rsidRDefault="00231761" w:rsidP="00000E53">
            <w:pPr>
              <w:jc w:val="center"/>
              <w:rPr>
                <w:rFonts w:eastAsia="Calibri"/>
                <w:sz w:val="20"/>
                <w:szCs w:val="20"/>
              </w:rPr>
            </w:pPr>
            <w:r w:rsidRPr="00256D63">
              <w:rPr>
                <w:rFonts w:eastAsia="Calibri"/>
                <w:sz w:val="20"/>
                <w:szCs w:val="20"/>
              </w:rPr>
              <w:t>83 313,6*</w:t>
            </w:r>
          </w:p>
        </w:tc>
        <w:tc>
          <w:tcPr>
            <w:tcW w:w="1842" w:type="dxa"/>
            <w:shd w:val="clear" w:color="auto" w:fill="auto"/>
            <w:vAlign w:val="center"/>
          </w:tcPr>
          <w:p w:rsidR="00231761" w:rsidRPr="00256D63" w:rsidRDefault="00231761" w:rsidP="00000E53">
            <w:pPr>
              <w:jc w:val="center"/>
              <w:rPr>
                <w:rFonts w:eastAsia="Calibri"/>
                <w:sz w:val="20"/>
                <w:szCs w:val="20"/>
              </w:rPr>
            </w:pPr>
            <w:r w:rsidRPr="00256D63">
              <w:rPr>
                <w:rFonts w:eastAsia="Calibri"/>
                <w:sz w:val="20"/>
                <w:szCs w:val="20"/>
              </w:rPr>
              <w:t>4 222,5</w:t>
            </w:r>
          </w:p>
        </w:tc>
      </w:tr>
      <w:tr w:rsidR="00231761" w:rsidRPr="00256D63" w:rsidTr="00000E53">
        <w:tc>
          <w:tcPr>
            <w:tcW w:w="2518" w:type="dxa"/>
            <w:shd w:val="clear" w:color="auto" w:fill="auto"/>
          </w:tcPr>
          <w:p w:rsidR="00231761" w:rsidRPr="00256D63" w:rsidRDefault="00231761" w:rsidP="00000E53">
            <w:pPr>
              <w:rPr>
                <w:rFonts w:eastAsia="Calibri"/>
                <w:sz w:val="20"/>
                <w:szCs w:val="20"/>
              </w:rPr>
            </w:pPr>
            <w:r w:rsidRPr="00256D63">
              <w:rPr>
                <w:rFonts w:eastAsia="Calibri"/>
                <w:sz w:val="20"/>
                <w:szCs w:val="20"/>
              </w:rPr>
              <w:t>Соглашение на 2021 год</w:t>
            </w:r>
          </w:p>
        </w:tc>
        <w:tc>
          <w:tcPr>
            <w:tcW w:w="1843" w:type="dxa"/>
            <w:shd w:val="clear" w:color="auto" w:fill="auto"/>
            <w:vAlign w:val="center"/>
          </w:tcPr>
          <w:p w:rsidR="00231761" w:rsidRPr="00256D63" w:rsidRDefault="00231761" w:rsidP="00000E53">
            <w:pPr>
              <w:jc w:val="center"/>
              <w:rPr>
                <w:rFonts w:eastAsia="Calibri"/>
                <w:sz w:val="20"/>
                <w:szCs w:val="20"/>
              </w:rPr>
            </w:pPr>
            <w:r w:rsidRPr="00256D63">
              <w:rPr>
                <w:rFonts w:eastAsia="Calibri"/>
                <w:sz w:val="20"/>
                <w:szCs w:val="20"/>
              </w:rPr>
              <w:t>62 000,0</w:t>
            </w:r>
          </w:p>
        </w:tc>
        <w:tc>
          <w:tcPr>
            <w:tcW w:w="1701" w:type="dxa"/>
            <w:shd w:val="clear" w:color="auto" w:fill="auto"/>
            <w:vAlign w:val="center"/>
          </w:tcPr>
          <w:p w:rsidR="00231761" w:rsidRPr="00256D63" w:rsidRDefault="00231761" w:rsidP="00000E53">
            <w:pPr>
              <w:jc w:val="center"/>
              <w:rPr>
                <w:rFonts w:eastAsia="Calibri"/>
                <w:sz w:val="20"/>
                <w:szCs w:val="20"/>
              </w:rPr>
            </w:pPr>
            <w:r w:rsidRPr="00256D63">
              <w:rPr>
                <w:rFonts w:eastAsia="Calibri"/>
                <w:sz w:val="20"/>
                <w:szCs w:val="20"/>
              </w:rPr>
              <w:t>58 337,0</w:t>
            </w:r>
          </w:p>
        </w:tc>
        <w:tc>
          <w:tcPr>
            <w:tcW w:w="1843" w:type="dxa"/>
            <w:shd w:val="clear" w:color="auto" w:fill="auto"/>
            <w:vAlign w:val="center"/>
          </w:tcPr>
          <w:p w:rsidR="00231761" w:rsidRPr="00256D63" w:rsidRDefault="00231761" w:rsidP="00000E53">
            <w:pPr>
              <w:jc w:val="center"/>
              <w:rPr>
                <w:rFonts w:eastAsia="Calibri"/>
                <w:sz w:val="20"/>
                <w:szCs w:val="20"/>
              </w:rPr>
            </w:pPr>
            <w:r w:rsidRPr="00256D63">
              <w:rPr>
                <w:rFonts w:eastAsia="Calibri"/>
                <w:sz w:val="20"/>
                <w:szCs w:val="20"/>
              </w:rPr>
              <w:t>62 000,0**</w:t>
            </w:r>
          </w:p>
        </w:tc>
        <w:tc>
          <w:tcPr>
            <w:tcW w:w="1842" w:type="dxa"/>
            <w:shd w:val="clear" w:color="auto" w:fill="auto"/>
            <w:vAlign w:val="center"/>
          </w:tcPr>
          <w:p w:rsidR="00231761" w:rsidRPr="00256D63" w:rsidRDefault="00231761" w:rsidP="00000E53">
            <w:pPr>
              <w:jc w:val="center"/>
              <w:rPr>
                <w:rFonts w:eastAsia="Calibri"/>
                <w:sz w:val="20"/>
                <w:szCs w:val="20"/>
              </w:rPr>
            </w:pPr>
            <w:r w:rsidRPr="00256D63">
              <w:rPr>
                <w:rFonts w:eastAsia="Calibri"/>
                <w:sz w:val="20"/>
                <w:szCs w:val="20"/>
              </w:rPr>
              <w:t>- 3 663,0</w:t>
            </w:r>
          </w:p>
        </w:tc>
      </w:tr>
      <w:tr w:rsidR="00231761" w:rsidRPr="00256D63" w:rsidTr="00000E53">
        <w:tc>
          <w:tcPr>
            <w:tcW w:w="2518" w:type="dxa"/>
            <w:shd w:val="clear" w:color="auto" w:fill="auto"/>
          </w:tcPr>
          <w:p w:rsidR="00231761" w:rsidRPr="00256D63" w:rsidRDefault="00231761" w:rsidP="00000E53">
            <w:pPr>
              <w:jc w:val="center"/>
              <w:rPr>
                <w:rFonts w:eastAsia="Calibri"/>
                <w:b/>
                <w:sz w:val="20"/>
                <w:szCs w:val="20"/>
              </w:rPr>
            </w:pPr>
            <w:r w:rsidRPr="00256D63">
              <w:rPr>
                <w:rFonts w:eastAsia="Calibri"/>
                <w:b/>
                <w:sz w:val="20"/>
                <w:szCs w:val="20"/>
              </w:rPr>
              <w:t>Всего</w:t>
            </w:r>
          </w:p>
        </w:tc>
        <w:tc>
          <w:tcPr>
            <w:tcW w:w="1843" w:type="dxa"/>
            <w:shd w:val="clear" w:color="auto" w:fill="auto"/>
            <w:vAlign w:val="center"/>
          </w:tcPr>
          <w:p w:rsidR="00231761" w:rsidRPr="00256D63" w:rsidRDefault="00231761" w:rsidP="00000E53">
            <w:pPr>
              <w:jc w:val="center"/>
              <w:rPr>
                <w:rFonts w:eastAsia="Calibri"/>
                <w:b/>
                <w:sz w:val="20"/>
                <w:szCs w:val="20"/>
              </w:rPr>
            </w:pPr>
            <w:r w:rsidRPr="00256D63">
              <w:rPr>
                <w:rFonts w:eastAsia="Calibri"/>
                <w:b/>
                <w:sz w:val="20"/>
                <w:szCs w:val="20"/>
              </w:rPr>
              <w:t>145 313,6</w:t>
            </w:r>
          </w:p>
        </w:tc>
        <w:tc>
          <w:tcPr>
            <w:tcW w:w="1701" w:type="dxa"/>
            <w:shd w:val="clear" w:color="auto" w:fill="auto"/>
            <w:vAlign w:val="center"/>
          </w:tcPr>
          <w:p w:rsidR="00231761" w:rsidRPr="00256D63" w:rsidRDefault="00231761" w:rsidP="00000E53">
            <w:pPr>
              <w:jc w:val="center"/>
              <w:rPr>
                <w:rFonts w:eastAsia="Calibri"/>
                <w:b/>
                <w:sz w:val="20"/>
                <w:szCs w:val="20"/>
              </w:rPr>
            </w:pPr>
            <w:r w:rsidRPr="00256D63">
              <w:rPr>
                <w:rFonts w:eastAsia="Calibri"/>
                <w:b/>
                <w:sz w:val="20"/>
                <w:szCs w:val="20"/>
              </w:rPr>
              <w:t>145 873,1</w:t>
            </w:r>
          </w:p>
        </w:tc>
        <w:tc>
          <w:tcPr>
            <w:tcW w:w="1843" w:type="dxa"/>
            <w:shd w:val="clear" w:color="auto" w:fill="auto"/>
            <w:vAlign w:val="center"/>
          </w:tcPr>
          <w:p w:rsidR="00231761" w:rsidRPr="00256D63" w:rsidRDefault="00231761" w:rsidP="00000E53">
            <w:pPr>
              <w:jc w:val="center"/>
              <w:rPr>
                <w:rFonts w:eastAsia="Calibri"/>
                <w:b/>
                <w:sz w:val="20"/>
                <w:szCs w:val="20"/>
              </w:rPr>
            </w:pPr>
            <w:r w:rsidRPr="00256D63">
              <w:rPr>
                <w:rFonts w:eastAsia="Calibri"/>
                <w:b/>
                <w:sz w:val="20"/>
                <w:szCs w:val="20"/>
              </w:rPr>
              <w:t>145 313,6</w:t>
            </w:r>
          </w:p>
        </w:tc>
        <w:tc>
          <w:tcPr>
            <w:tcW w:w="1842" w:type="dxa"/>
            <w:shd w:val="clear" w:color="auto" w:fill="auto"/>
            <w:vAlign w:val="center"/>
          </w:tcPr>
          <w:p w:rsidR="00231761" w:rsidRPr="00256D63" w:rsidRDefault="00231761" w:rsidP="00000E53">
            <w:pPr>
              <w:jc w:val="center"/>
              <w:rPr>
                <w:rFonts w:eastAsia="Calibri"/>
                <w:b/>
                <w:sz w:val="20"/>
                <w:szCs w:val="20"/>
              </w:rPr>
            </w:pPr>
            <w:r w:rsidRPr="00256D63">
              <w:rPr>
                <w:rFonts w:eastAsia="Calibri"/>
                <w:b/>
                <w:sz w:val="20"/>
                <w:szCs w:val="20"/>
              </w:rPr>
              <w:t>Х</w:t>
            </w:r>
          </w:p>
        </w:tc>
      </w:tr>
    </w:tbl>
    <w:p w:rsidR="00231761" w:rsidRPr="003A05B1" w:rsidRDefault="00231761" w:rsidP="00231761">
      <w:pPr>
        <w:jc w:val="both"/>
        <w:rPr>
          <w:sz w:val="20"/>
          <w:szCs w:val="20"/>
        </w:rPr>
      </w:pPr>
      <w:r>
        <w:rPr>
          <w:sz w:val="28"/>
          <w:szCs w:val="28"/>
        </w:rPr>
        <w:t xml:space="preserve">* </w:t>
      </w:r>
      <w:r>
        <w:rPr>
          <w:sz w:val="20"/>
          <w:szCs w:val="20"/>
        </w:rPr>
        <w:t>субсидия предоставлена в пределах утвержденных лимитов;</w:t>
      </w:r>
    </w:p>
    <w:p w:rsidR="00231761" w:rsidRDefault="00231761" w:rsidP="00231761">
      <w:pPr>
        <w:jc w:val="both"/>
        <w:rPr>
          <w:sz w:val="20"/>
          <w:szCs w:val="20"/>
        </w:rPr>
      </w:pPr>
      <w:r>
        <w:rPr>
          <w:sz w:val="28"/>
          <w:szCs w:val="28"/>
        </w:rPr>
        <w:t xml:space="preserve">** </w:t>
      </w:r>
      <w:r>
        <w:rPr>
          <w:sz w:val="20"/>
          <w:szCs w:val="20"/>
        </w:rPr>
        <w:t>сумма предоставленной субсидии включает в себя объем невозмещенных затрат за 2020 год в сумме 3 663,0 тыс. рублей (из 4 222,5 тыс. рублей).</w:t>
      </w:r>
    </w:p>
    <w:p w:rsidR="00231761" w:rsidRPr="003A6571" w:rsidRDefault="00231761" w:rsidP="00231761">
      <w:pPr>
        <w:jc w:val="both"/>
        <w:rPr>
          <w:sz w:val="12"/>
          <w:szCs w:val="12"/>
        </w:rPr>
      </w:pPr>
    </w:p>
    <w:p w:rsidR="00231761" w:rsidRPr="00A10A49" w:rsidRDefault="00231761" w:rsidP="00231761">
      <w:pPr>
        <w:ind w:firstLine="709"/>
        <w:jc w:val="both"/>
        <w:rPr>
          <w:b/>
          <w:sz w:val="28"/>
          <w:szCs w:val="28"/>
        </w:rPr>
      </w:pPr>
      <w:r>
        <w:rPr>
          <w:b/>
          <w:sz w:val="28"/>
          <w:szCs w:val="28"/>
        </w:rPr>
        <w:t>Субсидия на финансовое обеспечение затрат, связанных с техническим перевооружением</w:t>
      </w:r>
    </w:p>
    <w:p w:rsidR="00231761" w:rsidRPr="00297CCB" w:rsidRDefault="00231761" w:rsidP="00231761">
      <w:pPr>
        <w:autoSpaceDE w:val="0"/>
        <w:autoSpaceDN w:val="0"/>
        <w:adjustRightInd w:val="0"/>
        <w:ind w:firstLine="540"/>
        <w:jc w:val="both"/>
        <w:rPr>
          <w:bCs/>
          <w:sz w:val="6"/>
          <w:szCs w:val="6"/>
        </w:rPr>
      </w:pPr>
    </w:p>
    <w:p w:rsidR="00231761" w:rsidRDefault="00231761" w:rsidP="00231761">
      <w:pPr>
        <w:ind w:firstLine="708"/>
        <w:jc w:val="both"/>
        <w:rPr>
          <w:bCs/>
          <w:sz w:val="28"/>
          <w:szCs w:val="28"/>
        </w:rPr>
      </w:pPr>
      <w:r w:rsidRPr="00327BC4">
        <w:rPr>
          <w:bCs/>
          <w:sz w:val="28"/>
          <w:szCs w:val="28"/>
        </w:rPr>
        <w:t xml:space="preserve">Департаментом промышленности в </w:t>
      </w:r>
      <w:r>
        <w:rPr>
          <w:bCs/>
          <w:sz w:val="28"/>
          <w:szCs w:val="28"/>
        </w:rPr>
        <w:t>2021 году</w:t>
      </w:r>
      <w:r w:rsidRPr="00327BC4">
        <w:rPr>
          <w:bCs/>
          <w:sz w:val="28"/>
          <w:szCs w:val="28"/>
        </w:rPr>
        <w:t xml:space="preserve"> с ОАО «Шахта «Угольная» заключено 2 соглашения</w:t>
      </w:r>
      <w:r>
        <w:rPr>
          <w:bCs/>
          <w:sz w:val="28"/>
          <w:szCs w:val="28"/>
        </w:rPr>
        <w:t xml:space="preserve"> </w:t>
      </w:r>
      <w:r w:rsidRPr="00327BC4">
        <w:rPr>
          <w:bCs/>
          <w:sz w:val="28"/>
          <w:szCs w:val="28"/>
        </w:rPr>
        <w:t>о предоставлении из окружного бюджета субсидии юридическим лицам – предприятиям угольной промышленности, занимающимся добычей угля подземным способом на финансовое обеспечение затрат, связанных с техническим перевооружением</w:t>
      </w:r>
      <w:r>
        <w:rPr>
          <w:rStyle w:val="ab"/>
          <w:bCs/>
          <w:sz w:val="28"/>
          <w:szCs w:val="28"/>
        </w:rPr>
        <w:footnoteReference w:id="162"/>
      </w:r>
      <w:r>
        <w:rPr>
          <w:bCs/>
          <w:sz w:val="28"/>
          <w:szCs w:val="28"/>
        </w:rPr>
        <w:t>, на общую сумму 171 000,0 тыс. рублей (150 000,0 тыс. рублей и 21 000,0 тыс. рублей).</w:t>
      </w:r>
    </w:p>
    <w:p w:rsidR="00231761" w:rsidRDefault="00231761" w:rsidP="00231761">
      <w:pPr>
        <w:ind w:firstLine="708"/>
        <w:jc w:val="both"/>
        <w:rPr>
          <w:bCs/>
          <w:sz w:val="28"/>
          <w:szCs w:val="28"/>
        </w:rPr>
      </w:pPr>
      <w:r>
        <w:rPr>
          <w:bCs/>
          <w:sz w:val="28"/>
          <w:szCs w:val="28"/>
        </w:rPr>
        <w:t>Средства субсидий в рамках заключенных соглашений предоставлены Департаментом промышленности на основании Заявлений ОАО «Шахта «Угольная» на общую сумму 171 000,0 тыс. рублей.</w:t>
      </w:r>
    </w:p>
    <w:p w:rsidR="00231761" w:rsidRDefault="00231761" w:rsidP="00231761">
      <w:pPr>
        <w:ind w:firstLine="708"/>
        <w:jc w:val="both"/>
        <w:rPr>
          <w:bCs/>
          <w:sz w:val="28"/>
          <w:szCs w:val="28"/>
        </w:rPr>
      </w:pPr>
      <w:r>
        <w:rPr>
          <w:bCs/>
          <w:sz w:val="28"/>
          <w:szCs w:val="28"/>
        </w:rPr>
        <w:t>Документы, подтверждающие фактические расходы предоставлены ОАО «Шахта «Угольная»</w:t>
      </w:r>
      <w:r w:rsidRPr="009E6F43">
        <w:rPr>
          <w:sz w:val="28"/>
          <w:szCs w:val="28"/>
        </w:rPr>
        <w:t xml:space="preserve"> </w:t>
      </w:r>
      <w:r w:rsidRPr="003A05B1">
        <w:rPr>
          <w:sz w:val="28"/>
          <w:szCs w:val="28"/>
        </w:rPr>
        <w:t>на общую сумму 170 585,9 тыс. рублей (без НДС)</w:t>
      </w:r>
      <w:r>
        <w:rPr>
          <w:sz w:val="28"/>
          <w:szCs w:val="28"/>
        </w:rPr>
        <w:t>.</w:t>
      </w:r>
    </w:p>
    <w:p w:rsidR="00231761" w:rsidRPr="00F71792" w:rsidRDefault="00231761" w:rsidP="00231761">
      <w:pPr>
        <w:pStyle w:val="Style2"/>
        <w:widowControl/>
        <w:tabs>
          <w:tab w:val="left" w:pos="709"/>
        </w:tabs>
        <w:spacing w:line="240" w:lineRule="auto"/>
        <w:ind w:firstLine="708"/>
        <w:rPr>
          <w:sz w:val="28"/>
          <w:szCs w:val="28"/>
        </w:rPr>
      </w:pPr>
      <w:r w:rsidRPr="00F85F9C">
        <w:rPr>
          <w:rFonts w:eastAsia="Calibri"/>
          <w:sz w:val="28"/>
        </w:rPr>
        <w:t>Потребность в остатке средств субсидии</w:t>
      </w:r>
      <w:r>
        <w:rPr>
          <w:rFonts w:eastAsia="Calibri"/>
          <w:sz w:val="28"/>
        </w:rPr>
        <w:t>, неиспользованной в 2021 году,</w:t>
      </w:r>
      <w:r w:rsidRPr="00F85F9C">
        <w:rPr>
          <w:rFonts w:eastAsia="Calibri"/>
          <w:sz w:val="28"/>
        </w:rPr>
        <w:t xml:space="preserve"> </w:t>
      </w:r>
      <w:r w:rsidRPr="00F85F9C">
        <w:rPr>
          <w:sz w:val="28"/>
          <w:szCs w:val="28"/>
        </w:rPr>
        <w:t>подтверждена ОАО «Шахта «Угольная» и согласована Департаментом промышленности</w:t>
      </w:r>
      <w:r>
        <w:rPr>
          <w:sz w:val="28"/>
          <w:szCs w:val="28"/>
        </w:rPr>
        <w:t xml:space="preserve">. </w:t>
      </w:r>
    </w:p>
    <w:p w:rsidR="00231761" w:rsidRPr="00624C33" w:rsidRDefault="00231761" w:rsidP="00231761">
      <w:pPr>
        <w:ind w:firstLine="709"/>
        <w:jc w:val="both"/>
        <w:rPr>
          <w:sz w:val="16"/>
          <w:szCs w:val="16"/>
        </w:rPr>
      </w:pPr>
    </w:p>
    <w:p w:rsidR="00231761" w:rsidRDefault="00231761" w:rsidP="00231761">
      <w:pPr>
        <w:tabs>
          <w:tab w:val="left" w:pos="709"/>
        </w:tabs>
        <w:ind w:firstLine="708"/>
        <w:jc w:val="both"/>
        <w:rPr>
          <w:b/>
          <w:sz w:val="28"/>
          <w:szCs w:val="28"/>
        </w:rPr>
      </w:pPr>
      <w:r>
        <w:rPr>
          <w:b/>
          <w:sz w:val="28"/>
          <w:szCs w:val="28"/>
        </w:rPr>
        <w:t>Цель 2</w:t>
      </w:r>
      <w:r w:rsidRPr="00D77254">
        <w:rPr>
          <w:b/>
          <w:sz w:val="28"/>
          <w:szCs w:val="28"/>
        </w:rPr>
        <w:t>.</w:t>
      </w:r>
      <w:r>
        <w:rPr>
          <w:b/>
          <w:sz w:val="28"/>
          <w:szCs w:val="28"/>
        </w:rPr>
        <w:t> </w:t>
      </w:r>
      <w:r w:rsidRPr="00D77254">
        <w:rPr>
          <w:b/>
          <w:sz w:val="28"/>
          <w:szCs w:val="28"/>
        </w:rPr>
        <w:t>Оценка результативности использования средств окружного бюджета.</w:t>
      </w:r>
    </w:p>
    <w:p w:rsidR="00231761" w:rsidRPr="00297CCB" w:rsidRDefault="00231761" w:rsidP="00231761">
      <w:pPr>
        <w:ind w:firstLine="708"/>
        <w:rPr>
          <w:b/>
          <w:sz w:val="6"/>
          <w:szCs w:val="6"/>
        </w:rPr>
      </w:pPr>
    </w:p>
    <w:p w:rsidR="00231761" w:rsidRDefault="00231761" w:rsidP="00231761">
      <w:pPr>
        <w:tabs>
          <w:tab w:val="left" w:pos="567"/>
          <w:tab w:val="left" w:pos="709"/>
        </w:tabs>
        <w:autoSpaceDE w:val="0"/>
        <w:autoSpaceDN w:val="0"/>
        <w:adjustRightInd w:val="0"/>
        <w:ind w:firstLine="708"/>
        <w:jc w:val="both"/>
        <w:rPr>
          <w:rFonts w:eastAsia="Calibri"/>
          <w:sz w:val="28"/>
          <w:szCs w:val="28"/>
          <w:lang w:eastAsia="en-US"/>
        </w:rPr>
      </w:pPr>
      <w:r w:rsidRPr="00831934">
        <w:rPr>
          <w:rFonts w:eastAsia="Calibri"/>
          <w:sz w:val="28"/>
          <w:szCs w:val="28"/>
          <w:lang w:eastAsia="en-US"/>
        </w:rPr>
        <w:t>Департаментом промышленности в 2020-2021 годах</w:t>
      </w:r>
      <w:r>
        <w:rPr>
          <w:rFonts w:eastAsia="Calibri"/>
          <w:sz w:val="28"/>
          <w:szCs w:val="28"/>
          <w:lang w:eastAsia="en-US"/>
        </w:rPr>
        <w:t xml:space="preserve"> ОАО «Шахта «Угольная» предоставлена г</w:t>
      </w:r>
      <w:r w:rsidRPr="00831934">
        <w:rPr>
          <w:rFonts w:eastAsia="Calibri"/>
          <w:sz w:val="28"/>
          <w:szCs w:val="28"/>
          <w:lang w:eastAsia="en-US"/>
        </w:rPr>
        <w:t>осударственн</w:t>
      </w:r>
      <w:r>
        <w:rPr>
          <w:rFonts w:eastAsia="Calibri"/>
          <w:sz w:val="28"/>
          <w:szCs w:val="28"/>
          <w:lang w:eastAsia="en-US"/>
        </w:rPr>
        <w:t>ая</w:t>
      </w:r>
      <w:r w:rsidRPr="00831934">
        <w:rPr>
          <w:rFonts w:eastAsia="Calibri"/>
          <w:sz w:val="28"/>
          <w:szCs w:val="28"/>
          <w:lang w:eastAsia="en-US"/>
        </w:rPr>
        <w:t xml:space="preserve"> поддержк</w:t>
      </w:r>
      <w:r>
        <w:rPr>
          <w:rFonts w:eastAsia="Calibri"/>
          <w:sz w:val="28"/>
          <w:szCs w:val="28"/>
          <w:lang w:eastAsia="en-US"/>
        </w:rPr>
        <w:t>а</w:t>
      </w:r>
      <w:r w:rsidRPr="00831934">
        <w:rPr>
          <w:rFonts w:eastAsia="Calibri"/>
          <w:sz w:val="28"/>
          <w:szCs w:val="28"/>
          <w:lang w:eastAsia="en-US"/>
        </w:rPr>
        <w:t xml:space="preserve"> на возмещение затрат, связанных с техническим перевооружением</w:t>
      </w:r>
      <w:r>
        <w:rPr>
          <w:rFonts w:eastAsia="Calibri"/>
          <w:sz w:val="28"/>
          <w:szCs w:val="28"/>
          <w:lang w:eastAsia="en-US"/>
        </w:rPr>
        <w:t xml:space="preserve"> в общем объеме</w:t>
      </w:r>
      <w:r w:rsidRPr="00831934">
        <w:rPr>
          <w:rFonts w:eastAsia="Calibri"/>
          <w:sz w:val="28"/>
          <w:szCs w:val="28"/>
          <w:lang w:eastAsia="en-US"/>
        </w:rPr>
        <w:t xml:space="preserve"> 316 313,6 тыс. рублей</w:t>
      </w:r>
      <w:r>
        <w:rPr>
          <w:rFonts w:eastAsia="Calibri"/>
          <w:sz w:val="28"/>
          <w:szCs w:val="28"/>
          <w:lang w:eastAsia="en-US"/>
        </w:rPr>
        <w:t>.</w:t>
      </w:r>
    </w:p>
    <w:p w:rsidR="00231761" w:rsidRDefault="00231761" w:rsidP="00231761">
      <w:pPr>
        <w:tabs>
          <w:tab w:val="left" w:pos="567"/>
          <w:tab w:val="left" w:pos="709"/>
        </w:tabs>
        <w:autoSpaceDE w:val="0"/>
        <w:autoSpaceDN w:val="0"/>
        <w:adjustRightInd w:val="0"/>
        <w:ind w:firstLine="708"/>
        <w:jc w:val="both"/>
        <w:rPr>
          <w:rFonts w:eastAsia="Calibri"/>
          <w:sz w:val="28"/>
          <w:szCs w:val="28"/>
          <w:lang w:eastAsia="en-US"/>
        </w:rPr>
      </w:pPr>
      <w:r>
        <w:rPr>
          <w:rFonts w:eastAsia="Calibri"/>
          <w:sz w:val="28"/>
          <w:szCs w:val="28"/>
          <w:lang w:eastAsia="en-US"/>
        </w:rPr>
        <w:t>Объем фактических подтвержденных затрат ОАО «Шахта «Угольная» в проверяемом периоде составил 316 459,0 тыс. рублей (без НДС).</w:t>
      </w:r>
    </w:p>
    <w:p w:rsidR="00231761" w:rsidRDefault="00231761" w:rsidP="00231761">
      <w:pPr>
        <w:tabs>
          <w:tab w:val="left" w:pos="567"/>
          <w:tab w:val="left" w:pos="709"/>
        </w:tabs>
        <w:autoSpaceDE w:val="0"/>
        <w:autoSpaceDN w:val="0"/>
        <w:adjustRightInd w:val="0"/>
        <w:ind w:firstLine="709"/>
        <w:jc w:val="both"/>
        <w:rPr>
          <w:color w:val="000000"/>
          <w:sz w:val="28"/>
          <w:szCs w:val="28"/>
        </w:rPr>
      </w:pPr>
      <w:r>
        <w:rPr>
          <w:rFonts w:eastAsia="Calibri"/>
          <w:sz w:val="28"/>
          <w:szCs w:val="28"/>
          <w:lang w:eastAsia="en-US"/>
        </w:rPr>
        <w:t>Установленный соглашениями показатель результативности предоставления субсидий</w:t>
      </w:r>
      <w:r w:rsidRPr="00893211">
        <w:rPr>
          <w:rFonts w:eastAsia="Calibri"/>
          <w:sz w:val="28"/>
          <w:szCs w:val="28"/>
          <w:lang w:eastAsia="en-US"/>
        </w:rPr>
        <w:t xml:space="preserve"> </w:t>
      </w:r>
      <w:r>
        <w:rPr>
          <w:color w:val="000000"/>
          <w:sz w:val="28"/>
          <w:szCs w:val="28"/>
        </w:rPr>
        <w:t xml:space="preserve">– «Объем угля, добытого подземным способом» в </w:t>
      </w:r>
      <w:r>
        <w:rPr>
          <w:color w:val="000000"/>
          <w:sz w:val="28"/>
          <w:szCs w:val="28"/>
        </w:rPr>
        <w:lastRenderedPageBreak/>
        <w:t>количестве не менее 100 тыс. тонн в год достигнут. Фактический объем добычи угля за 2020</w:t>
      </w:r>
      <w:r w:rsidRPr="00F108A6">
        <w:rPr>
          <w:color w:val="000000"/>
          <w:sz w:val="28"/>
          <w:szCs w:val="28"/>
        </w:rPr>
        <w:t xml:space="preserve"> – </w:t>
      </w:r>
      <w:r>
        <w:rPr>
          <w:color w:val="000000"/>
          <w:sz w:val="28"/>
          <w:szCs w:val="28"/>
        </w:rPr>
        <w:t>2021 годы составил 200,6 тыс. тонн.</w:t>
      </w:r>
    </w:p>
    <w:p w:rsidR="00231761" w:rsidRDefault="00231761" w:rsidP="00231761">
      <w:pPr>
        <w:ind w:firstLine="709"/>
        <w:jc w:val="both"/>
        <w:rPr>
          <w:rFonts w:eastAsia="Calibri"/>
          <w:sz w:val="28"/>
          <w:szCs w:val="28"/>
        </w:rPr>
      </w:pPr>
      <w:r w:rsidRPr="00025F15">
        <w:rPr>
          <w:sz w:val="28"/>
          <w:szCs w:val="28"/>
        </w:rPr>
        <w:t>По сведениям</w:t>
      </w:r>
      <w:r>
        <w:rPr>
          <w:sz w:val="28"/>
          <w:szCs w:val="28"/>
        </w:rPr>
        <w:t xml:space="preserve">, предоставленным ОАО «Шахта «Угольная» </w:t>
      </w:r>
      <w:r>
        <w:rPr>
          <w:bCs/>
          <w:sz w:val="28"/>
          <w:szCs w:val="28"/>
        </w:rPr>
        <w:t>в</w:t>
      </w:r>
      <w:r w:rsidRPr="002200B6">
        <w:rPr>
          <w:bCs/>
          <w:sz w:val="28"/>
          <w:szCs w:val="28"/>
        </w:rPr>
        <w:t xml:space="preserve"> рамках реализации проекта «Техническое перевооружение </w:t>
      </w:r>
      <w:r>
        <w:rPr>
          <w:bCs/>
          <w:sz w:val="28"/>
          <w:szCs w:val="28"/>
        </w:rPr>
        <w:t>ОАО «Шахта «Угольная»</w:t>
      </w:r>
      <w:r w:rsidRPr="002200B6">
        <w:rPr>
          <w:bCs/>
          <w:sz w:val="28"/>
          <w:szCs w:val="28"/>
        </w:rPr>
        <w:t xml:space="preserve">, </w:t>
      </w:r>
      <w:r>
        <w:rPr>
          <w:bCs/>
          <w:sz w:val="28"/>
          <w:szCs w:val="28"/>
        </w:rPr>
        <w:t>по состоянию на 17 мая 2022 года</w:t>
      </w:r>
      <w:r w:rsidRPr="002200B6">
        <w:rPr>
          <w:bCs/>
          <w:sz w:val="28"/>
          <w:szCs w:val="28"/>
        </w:rPr>
        <w:t>, выполнены мероприятия по</w:t>
      </w:r>
      <w:r w:rsidRPr="002200B6">
        <w:rPr>
          <w:rFonts w:eastAsia="Calibri"/>
          <w:sz w:val="28"/>
          <w:szCs w:val="28"/>
        </w:rPr>
        <w:t xml:space="preserve"> внедрению многофункциональной системы безопасности:</w:t>
      </w:r>
    </w:p>
    <w:p w:rsidR="00231761" w:rsidRDefault="00231761" w:rsidP="00231761">
      <w:pPr>
        <w:ind w:firstLine="709"/>
        <w:jc w:val="both"/>
        <w:rPr>
          <w:rFonts w:eastAsia="Calibri"/>
          <w:sz w:val="28"/>
          <w:szCs w:val="28"/>
        </w:rPr>
      </w:pPr>
      <w:r>
        <w:rPr>
          <w:rFonts w:eastAsia="Calibri"/>
          <w:sz w:val="28"/>
          <w:szCs w:val="28"/>
        </w:rPr>
        <w:t xml:space="preserve">- Система контроля и управления стационарными вентиляторными установками и вентиляторами местного проветривания; </w:t>
      </w:r>
    </w:p>
    <w:p w:rsidR="00231761" w:rsidRDefault="00231761" w:rsidP="00231761">
      <w:pPr>
        <w:ind w:firstLine="709"/>
        <w:jc w:val="both"/>
        <w:rPr>
          <w:sz w:val="28"/>
          <w:szCs w:val="28"/>
        </w:rPr>
      </w:pPr>
      <w:r>
        <w:rPr>
          <w:sz w:val="28"/>
          <w:szCs w:val="28"/>
        </w:rPr>
        <w:t xml:space="preserve">- Система </w:t>
      </w:r>
      <w:proofErr w:type="spellStart"/>
      <w:r>
        <w:rPr>
          <w:sz w:val="28"/>
          <w:szCs w:val="28"/>
        </w:rPr>
        <w:t>аэрогазового</w:t>
      </w:r>
      <w:proofErr w:type="spellEnd"/>
      <w:r>
        <w:rPr>
          <w:sz w:val="28"/>
          <w:szCs w:val="28"/>
        </w:rPr>
        <w:t xml:space="preserve"> контроля АГК на базе «</w:t>
      </w:r>
      <w:proofErr w:type="spellStart"/>
      <w:r>
        <w:rPr>
          <w:sz w:val="28"/>
          <w:szCs w:val="28"/>
        </w:rPr>
        <w:t>Микон</w:t>
      </w:r>
      <w:proofErr w:type="spellEnd"/>
      <w:r w:rsidRPr="00AC3BA4">
        <w:rPr>
          <w:sz w:val="28"/>
          <w:szCs w:val="28"/>
        </w:rPr>
        <w:t xml:space="preserve"> </w:t>
      </w:r>
      <w:r>
        <w:rPr>
          <w:sz w:val="28"/>
          <w:szCs w:val="28"/>
          <w:lang w:val="en-US"/>
        </w:rPr>
        <w:t>III</w:t>
      </w:r>
      <w:r>
        <w:rPr>
          <w:sz w:val="28"/>
          <w:szCs w:val="28"/>
        </w:rPr>
        <w:t>»;</w:t>
      </w:r>
    </w:p>
    <w:p w:rsidR="00231761" w:rsidRDefault="00231761" w:rsidP="00231761">
      <w:pPr>
        <w:ind w:firstLine="709"/>
        <w:jc w:val="both"/>
        <w:rPr>
          <w:sz w:val="28"/>
          <w:szCs w:val="28"/>
        </w:rPr>
      </w:pPr>
      <w:r>
        <w:rPr>
          <w:sz w:val="28"/>
          <w:szCs w:val="28"/>
        </w:rPr>
        <w:t>- Система обнаружения признаков эндогенных и экзогенных пожаров;</w:t>
      </w:r>
    </w:p>
    <w:p w:rsidR="00231761" w:rsidRDefault="00231761" w:rsidP="00231761">
      <w:pPr>
        <w:ind w:firstLine="709"/>
        <w:jc w:val="both"/>
        <w:rPr>
          <w:sz w:val="28"/>
          <w:szCs w:val="28"/>
        </w:rPr>
      </w:pPr>
      <w:r>
        <w:rPr>
          <w:sz w:val="28"/>
          <w:szCs w:val="28"/>
        </w:rPr>
        <w:t>- Система контроля и управления пожарным водоснабжением;</w:t>
      </w:r>
    </w:p>
    <w:p w:rsidR="00231761" w:rsidRDefault="00231761" w:rsidP="00231761">
      <w:pPr>
        <w:ind w:firstLine="709"/>
        <w:jc w:val="both"/>
        <w:rPr>
          <w:sz w:val="28"/>
          <w:szCs w:val="28"/>
        </w:rPr>
      </w:pPr>
      <w:r>
        <w:rPr>
          <w:sz w:val="28"/>
          <w:szCs w:val="28"/>
        </w:rPr>
        <w:t>-</w:t>
      </w:r>
      <w:r>
        <w:t> </w:t>
      </w:r>
      <w:r>
        <w:rPr>
          <w:sz w:val="28"/>
          <w:szCs w:val="28"/>
        </w:rPr>
        <w:t>Система определения местоположения персонала в горных выработках шахты, поиска и обнаружения людей, застигнутых аварией;</w:t>
      </w:r>
    </w:p>
    <w:p w:rsidR="00231761" w:rsidRDefault="00231761" w:rsidP="00231761">
      <w:pPr>
        <w:ind w:firstLine="709"/>
        <w:jc w:val="both"/>
        <w:rPr>
          <w:sz w:val="28"/>
          <w:szCs w:val="28"/>
        </w:rPr>
      </w:pPr>
      <w:r>
        <w:rPr>
          <w:sz w:val="28"/>
          <w:szCs w:val="28"/>
        </w:rPr>
        <w:t>- Система контроля и управления средствами взрывозащиты горных выработок. Сланцевые заслоны устанавливаются во всех проводимых горных выработках с 2020 года.</w:t>
      </w:r>
    </w:p>
    <w:p w:rsidR="00231761" w:rsidRDefault="00231761" w:rsidP="00231761">
      <w:pPr>
        <w:ind w:firstLine="709"/>
        <w:jc w:val="both"/>
        <w:rPr>
          <w:sz w:val="28"/>
          <w:szCs w:val="28"/>
        </w:rPr>
      </w:pPr>
      <w:r>
        <w:rPr>
          <w:sz w:val="28"/>
          <w:szCs w:val="28"/>
        </w:rPr>
        <w:t>Также выполнены следующие мероприятия:</w:t>
      </w:r>
    </w:p>
    <w:p w:rsidR="00231761" w:rsidRDefault="00231761" w:rsidP="00231761">
      <w:pPr>
        <w:ind w:firstLine="709"/>
        <w:jc w:val="both"/>
        <w:rPr>
          <w:sz w:val="28"/>
          <w:szCs w:val="28"/>
        </w:rPr>
      </w:pPr>
      <w:r>
        <w:rPr>
          <w:sz w:val="28"/>
          <w:szCs w:val="28"/>
        </w:rPr>
        <w:t xml:space="preserve">- заменен аварийный участок противопожарного трубопровода протяженностью 370 </w:t>
      </w:r>
      <w:proofErr w:type="spellStart"/>
      <w:r>
        <w:rPr>
          <w:sz w:val="28"/>
          <w:szCs w:val="28"/>
        </w:rPr>
        <w:t>п.м</w:t>
      </w:r>
      <w:proofErr w:type="spellEnd"/>
      <w:r>
        <w:rPr>
          <w:sz w:val="28"/>
          <w:szCs w:val="28"/>
        </w:rPr>
        <w:t>.;</w:t>
      </w:r>
    </w:p>
    <w:p w:rsidR="00231761" w:rsidRDefault="00231761" w:rsidP="00231761">
      <w:pPr>
        <w:ind w:firstLine="709"/>
        <w:jc w:val="both"/>
        <w:rPr>
          <w:sz w:val="28"/>
          <w:szCs w:val="28"/>
        </w:rPr>
      </w:pPr>
      <w:r>
        <w:rPr>
          <w:sz w:val="28"/>
          <w:szCs w:val="28"/>
        </w:rPr>
        <w:t>- на блочной котельной предприятия, заменен котел КВм-1.25 для нагревания воды в центральном отоплении и поддержания циркуляции воды в пожарно-оросительном трубопроводе;</w:t>
      </w:r>
    </w:p>
    <w:p w:rsidR="00231761" w:rsidRDefault="00231761" w:rsidP="00231761">
      <w:pPr>
        <w:ind w:firstLine="709"/>
        <w:jc w:val="both"/>
        <w:rPr>
          <w:sz w:val="28"/>
          <w:szCs w:val="28"/>
        </w:rPr>
      </w:pPr>
      <w:r>
        <w:rPr>
          <w:sz w:val="28"/>
          <w:szCs w:val="28"/>
        </w:rPr>
        <w:t xml:space="preserve">- для </w:t>
      </w:r>
      <w:proofErr w:type="spellStart"/>
      <w:r>
        <w:rPr>
          <w:sz w:val="28"/>
          <w:szCs w:val="28"/>
        </w:rPr>
        <w:t>предсменных</w:t>
      </w:r>
      <w:proofErr w:type="spellEnd"/>
      <w:r>
        <w:rPr>
          <w:sz w:val="28"/>
          <w:szCs w:val="28"/>
        </w:rPr>
        <w:t xml:space="preserve"> и </w:t>
      </w:r>
      <w:proofErr w:type="spellStart"/>
      <w:r>
        <w:rPr>
          <w:sz w:val="28"/>
          <w:szCs w:val="28"/>
        </w:rPr>
        <w:t>предрейсовых</w:t>
      </w:r>
      <w:proofErr w:type="spellEnd"/>
      <w:r>
        <w:rPr>
          <w:sz w:val="28"/>
          <w:szCs w:val="28"/>
        </w:rPr>
        <w:t xml:space="preserve"> медосмотров закуплен аппарат ЭСМО (электронная система медицинских осмотров);</w:t>
      </w:r>
    </w:p>
    <w:p w:rsidR="00231761" w:rsidRDefault="00231761" w:rsidP="00231761">
      <w:pPr>
        <w:ind w:firstLine="709"/>
        <w:jc w:val="both"/>
        <w:rPr>
          <w:sz w:val="28"/>
          <w:szCs w:val="28"/>
        </w:rPr>
      </w:pPr>
      <w:r>
        <w:rPr>
          <w:sz w:val="28"/>
          <w:szCs w:val="28"/>
        </w:rPr>
        <w:t>- для формирования угольного и породного отвалов приобретено 2 бульдозера ТД-10.</w:t>
      </w:r>
    </w:p>
    <w:p w:rsidR="00231761" w:rsidRPr="007B41B5" w:rsidRDefault="00231761" w:rsidP="00231761">
      <w:pPr>
        <w:ind w:firstLine="709"/>
        <w:jc w:val="both"/>
        <w:rPr>
          <w:sz w:val="28"/>
          <w:szCs w:val="28"/>
        </w:rPr>
      </w:pPr>
      <w:r w:rsidRPr="007B41B5">
        <w:rPr>
          <w:sz w:val="28"/>
          <w:szCs w:val="28"/>
        </w:rPr>
        <w:t>В процессе ведения горных работ был произведен ремонт скребковых конвейеров с использованием приобретенных запасных частей</w:t>
      </w:r>
      <w:r>
        <w:rPr>
          <w:sz w:val="28"/>
          <w:szCs w:val="28"/>
        </w:rPr>
        <w:t>.</w:t>
      </w:r>
    </w:p>
    <w:p w:rsidR="00231761" w:rsidRDefault="00231761" w:rsidP="00231761">
      <w:pPr>
        <w:ind w:firstLine="709"/>
        <w:jc w:val="both"/>
        <w:rPr>
          <w:sz w:val="28"/>
          <w:szCs w:val="28"/>
        </w:rPr>
      </w:pPr>
      <w:r>
        <w:rPr>
          <w:sz w:val="28"/>
          <w:szCs w:val="28"/>
        </w:rPr>
        <w:t>В 2021 году введена в работу газоаналитическая лаборатория для разделки проб газовоздушных смесей.</w:t>
      </w:r>
    </w:p>
    <w:p w:rsidR="00231761" w:rsidRDefault="00231761" w:rsidP="00231761">
      <w:pPr>
        <w:ind w:firstLine="709"/>
        <w:jc w:val="both"/>
        <w:rPr>
          <w:sz w:val="28"/>
          <w:szCs w:val="28"/>
        </w:rPr>
      </w:pPr>
      <w:r>
        <w:rPr>
          <w:sz w:val="28"/>
          <w:szCs w:val="28"/>
        </w:rPr>
        <w:t>Для обеспечения проветривания шахты расчетным количеством воздуха был смонтирован новый вентилятор ВОД-11П с дополнительной аппаратурой (САУ-ВОД-11).</w:t>
      </w:r>
    </w:p>
    <w:p w:rsidR="00231761" w:rsidRDefault="00231761" w:rsidP="00231761">
      <w:pPr>
        <w:ind w:firstLine="709"/>
        <w:jc w:val="both"/>
        <w:rPr>
          <w:sz w:val="28"/>
          <w:szCs w:val="28"/>
        </w:rPr>
      </w:pPr>
      <w:r>
        <w:rPr>
          <w:sz w:val="28"/>
          <w:szCs w:val="28"/>
        </w:rPr>
        <w:t>Ведутся шеф-монтажные работы по монтажу механизированного комплекса 4ОКП-70БУ с заменой изношенных и нерабочих узлов для отработки очистного блока №13.</w:t>
      </w:r>
    </w:p>
    <w:p w:rsidR="00231761" w:rsidRDefault="00231761" w:rsidP="00231761">
      <w:pPr>
        <w:ind w:firstLine="709"/>
        <w:jc w:val="both"/>
        <w:rPr>
          <w:sz w:val="28"/>
          <w:szCs w:val="28"/>
        </w:rPr>
      </w:pPr>
      <w:r w:rsidRPr="005365AE">
        <w:rPr>
          <w:sz w:val="28"/>
          <w:szCs w:val="28"/>
        </w:rPr>
        <w:t>Приобретенные техника, оборудование и материальные запасы</w:t>
      </w:r>
      <w:r>
        <w:rPr>
          <w:sz w:val="28"/>
          <w:szCs w:val="28"/>
        </w:rPr>
        <w:t xml:space="preserve"> за счет средств субсидий</w:t>
      </w:r>
      <w:r w:rsidRPr="005365AE">
        <w:rPr>
          <w:sz w:val="28"/>
          <w:szCs w:val="28"/>
        </w:rPr>
        <w:t xml:space="preserve"> используются при осуществлении производственной деятельности </w:t>
      </w:r>
      <w:r>
        <w:rPr>
          <w:sz w:val="28"/>
          <w:szCs w:val="28"/>
        </w:rPr>
        <w:t xml:space="preserve">в рамках проекта по </w:t>
      </w:r>
      <w:r w:rsidRPr="005365AE">
        <w:rPr>
          <w:sz w:val="28"/>
          <w:szCs w:val="28"/>
        </w:rPr>
        <w:t xml:space="preserve">техническому перевооружению </w:t>
      </w:r>
      <w:r>
        <w:rPr>
          <w:sz w:val="28"/>
          <w:szCs w:val="28"/>
        </w:rPr>
        <w:t>ОАО «Шахта «Угольная»</w:t>
      </w:r>
      <w:r w:rsidRPr="005365AE">
        <w:rPr>
          <w:sz w:val="28"/>
          <w:szCs w:val="28"/>
        </w:rPr>
        <w:t>.</w:t>
      </w:r>
    </w:p>
    <w:p w:rsidR="00231761" w:rsidRPr="0013166D" w:rsidRDefault="00231761" w:rsidP="00231761">
      <w:pPr>
        <w:tabs>
          <w:tab w:val="left" w:pos="7513"/>
        </w:tabs>
        <w:jc w:val="both"/>
        <w:rPr>
          <w:bCs/>
          <w:sz w:val="16"/>
          <w:szCs w:val="16"/>
        </w:rPr>
      </w:pPr>
    </w:p>
    <w:p w:rsidR="00231761" w:rsidRPr="00917368" w:rsidRDefault="00231761" w:rsidP="00231761">
      <w:pPr>
        <w:tabs>
          <w:tab w:val="left" w:pos="709"/>
        </w:tabs>
        <w:jc w:val="both"/>
        <w:rPr>
          <w:b/>
          <w:bCs/>
          <w:sz w:val="28"/>
          <w:szCs w:val="28"/>
        </w:rPr>
      </w:pPr>
      <w:r>
        <w:rPr>
          <w:bCs/>
          <w:sz w:val="28"/>
          <w:szCs w:val="28"/>
        </w:rPr>
        <w:tab/>
      </w:r>
      <w:r w:rsidRPr="00917368">
        <w:rPr>
          <w:b/>
          <w:bCs/>
          <w:sz w:val="28"/>
          <w:szCs w:val="28"/>
        </w:rPr>
        <w:t>Возражения или замечания руководителей объектов контрольного мероприятия на результаты контрольного мероприятия.</w:t>
      </w:r>
    </w:p>
    <w:p w:rsidR="00231761" w:rsidRPr="00917368" w:rsidRDefault="00231761" w:rsidP="00231761">
      <w:pPr>
        <w:tabs>
          <w:tab w:val="left" w:pos="7513"/>
        </w:tabs>
        <w:jc w:val="both"/>
        <w:rPr>
          <w:bCs/>
          <w:sz w:val="16"/>
          <w:szCs w:val="16"/>
        </w:rPr>
      </w:pPr>
    </w:p>
    <w:p w:rsidR="00231761" w:rsidRPr="00917368" w:rsidRDefault="00231761" w:rsidP="00231761">
      <w:pPr>
        <w:tabs>
          <w:tab w:val="left" w:pos="709"/>
        </w:tabs>
        <w:jc w:val="both"/>
        <w:rPr>
          <w:bCs/>
          <w:sz w:val="28"/>
          <w:szCs w:val="28"/>
        </w:rPr>
      </w:pPr>
      <w:r>
        <w:rPr>
          <w:bCs/>
          <w:sz w:val="28"/>
          <w:szCs w:val="28"/>
        </w:rPr>
        <w:tab/>
      </w:r>
      <w:r w:rsidRPr="00917368">
        <w:rPr>
          <w:bCs/>
          <w:sz w:val="28"/>
          <w:szCs w:val="28"/>
        </w:rPr>
        <w:t>По результатам проведения контрольного мероприятия</w:t>
      </w:r>
      <w:r>
        <w:rPr>
          <w:bCs/>
          <w:sz w:val="28"/>
          <w:szCs w:val="28"/>
        </w:rPr>
        <w:t xml:space="preserve"> </w:t>
      </w:r>
      <w:r w:rsidRPr="00917368">
        <w:rPr>
          <w:bCs/>
          <w:sz w:val="28"/>
          <w:szCs w:val="28"/>
        </w:rPr>
        <w:t>оформлены</w:t>
      </w:r>
      <w:r>
        <w:rPr>
          <w:bCs/>
          <w:sz w:val="28"/>
          <w:szCs w:val="28"/>
        </w:rPr>
        <w:t xml:space="preserve"> 2 акта:</w:t>
      </w:r>
    </w:p>
    <w:p w:rsidR="00231761" w:rsidRPr="00917368" w:rsidRDefault="00231761" w:rsidP="00231761">
      <w:pPr>
        <w:tabs>
          <w:tab w:val="left" w:pos="709"/>
        </w:tabs>
        <w:jc w:val="both"/>
        <w:rPr>
          <w:bCs/>
          <w:sz w:val="28"/>
          <w:szCs w:val="28"/>
        </w:rPr>
      </w:pPr>
      <w:r>
        <w:rPr>
          <w:bCs/>
          <w:sz w:val="28"/>
          <w:szCs w:val="28"/>
        </w:rPr>
        <w:lastRenderedPageBreak/>
        <w:tab/>
      </w:r>
      <w:r w:rsidRPr="00917368">
        <w:rPr>
          <w:bCs/>
          <w:sz w:val="28"/>
          <w:szCs w:val="28"/>
        </w:rPr>
        <w:t>-</w:t>
      </w:r>
      <w:r>
        <w:rPr>
          <w:bCs/>
          <w:sz w:val="28"/>
          <w:szCs w:val="28"/>
        </w:rPr>
        <w:t> </w:t>
      </w:r>
      <w:r w:rsidRPr="00917368">
        <w:rPr>
          <w:bCs/>
          <w:sz w:val="28"/>
          <w:szCs w:val="28"/>
        </w:rPr>
        <w:t xml:space="preserve">от </w:t>
      </w:r>
      <w:r>
        <w:rPr>
          <w:bCs/>
          <w:sz w:val="28"/>
          <w:szCs w:val="28"/>
        </w:rPr>
        <w:t>20</w:t>
      </w:r>
      <w:r w:rsidRPr="00917368">
        <w:rPr>
          <w:bCs/>
          <w:sz w:val="28"/>
          <w:szCs w:val="28"/>
        </w:rPr>
        <w:t xml:space="preserve"> </w:t>
      </w:r>
      <w:r>
        <w:rPr>
          <w:bCs/>
          <w:sz w:val="28"/>
          <w:szCs w:val="28"/>
        </w:rPr>
        <w:t>мая</w:t>
      </w:r>
      <w:r w:rsidRPr="00917368">
        <w:rPr>
          <w:bCs/>
          <w:sz w:val="28"/>
          <w:szCs w:val="28"/>
        </w:rPr>
        <w:t xml:space="preserve"> 202</w:t>
      </w:r>
      <w:r>
        <w:rPr>
          <w:bCs/>
          <w:sz w:val="28"/>
          <w:szCs w:val="28"/>
        </w:rPr>
        <w:t>2</w:t>
      </w:r>
      <w:r w:rsidRPr="00917368">
        <w:rPr>
          <w:bCs/>
          <w:sz w:val="28"/>
          <w:szCs w:val="28"/>
        </w:rPr>
        <w:t xml:space="preserve"> года</w:t>
      </w:r>
      <w:r>
        <w:rPr>
          <w:bCs/>
          <w:sz w:val="28"/>
          <w:szCs w:val="28"/>
        </w:rPr>
        <w:t xml:space="preserve"> на объекте</w:t>
      </w:r>
      <w:r w:rsidRPr="00917368">
        <w:rPr>
          <w:bCs/>
          <w:sz w:val="28"/>
          <w:szCs w:val="28"/>
        </w:rPr>
        <w:t xml:space="preserve"> </w:t>
      </w:r>
      <w:r>
        <w:rPr>
          <w:bCs/>
          <w:sz w:val="28"/>
          <w:szCs w:val="28"/>
        </w:rPr>
        <w:t>– Открытое акционерное общество</w:t>
      </w:r>
      <w:r w:rsidRPr="00917368">
        <w:rPr>
          <w:bCs/>
          <w:sz w:val="28"/>
          <w:szCs w:val="28"/>
        </w:rPr>
        <w:t xml:space="preserve"> </w:t>
      </w:r>
      <w:r>
        <w:rPr>
          <w:bCs/>
          <w:sz w:val="28"/>
          <w:szCs w:val="28"/>
        </w:rPr>
        <w:t xml:space="preserve">«Шахта «Угольная», </w:t>
      </w:r>
      <w:r w:rsidRPr="00917368">
        <w:rPr>
          <w:bCs/>
          <w:sz w:val="28"/>
          <w:szCs w:val="28"/>
        </w:rPr>
        <w:t xml:space="preserve">подписан </w:t>
      </w:r>
      <w:r>
        <w:rPr>
          <w:bCs/>
          <w:sz w:val="28"/>
          <w:szCs w:val="28"/>
        </w:rPr>
        <w:t>без разногласий 20 мая 2022 года</w:t>
      </w:r>
      <w:r w:rsidRPr="00917368">
        <w:rPr>
          <w:bCs/>
          <w:sz w:val="28"/>
          <w:szCs w:val="28"/>
        </w:rPr>
        <w:t>;</w:t>
      </w:r>
    </w:p>
    <w:p w:rsidR="00231761" w:rsidRDefault="00231761" w:rsidP="00231761">
      <w:pPr>
        <w:tabs>
          <w:tab w:val="left" w:pos="709"/>
        </w:tabs>
        <w:jc w:val="both"/>
        <w:rPr>
          <w:bCs/>
          <w:sz w:val="28"/>
          <w:szCs w:val="28"/>
        </w:rPr>
      </w:pPr>
      <w:r>
        <w:rPr>
          <w:bCs/>
          <w:sz w:val="28"/>
          <w:szCs w:val="28"/>
        </w:rPr>
        <w:tab/>
      </w:r>
      <w:r w:rsidRPr="00917368">
        <w:rPr>
          <w:bCs/>
          <w:sz w:val="28"/>
          <w:szCs w:val="28"/>
        </w:rPr>
        <w:t>-</w:t>
      </w:r>
      <w:r>
        <w:rPr>
          <w:bCs/>
          <w:sz w:val="28"/>
          <w:szCs w:val="28"/>
        </w:rPr>
        <w:t> </w:t>
      </w:r>
      <w:r w:rsidRPr="00917368">
        <w:rPr>
          <w:bCs/>
          <w:sz w:val="28"/>
          <w:szCs w:val="28"/>
        </w:rPr>
        <w:t xml:space="preserve">от </w:t>
      </w:r>
      <w:r>
        <w:rPr>
          <w:bCs/>
          <w:sz w:val="28"/>
          <w:szCs w:val="28"/>
        </w:rPr>
        <w:t>20</w:t>
      </w:r>
      <w:r w:rsidRPr="00917368">
        <w:rPr>
          <w:bCs/>
          <w:sz w:val="28"/>
          <w:szCs w:val="28"/>
        </w:rPr>
        <w:t xml:space="preserve"> </w:t>
      </w:r>
      <w:r>
        <w:rPr>
          <w:bCs/>
          <w:sz w:val="28"/>
          <w:szCs w:val="28"/>
        </w:rPr>
        <w:t xml:space="preserve">мая </w:t>
      </w:r>
      <w:r w:rsidRPr="00917368">
        <w:rPr>
          <w:bCs/>
          <w:sz w:val="28"/>
          <w:szCs w:val="28"/>
        </w:rPr>
        <w:t>202</w:t>
      </w:r>
      <w:r>
        <w:rPr>
          <w:bCs/>
          <w:sz w:val="28"/>
          <w:szCs w:val="28"/>
        </w:rPr>
        <w:t>2</w:t>
      </w:r>
      <w:r w:rsidRPr="00917368">
        <w:rPr>
          <w:bCs/>
          <w:sz w:val="28"/>
          <w:szCs w:val="28"/>
        </w:rPr>
        <w:t xml:space="preserve"> года</w:t>
      </w:r>
      <w:r>
        <w:rPr>
          <w:bCs/>
          <w:sz w:val="28"/>
          <w:szCs w:val="28"/>
        </w:rPr>
        <w:t xml:space="preserve"> на объекте</w:t>
      </w:r>
      <w:r w:rsidRPr="00917368">
        <w:rPr>
          <w:bCs/>
          <w:sz w:val="28"/>
          <w:szCs w:val="28"/>
        </w:rPr>
        <w:t xml:space="preserve"> </w:t>
      </w:r>
      <w:r>
        <w:rPr>
          <w:bCs/>
          <w:sz w:val="28"/>
          <w:szCs w:val="28"/>
        </w:rPr>
        <w:t xml:space="preserve">– Департамент промышленной политики Чукотского автономного округа, подписан без разногласий </w:t>
      </w:r>
      <w:r w:rsidRPr="00170C97">
        <w:rPr>
          <w:bCs/>
          <w:sz w:val="28"/>
          <w:szCs w:val="28"/>
        </w:rPr>
        <w:t>24</w:t>
      </w:r>
      <w:r>
        <w:rPr>
          <w:bCs/>
          <w:sz w:val="28"/>
          <w:szCs w:val="28"/>
        </w:rPr>
        <w:t xml:space="preserve"> мая 2022 года.</w:t>
      </w:r>
    </w:p>
    <w:p w:rsidR="00231761" w:rsidRPr="00356B9F" w:rsidRDefault="00231761" w:rsidP="00231761">
      <w:pPr>
        <w:tabs>
          <w:tab w:val="left" w:pos="709"/>
        </w:tabs>
        <w:jc w:val="both"/>
        <w:rPr>
          <w:bCs/>
          <w:sz w:val="16"/>
          <w:szCs w:val="16"/>
        </w:rPr>
      </w:pPr>
    </w:p>
    <w:p w:rsidR="00231761" w:rsidRDefault="00231761" w:rsidP="00231761">
      <w:pPr>
        <w:tabs>
          <w:tab w:val="left" w:pos="709"/>
        </w:tabs>
        <w:jc w:val="both"/>
        <w:rPr>
          <w:b/>
          <w:bCs/>
          <w:sz w:val="28"/>
          <w:szCs w:val="28"/>
        </w:rPr>
      </w:pPr>
      <w:r>
        <w:rPr>
          <w:b/>
          <w:bCs/>
          <w:sz w:val="28"/>
          <w:szCs w:val="28"/>
        </w:rPr>
        <w:tab/>
      </w:r>
      <w:r w:rsidRPr="00C736C1">
        <w:rPr>
          <w:b/>
          <w:bCs/>
          <w:sz w:val="28"/>
          <w:szCs w:val="28"/>
        </w:rPr>
        <w:t>Выводы:</w:t>
      </w:r>
    </w:p>
    <w:p w:rsidR="00231761" w:rsidRPr="00356B9F" w:rsidRDefault="00231761" w:rsidP="00231761">
      <w:pPr>
        <w:tabs>
          <w:tab w:val="left" w:pos="709"/>
        </w:tabs>
        <w:jc w:val="both"/>
        <w:rPr>
          <w:b/>
          <w:bCs/>
          <w:sz w:val="16"/>
          <w:szCs w:val="16"/>
        </w:rPr>
      </w:pPr>
    </w:p>
    <w:p w:rsidR="00231761" w:rsidRPr="001839C5" w:rsidRDefault="00231761" w:rsidP="00231761">
      <w:pPr>
        <w:tabs>
          <w:tab w:val="left" w:pos="709"/>
        </w:tabs>
        <w:jc w:val="both"/>
        <w:rPr>
          <w:b/>
          <w:bCs/>
          <w:sz w:val="28"/>
          <w:szCs w:val="28"/>
        </w:rPr>
      </w:pPr>
      <w:r>
        <w:rPr>
          <w:bCs/>
          <w:sz w:val="28"/>
          <w:szCs w:val="28"/>
        </w:rPr>
        <w:tab/>
      </w:r>
      <w:r w:rsidRPr="001839C5">
        <w:rPr>
          <w:b/>
          <w:bCs/>
          <w:sz w:val="28"/>
          <w:szCs w:val="28"/>
        </w:rPr>
        <w:t>По Цели 1. </w:t>
      </w:r>
    </w:p>
    <w:p w:rsidR="00231761" w:rsidRDefault="00231761" w:rsidP="00231761">
      <w:pPr>
        <w:tabs>
          <w:tab w:val="left" w:pos="709"/>
        </w:tabs>
        <w:jc w:val="both"/>
        <w:rPr>
          <w:bCs/>
          <w:sz w:val="28"/>
          <w:szCs w:val="28"/>
        </w:rPr>
      </w:pPr>
      <w:r>
        <w:rPr>
          <w:bCs/>
          <w:sz w:val="28"/>
          <w:szCs w:val="28"/>
        </w:rPr>
        <w:tab/>
        <w:t xml:space="preserve">В ходе проверки подтверждена законность предоставления и использования бюджетных средств, направленных Департаментом промышленности в 2020 – 2021 годах ОАО «Шахта «Угольная» в форме субсидий </w:t>
      </w:r>
      <w:bookmarkStart w:id="88" w:name="_Hlk104488067"/>
      <w:r>
        <w:rPr>
          <w:bCs/>
          <w:sz w:val="28"/>
          <w:szCs w:val="28"/>
        </w:rPr>
        <w:t>на возмещение затрат, связанных с техническим перевооружением, и на финансовое обеспечение затрат, связанных с техническим перевооружением в общем объеме</w:t>
      </w:r>
      <w:bookmarkEnd w:id="88"/>
      <w:r>
        <w:rPr>
          <w:bCs/>
          <w:sz w:val="28"/>
          <w:szCs w:val="28"/>
        </w:rPr>
        <w:t xml:space="preserve"> 316 313,6 тыс. рублей. </w:t>
      </w:r>
    </w:p>
    <w:p w:rsidR="00231761" w:rsidRPr="001839C5" w:rsidRDefault="00231761" w:rsidP="00231761">
      <w:pPr>
        <w:tabs>
          <w:tab w:val="left" w:pos="709"/>
        </w:tabs>
        <w:jc w:val="both"/>
        <w:rPr>
          <w:b/>
          <w:bCs/>
          <w:sz w:val="28"/>
          <w:szCs w:val="28"/>
        </w:rPr>
      </w:pPr>
      <w:r>
        <w:rPr>
          <w:bCs/>
          <w:sz w:val="28"/>
          <w:szCs w:val="28"/>
        </w:rPr>
        <w:tab/>
      </w:r>
      <w:r w:rsidRPr="001839C5">
        <w:rPr>
          <w:b/>
          <w:bCs/>
          <w:sz w:val="28"/>
          <w:szCs w:val="28"/>
        </w:rPr>
        <w:t>По Цели 2. </w:t>
      </w:r>
    </w:p>
    <w:p w:rsidR="00231761" w:rsidRDefault="00231761" w:rsidP="00231761">
      <w:pPr>
        <w:tabs>
          <w:tab w:val="left" w:pos="709"/>
        </w:tabs>
        <w:jc w:val="both"/>
        <w:rPr>
          <w:bCs/>
          <w:sz w:val="28"/>
          <w:szCs w:val="28"/>
        </w:rPr>
      </w:pPr>
      <w:r>
        <w:rPr>
          <w:bCs/>
          <w:sz w:val="28"/>
          <w:szCs w:val="28"/>
        </w:rPr>
        <w:tab/>
        <w:t xml:space="preserve">В ходе проверки подтверждена результативность </w:t>
      </w:r>
      <w:r w:rsidRPr="00806772">
        <w:rPr>
          <w:bCs/>
          <w:sz w:val="28"/>
          <w:szCs w:val="28"/>
        </w:rPr>
        <w:t>использования бюджетных средств</w:t>
      </w:r>
      <w:r>
        <w:rPr>
          <w:bCs/>
          <w:sz w:val="28"/>
          <w:szCs w:val="28"/>
        </w:rPr>
        <w:t xml:space="preserve"> в рамках предоставленных в 2020 – 2021 годах субсидий на </w:t>
      </w:r>
      <w:r w:rsidRPr="00806772">
        <w:rPr>
          <w:bCs/>
          <w:sz w:val="28"/>
          <w:szCs w:val="28"/>
        </w:rPr>
        <w:t>возмещение затрат, связанных с техническим перевооружением, и на финансовое обеспечение затрат, связанных с техническим перевооружением</w:t>
      </w:r>
      <w:r>
        <w:rPr>
          <w:bCs/>
          <w:sz w:val="28"/>
          <w:szCs w:val="28"/>
        </w:rPr>
        <w:t xml:space="preserve">. </w:t>
      </w:r>
    </w:p>
    <w:p w:rsidR="00231761" w:rsidRDefault="00231761" w:rsidP="00231761">
      <w:pPr>
        <w:tabs>
          <w:tab w:val="left" w:pos="709"/>
        </w:tabs>
        <w:jc w:val="both"/>
        <w:rPr>
          <w:bCs/>
          <w:sz w:val="28"/>
          <w:szCs w:val="28"/>
        </w:rPr>
      </w:pPr>
      <w:r>
        <w:rPr>
          <w:bCs/>
          <w:sz w:val="28"/>
          <w:szCs w:val="28"/>
        </w:rPr>
        <w:tab/>
        <w:t>На средства субсидий</w:t>
      </w:r>
      <w:r w:rsidRPr="005A2B8B">
        <w:t xml:space="preserve"> </w:t>
      </w:r>
      <w:r>
        <w:rPr>
          <w:bCs/>
          <w:sz w:val="28"/>
          <w:szCs w:val="28"/>
        </w:rPr>
        <w:t xml:space="preserve">приобретены: техника, оборудование и материалы на общую </w:t>
      </w:r>
      <w:r w:rsidRPr="003A05B1">
        <w:rPr>
          <w:bCs/>
          <w:sz w:val="28"/>
          <w:szCs w:val="28"/>
        </w:rPr>
        <w:t>сумму 316 459,0 тыс. рублей</w:t>
      </w:r>
      <w:r>
        <w:rPr>
          <w:bCs/>
          <w:sz w:val="28"/>
          <w:szCs w:val="28"/>
        </w:rPr>
        <w:t xml:space="preserve"> (без НДС), в соответствии Ведомостью оборудования и материалов, необходимых на реализацию мероприятий по техническому перевооружению ОАО «Шахта «Угольная». По состоянию на 17 мая 2022 года выполнена часть мероприятий в рамках реализации проекта по техническому перевооружению ОАО «Шахта «Угольная». Мероприятия по техническому перевооружению продолжаются и в 2022 году.</w:t>
      </w:r>
    </w:p>
    <w:p w:rsidR="00231761" w:rsidRPr="00F64B64" w:rsidRDefault="00231761" w:rsidP="00231761">
      <w:pPr>
        <w:tabs>
          <w:tab w:val="left" w:pos="709"/>
        </w:tabs>
        <w:jc w:val="both"/>
        <w:rPr>
          <w:bCs/>
          <w:sz w:val="16"/>
          <w:szCs w:val="16"/>
        </w:rPr>
      </w:pPr>
      <w:r>
        <w:rPr>
          <w:bCs/>
          <w:sz w:val="28"/>
          <w:szCs w:val="28"/>
        </w:rPr>
        <w:tab/>
      </w:r>
    </w:p>
    <w:p w:rsidR="00231761" w:rsidRDefault="00231761" w:rsidP="00231761">
      <w:pPr>
        <w:tabs>
          <w:tab w:val="left" w:pos="7513"/>
        </w:tabs>
        <w:jc w:val="both"/>
        <w:rPr>
          <w:bCs/>
          <w:sz w:val="28"/>
          <w:szCs w:val="28"/>
        </w:rPr>
      </w:pPr>
    </w:p>
    <w:p w:rsidR="00231761" w:rsidRDefault="00231761" w:rsidP="00231761">
      <w:pPr>
        <w:tabs>
          <w:tab w:val="left" w:pos="7513"/>
        </w:tabs>
        <w:jc w:val="both"/>
        <w:rPr>
          <w:bCs/>
          <w:sz w:val="28"/>
          <w:szCs w:val="28"/>
        </w:rPr>
      </w:pPr>
    </w:p>
    <w:p w:rsidR="00231761" w:rsidRDefault="00231761" w:rsidP="00231761">
      <w:pPr>
        <w:tabs>
          <w:tab w:val="left" w:pos="7513"/>
        </w:tabs>
        <w:jc w:val="both"/>
        <w:rPr>
          <w:bCs/>
          <w:sz w:val="28"/>
          <w:szCs w:val="28"/>
        </w:rPr>
      </w:pPr>
    </w:p>
    <w:p w:rsidR="00231761" w:rsidRPr="00D30008" w:rsidRDefault="00231761" w:rsidP="00231761">
      <w:pPr>
        <w:tabs>
          <w:tab w:val="left" w:pos="7513"/>
        </w:tabs>
        <w:jc w:val="both"/>
        <w:rPr>
          <w:bCs/>
          <w:sz w:val="28"/>
          <w:szCs w:val="28"/>
        </w:rPr>
      </w:pPr>
      <w:r w:rsidRPr="00D30008">
        <w:rPr>
          <w:bCs/>
          <w:sz w:val="28"/>
          <w:szCs w:val="28"/>
        </w:rPr>
        <w:t>Аудитор Счетной палаты</w:t>
      </w:r>
    </w:p>
    <w:p w:rsidR="00B90482" w:rsidRDefault="00231761" w:rsidP="00231761">
      <w:pPr>
        <w:tabs>
          <w:tab w:val="left" w:pos="7513"/>
        </w:tabs>
        <w:jc w:val="both"/>
        <w:rPr>
          <w:bCs/>
          <w:sz w:val="28"/>
          <w:szCs w:val="28"/>
        </w:rPr>
      </w:pPr>
      <w:r w:rsidRPr="00D30008">
        <w:rPr>
          <w:bCs/>
          <w:sz w:val="28"/>
          <w:szCs w:val="28"/>
        </w:rPr>
        <w:t>Чукотского автономного округа</w:t>
      </w:r>
      <w:r w:rsidRPr="00D30008">
        <w:rPr>
          <w:bCs/>
          <w:sz w:val="28"/>
          <w:szCs w:val="28"/>
        </w:rPr>
        <w:tab/>
      </w:r>
      <w:r w:rsidRPr="00D30008">
        <w:rPr>
          <w:bCs/>
          <w:sz w:val="28"/>
          <w:szCs w:val="28"/>
        </w:rPr>
        <w:tab/>
        <w:t xml:space="preserve">О.М. </w:t>
      </w:r>
      <w:proofErr w:type="spellStart"/>
      <w:r w:rsidRPr="00D30008">
        <w:rPr>
          <w:bCs/>
          <w:sz w:val="28"/>
          <w:szCs w:val="28"/>
        </w:rPr>
        <w:t>Тодавчич</w:t>
      </w:r>
      <w:proofErr w:type="spellEnd"/>
    </w:p>
    <w:p w:rsidR="00B90482" w:rsidRDefault="00B90482">
      <w:pPr>
        <w:spacing w:after="200" w:line="276" w:lineRule="auto"/>
        <w:rPr>
          <w:bCs/>
          <w:sz w:val="28"/>
          <w:szCs w:val="28"/>
        </w:rPr>
      </w:pPr>
      <w:r>
        <w:rPr>
          <w:bCs/>
          <w:sz w:val="28"/>
          <w:szCs w:val="28"/>
        </w:rPr>
        <w:br w:type="page"/>
      </w:r>
    </w:p>
    <w:p w:rsidR="00C404B9" w:rsidRPr="00E41EBF" w:rsidRDefault="00C404B9" w:rsidP="00C404B9">
      <w:pPr>
        <w:jc w:val="center"/>
        <w:rPr>
          <w:b/>
          <w:sz w:val="28"/>
          <w:szCs w:val="28"/>
        </w:rPr>
      </w:pPr>
      <w:r>
        <w:rPr>
          <w:b/>
          <w:sz w:val="28"/>
          <w:szCs w:val="28"/>
        </w:rPr>
        <w:lastRenderedPageBreak/>
        <w:t>ОТЧЕТ</w:t>
      </w:r>
    </w:p>
    <w:p w:rsidR="00C404B9" w:rsidRPr="00D259DE" w:rsidRDefault="00C404B9" w:rsidP="00C404B9">
      <w:pPr>
        <w:pStyle w:val="6"/>
        <w:jc w:val="center"/>
        <w:rPr>
          <w:rFonts w:ascii="Times New Roman" w:hAnsi="Times New Roman"/>
          <w:color w:val="000000"/>
          <w:sz w:val="28"/>
          <w:szCs w:val="28"/>
        </w:rPr>
      </w:pPr>
      <w:r w:rsidRPr="00D259DE">
        <w:rPr>
          <w:rFonts w:ascii="Times New Roman" w:hAnsi="Times New Roman"/>
          <w:sz w:val="28"/>
          <w:szCs w:val="28"/>
        </w:rPr>
        <w:t>о результата</w:t>
      </w:r>
      <w:r>
        <w:rPr>
          <w:rFonts w:ascii="Times New Roman" w:hAnsi="Times New Roman"/>
          <w:sz w:val="28"/>
          <w:szCs w:val="28"/>
        </w:rPr>
        <w:t>х</w:t>
      </w:r>
      <w:r w:rsidRPr="00D259DE">
        <w:rPr>
          <w:rFonts w:ascii="Times New Roman" w:hAnsi="Times New Roman"/>
          <w:sz w:val="28"/>
          <w:szCs w:val="28"/>
        </w:rPr>
        <w:t xml:space="preserve"> </w:t>
      </w:r>
      <w:r w:rsidRPr="00D259DE">
        <w:rPr>
          <w:rFonts w:ascii="Times New Roman" w:hAnsi="Times New Roman"/>
          <w:snapToGrid w:val="0"/>
          <w:sz w:val="28"/>
          <w:szCs w:val="28"/>
        </w:rPr>
        <w:t>контрольного мероприятия</w:t>
      </w:r>
      <w:r w:rsidRPr="00D259DE">
        <w:rPr>
          <w:rFonts w:ascii="Times New Roman" w:hAnsi="Times New Roman"/>
          <w:color w:val="000000"/>
          <w:sz w:val="28"/>
          <w:szCs w:val="28"/>
        </w:rPr>
        <w:t xml:space="preserve"> </w:t>
      </w:r>
    </w:p>
    <w:p w:rsidR="00C404B9" w:rsidRDefault="00C404B9" w:rsidP="00C404B9">
      <w:pPr>
        <w:shd w:val="clear" w:color="auto" w:fill="FFFFFF"/>
        <w:jc w:val="center"/>
        <w:rPr>
          <w:b/>
          <w:sz w:val="28"/>
          <w:szCs w:val="28"/>
        </w:rPr>
      </w:pPr>
      <w:bookmarkStart w:id="89" w:name="_Hlk101536136"/>
      <w:r w:rsidRPr="00C1397D">
        <w:rPr>
          <w:b/>
          <w:sz w:val="28"/>
          <w:szCs w:val="28"/>
        </w:rPr>
        <w:t xml:space="preserve">«Проверка законности использования бюджетных средств, </w:t>
      </w:r>
    </w:p>
    <w:p w:rsidR="00C404B9" w:rsidRDefault="00C404B9" w:rsidP="00C404B9">
      <w:pPr>
        <w:shd w:val="clear" w:color="auto" w:fill="FFFFFF"/>
        <w:jc w:val="center"/>
        <w:rPr>
          <w:b/>
          <w:sz w:val="28"/>
          <w:szCs w:val="28"/>
        </w:rPr>
      </w:pPr>
      <w:r w:rsidRPr="00C1397D">
        <w:rPr>
          <w:b/>
          <w:sz w:val="28"/>
          <w:szCs w:val="28"/>
        </w:rPr>
        <w:t xml:space="preserve">направленных в 2020-2021 годах и истекшем периоде 2022 года на реализацию подпрограммы «Развитие жилищного строительства» Государственной программы «Развитие жилищного строительства </w:t>
      </w:r>
    </w:p>
    <w:p w:rsidR="00C404B9" w:rsidRDefault="00C404B9" w:rsidP="00C404B9">
      <w:pPr>
        <w:shd w:val="clear" w:color="auto" w:fill="FFFFFF"/>
        <w:jc w:val="center"/>
        <w:rPr>
          <w:b/>
          <w:sz w:val="28"/>
          <w:szCs w:val="28"/>
        </w:rPr>
      </w:pPr>
      <w:r w:rsidRPr="00C1397D">
        <w:rPr>
          <w:b/>
          <w:sz w:val="28"/>
          <w:szCs w:val="28"/>
        </w:rPr>
        <w:t>в Чукотском автономном округе»</w:t>
      </w:r>
    </w:p>
    <w:p w:rsidR="00C404B9" w:rsidRPr="00C40008" w:rsidRDefault="00C404B9" w:rsidP="00C404B9">
      <w:pPr>
        <w:jc w:val="center"/>
        <w:rPr>
          <w:sz w:val="16"/>
          <w:szCs w:val="16"/>
        </w:rPr>
      </w:pPr>
    </w:p>
    <w:p w:rsidR="00C404B9" w:rsidRDefault="00C404B9" w:rsidP="00C404B9">
      <w:pPr>
        <w:jc w:val="center"/>
        <w:rPr>
          <w:sz w:val="20"/>
          <w:szCs w:val="20"/>
        </w:rPr>
      </w:pPr>
      <w:r>
        <w:rPr>
          <w:sz w:val="20"/>
          <w:szCs w:val="20"/>
        </w:rPr>
        <w:t>(</w:t>
      </w:r>
      <w:r w:rsidRPr="00C94436">
        <w:rPr>
          <w:sz w:val="20"/>
          <w:szCs w:val="20"/>
        </w:rPr>
        <w:t>утвержден Коллегией Счетной палаты Чукотского автономного округа</w:t>
      </w:r>
      <w:r>
        <w:rPr>
          <w:sz w:val="20"/>
          <w:szCs w:val="20"/>
        </w:rPr>
        <w:t>,</w:t>
      </w:r>
    </w:p>
    <w:p w:rsidR="00C404B9" w:rsidRPr="00C94436" w:rsidRDefault="00C404B9" w:rsidP="00C404B9">
      <w:pPr>
        <w:jc w:val="center"/>
        <w:rPr>
          <w:sz w:val="20"/>
          <w:szCs w:val="20"/>
        </w:rPr>
      </w:pPr>
      <w:r w:rsidRPr="00C94436">
        <w:rPr>
          <w:sz w:val="20"/>
          <w:szCs w:val="20"/>
        </w:rPr>
        <w:t xml:space="preserve">протокол от </w:t>
      </w:r>
      <w:r>
        <w:rPr>
          <w:sz w:val="20"/>
          <w:szCs w:val="20"/>
        </w:rPr>
        <w:t xml:space="preserve">15 июня </w:t>
      </w:r>
      <w:r w:rsidRPr="00C94436">
        <w:rPr>
          <w:sz w:val="20"/>
          <w:szCs w:val="20"/>
        </w:rPr>
        <w:t>2022 г. №</w:t>
      </w:r>
      <w:r>
        <w:rPr>
          <w:sz w:val="20"/>
          <w:szCs w:val="20"/>
        </w:rPr>
        <w:t>12</w:t>
      </w:r>
      <w:r w:rsidRPr="00C94436">
        <w:rPr>
          <w:sz w:val="20"/>
          <w:szCs w:val="20"/>
        </w:rPr>
        <w:t>)</w:t>
      </w:r>
    </w:p>
    <w:bookmarkEnd w:id="89"/>
    <w:p w:rsidR="00C404B9" w:rsidRPr="00E41EBF" w:rsidRDefault="00C404B9" w:rsidP="00C404B9">
      <w:pPr>
        <w:jc w:val="center"/>
      </w:pPr>
    </w:p>
    <w:p w:rsidR="00C404B9" w:rsidRDefault="00C404B9" w:rsidP="00C404B9">
      <w:pPr>
        <w:ind w:right="-31" w:firstLine="708"/>
        <w:jc w:val="both"/>
        <w:rPr>
          <w:rFonts w:eastAsia="Calibri"/>
          <w:sz w:val="28"/>
          <w:szCs w:val="28"/>
        </w:rPr>
      </w:pPr>
      <w:r w:rsidRPr="00081600">
        <w:rPr>
          <w:b/>
          <w:bCs/>
          <w:sz w:val="28"/>
          <w:szCs w:val="28"/>
        </w:rPr>
        <w:t>1.</w:t>
      </w:r>
      <w:r>
        <w:rPr>
          <w:b/>
          <w:bCs/>
          <w:sz w:val="28"/>
          <w:szCs w:val="28"/>
        </w:rPr>
        <w:t xml:space="preserve"> </w:t>
      </w:r>
      <w:r w:rsidRPr="00132CEF">
        <w:rPr>
          <w:b/>
          <w:bCs/>
          <w:sz w:val="28"/>
          <w:szCs w:val="28"/>
        </w:rPr>
        <w:t xml:space="preserve">Основание для проведения контрольного мероприятия: </w:t>
      </w:r>
      <w:r w:rsidRPr="00132CEF">
        <w:rPr>
          <w:rFonts w:eastAsia="Calibri"/>
          <w:sz w:val="28"/>
          <w:szCs w:val="28"/>
        </w:rPr>
        <w:t>пункт 1.</w:t>
      </w:r>
      <w:r w:rsidRPr="00E8329A">
        <w:rPr>
          <w:rFonts w:eastAsia="Calibri"/>
          <w:sz w:val="28"/>
          <w:szCs w:val="28"/>
        </w:rPr>
        <w:t>6</w:t>
      </w:r>
      <w:r w:rsidRPr="00132CEF">
        <w:rPr>
          <w:rFonts w:eastAsia="Calibri"/>
          <w:sz w:val="28"/>
          <w:szCs w:val="28"/>
        </w:rPr>
        <w:t xml:space="preserve"> Плана работы Счетной палаты Чукотского автономного округа на 202</w:t>
      </w:r>
      <w:r>
        <w:rPr>
          <w:rFonts w:eastAsia="Calibri"/>
          <w:sz w:val="28"/>
          <w:szCs w:val="28"/>
        </w:rPr>
        <w:t>2</w:t>
      </w:r>
      <w:r w:rsidRPr="00132CEF">
        <w:rPr>
          <w:rFonts w:eastAsia="Calibri"/>
          <w:sz w:val="28"/>
          <w:szCs w:val="28"/>
        </w:rPr>
        <w:t xml:space="preserve"> год, утвержденного решением Коллегии Счетной палаты Чукотского автономного округа (протокол от 28 декабря 202</w:t>
      </w:r>
      <w:r>
        <w:rPr>
          <w:rFonts w:eastAsia="Calibri"/>
          <w:sz w:val="28"/>
          <w:szCs w:val="28"/>
        </w:rPr>
        <w:t>1</w:t>
      </w:r>
      <w:r w:rsidRPr="00132CEF">
        <w:rPr>
          <w:rFonts w:eastAsia="Calibri"/>
          <w:sz w:val="28"/>
          <w:szCs w:val="28"/>
        </w:rPr>
        <w:t xml:space="preserve"> года №</w:t>
      </w:r>
      <w:r>
        <w:rPr>
          <w:rFonts w:eastAsia="Calibri"/>
          <w:sz w:val="28"/>
          <w:szCs w:val="28"/>
        </w:rPr>
        <w:t>32</w:t>
      </w:r>
      <w:r w:rsidRPr="00132CEF">
        <w:rPr>
          <w:rFonts w:eastAsia="Calibri"/>
          <w:sz w:val="28"/>
          <w:szCs w:val="28"/>
        </w:rPr>
        <w:t xml:space="preserve">). </w:t>
      </w:r>
    </w:p>
    <w:p w:rsidR="00C404B9" w:rsidRPr="00081600" w:rsidRDefault="00C404B9" w:rsidP="00C404B9">
      <w:pPr>
        <w:ind w:right="-31" w:firstLine="708"/>
        <w:jc w:val="both"/>
        <w:rPr>
          <w:rFonts w:eastAsia="Calibri"/>
          <w:sz w:val="16"/>
          <w:szCs w:val="16"/>
        </w:rPr>
      </w:pPr>
    </w:p>
    <w:p w:rsidR="00C404B9" w:rsidRPr="00C1397D" w:rsidRDefault="00C404B9" w:rsidP="00C404B9">
      <w:pPr>
        <w:shd w:val="clear" w:color="auto" w:fill="FFFFFF"/>
        <w:autoSpaceDE w:val="0"/>
        <w:autoSpaceDN w:val="0"/>
        <w:adjustRightInd w:val="0"/>
        <w:spacing w:before="80"/>
        <w:ind w:firstLine="709"/>
        <w:jc w:val="both"/>
        <w:rPr>
          <w:rFonts w:eastAsia="Calibri"/>
          <w:sz w:val="28"/>
          <w:szCs w:val="28"/>
        </w:rPr>
      </w:pPr>
      <w:r w:rsidRPr="00132CEF">
        <w:rPr>
          <w:b/>
          <w:bCs/>
          <w:sz w:val="28"/>
          <w:szCs w:val="28"/>
        </w:rPr>
        <w:t xml:space="preserve">2. Предмет контрольного мероприятия: </w:t>
      </w:r>
      <w:r w:rsidRPr="00C1397D">
        <w:rPr>
          <w:rFonts w:eastAsia="Calibri"/>
          <w:sz w:val="28"/>
          <w:szCs w:val="28"/>
        </w:rPr>
        <w:t>деятельность объект</w:t>
      </w:r>
      <w:r>
        <w:rPr>
          <w:rFonts w:eastAsia="Calibri"/>
          <w:sz w:val="28"/>
          <w:szCs w:val="28"/>
        </w:rPr>
        <w:t>ов</w:t>
      </w:r>
      <w:r w:rsidRPr="00C1397D">
        <w:rPr>
          <w:rFonts w:eastAsia="Calibri"/>
          <w:sz w:val="28"/>
          <w:szCs w:val="28"/>
        </w:rPr>
        <w:t xml:space="preserve"> контрольного мероприятия по использованию бюджетных средств на развитие жилищного строительства в Чукотском автономном округе;</w:t>
      </w:r>
    </w:p>
    <w:p w:rsidR="00C404B9" w:rsidRDefault="00C404B9" w:rsidP="00C404B9">
      <w:pPr>
        <w:shd w:val="clear" w:color="auto" w:fill="FFFFFF"/>
        <w:autoSpaceDE w:val="0"/>
        <w:autoSpaceDN w:val="0"/>
        <w:adjustRightInd w:val="0"/>
        <w:ind w:firstLine="709"/>
        <w:jc w:val="both"/>
        <w:rPr>
          <w:rFonts w:eastAsia="Calibri"/>
          <w:sz w:val="28"/>
          <w:szCs w:val="28"/>
        </w:rPr>
      </w:pPr>
      <w:r w:rsidRPr="00C1397D">
        <w:rPr>
          <w:rFonts w:eastAsia="Calibri"/>
          <w:sz w:val="28"/>
          <w:szCs w:val="28"/>
        </w:rPr>
        <w:t>бухгалтерская, бюджетная, финансовая, статистическая и иная отчетность объект</w:t>
      </w:r>
      <w:r>
        <w:rPr>
          <w:rFonts w:eastAsia="Calibri"/>
          <w:sz w:val="28"/>
          <w:szCs w:val="28"/>
        </w:rPr>
        <w:t>ов</w:t>
      </w:r>
      <w:r w:rsidRPr="00C1397D">
        <w:rPr>
          <w:rFonts w:eastAsia="Calibri"/>
          <w:sz w:val="28"/>
          <w:szCs w:val="28"/>
        </w:rPr>
        <w:t xml:space="preserve"> контрольного мероприятия, первичные и иные документы по операциям с использованием </w:t>
      </w:r>
      <w:r>
        <w:rPr>
          <w:rFonts w:eastAsia="Calibri"/>
          <w:sz w:val="28"/>
          <w:szCs w:val="28"/>
        </w:rPr>
        <w:t>бюджетных</w:t>
      </w:r>
      <w:r w:rsidRPr="00C1397D">
        <w:rPr>
          <w:rFonts w:eastAsia="Calibri"/>
          <w:sz w:val="28"/>
          <w:szCs w:val="28"/>
        </w:rPr>
        <w:t xml:space="preserve"> средств на реализацию мероприятий подпрограммы «Развитие жилищного строительства» Государственной программы «Развитие жилищного строительства в Чукотском автономном округе».</w:t>
      </w:r>
    </w:p>
    <w:p w:rsidR="00C404B9" w:rsidRPr="00081600" w:rsidRDefault="00C404B9" w:rsidP="00C404B9">
      <w:pPr>
        <w:shd w:val="clear" w:color="auto" w:fill="FFFFFF"/>
        <w:autoSpaceDE w:val="0"/>
        <w:autoSpaceDN w:val="0"/>
        <w:adjustRightInd w:val="0"/>
        <w:ind w:firstLine="709"/>
        <w:jc w:val="both"/>
        <w:rPr>
          <w:rFonts w:eastAsia="Calibri"/>
          <w:sz w:val="16"/>
          <w:szCs w:val="16"/>
        </w:rPr>
      </w:pPr>
    </w:p>
    <w:p w:rsidR="00C404B9" w:rsidRDefault="00C404B9" w:rsidP="00C404B9">
      <w:pPr>
        <w:widowControl w:val="0"/>
        <w:autoSpaceDE w:val="0"/>
        <w:autoSpaceDN w:val="0"/>
        <w:adjustRightInd w:val="0"/>
        <w:ind w:firstLine="709"/>
        <w:jc w:val="both"/>
        <w:rPr>
          <w:b/>
          <w:sz w:val="28"/>
          <w:szCs w:val="28"/>
        </w:rPr>
      </w:pPr>
      <w:r w:rsidRPr="00132CEF">
        <w:rPr>
          <w:b/>
          <w:sz w:val="28"/>
          <w:szCs w:val="28"/>
        </w:rPr>
        <w:t>3. Цел</w:t>
      </w:r>
      <w:r>
        <w:rPr>
          <w:b/>
          <w:sz w:val="28"/>
          <w:szCs w:val="28"/>
        </w:rPr>
        <w:t>ь</w:t>
      </w:r>
      <w:r w:rsidRPr="00132CEF">
        <w:rPr>
          <w:b/>
          <w:sz w:val="28"/>
          <w:szCs w:val="28"/>
        </w:rPr>
        <w:t xml:space="preserve"> контрольного мероприятия:</w:t>
      </w:r>
    </w:p>
    <w:p w:rsidR="00C404B9" w:rsidRPr="00E9162C" w:rsidRDefault="00C404B9" w:rsidP="00C404B9">
      <w:pPr>
        <w:widowControl w:val="0"/>
        <w:autoSpaceDE w:val="0"/>
        <w:autoSpaceDN w:val="0"/>
        <w:adjustRightInd w:val="0"/>
        <w:ind w:firstLine="709"/>
        <w:jc w:val="both"/>
        <w:rPr>
          <w:b/>
          <w:sz w:val="16"/>
          <w:szCs w:val="16"/>
        </w:rPr>
      </w:pPr>
      <w:r w:rsidRPr="00E9162C">
        <w:rPr>
          <w:b/>
          <w:sz w:val="16"/>
          <w:szCs w:val="16"/>
        </w:rPr>
        <w:t xml:space="preserve"> </w:t>
      </w:r>
    </w:p>
    <w:p w:rsidR="00C404B9" w:rsidRDefault="00C404B9" w:rsidP="00C404B9">
      <w:pPr>
        <w:widowControl w:val="0"/>
        <w:autoSpaceDE w:val="0"/>
        <w:autoSpaceDN w:val="0"/>
        <w:adjustRightInd w:val="0"/>
        <w:ind w:firstLine="708"/>
        <w:jc w:val="both"/>
        <w:rPr>
          <w:sz w:val="28"/>
          <w:szCs w:val="28"/>
        </w:rPr>
      </w:pPr>
      <w:r w:rsidRPr="00C1397D">
        <w:rPr>
          <w:sz w:val="28"/>
          <w:szCs w:val="28"/>
        </w:rPr>
        <w:t>Установить</w:t>
      </w:r>
      <w:r>
        <w:rPr>
          <w:sz w:val="28"/>
          <w:szCs w:val="28"/>
        </w:rPr>
        <w:t xml:space="preserve"> </w:t>
      </w:r>
      <w:r w:rsidRPr="00C1397D">
        <w:rPr>
          <w:sz w:val="28"/>
          <w:szCs w:val="28"/>
        </w:rPr>
        <w:t>законность</w:t>
      </w:r>
      <w:r>
        <w:rPr>
          <w:sz w:val="28"/>
          <w:szCs w:val="28"/>
        </w:rPr>
        <w:t xml:space="preserve"> </w:t>
      </w:r>
      <w:r w:rsidRPr="00C1397D">
        <w:rPr>
          <w:sz w:val="28"/>
          <w:szCs w:val="28"/>
        </w:rPr>
        <w:t>использования бюджетных средств, направленных на реализацию мероприятий подпрограммы «Развитие жилищного строительства» Государственной программы «Развитие жилищного строительства в Чукотском автономном округе»</w:t>
      </w:r>
      <w:r>
        <w:rPr>
          <w:rStyle w:val="ab"/>
          <w:sz w:val="28"/>
          <w:szCs w:val="28"/>
        </w:rPr>
        <w:footnoteReference w:id="163"/>
      </w:r>
      <w:r w:rsidRPr="00C1397D">
        <w:rPr>
          <w:sz w:val="28"/>
          <w:szCs w:val="28"/>
        </w:rPr>
        <w:t>.</w:t>
      </w:r>
    </w:p>
    <w:p w:rsidR="00C404B9" w:rsidRPr="00E9162C" w:rsidRDefault="00C404B9" w:rsidP="00C404B9">
      <w:pPr>
        <w:widowControl w:val="0"/>
        <w:autoSpaceDE w:val="0"/>
        <w:autoSpaceDN w:val="0"/>
        <w:adjustRightInd w:val="0"/>
        <w:ind w:firstLine="708"/>
        <w:jc w:val="both"/>
        <w:rPr>
          <w:sz w:val="16"/>
          <w:szCs w:val="16"/>
        </w:rPr>
      </w:pPr>
    </w:p>
    <w:p w:rsidR="00C404B9" w:rsidRPr="00C1397D" w:rsidRDefault="00C404B9" w:rsidP="00C404B9">
      <w:pPr>
        <w:shd w:val="clear" w:color="auto" w:fill="FFFFFF"/>
        <w:ind w:firstLine="709"/>
        <w:jc w:val="both"/>
        <w:rPr>
          <w:b/>
          <w:sz w:val="28"/>
          <w:szCs w:val="28"/>
        </w:rPr>
      </w:pPr>
      <w:r w:rsidRPr="00C1397D">
        <w:rPr>
          <w:b/>
          <w:sz w:val="28"/>
          <w:szCs w:val="28"/>
        </w:rPr>
        <w:t>Вопросы контрольного мероприятия:</w:t>
      </w:r>
    </w:p>
    <w:p w:rsidR="00C404B9" w:rsidRPr="00C1397D" w:rsidRDefault="00C404B9" w:rsidP="00C404B9">
      <w:pPr>
        <w:shd w:val="clear" w:color="auto" w:fill="FFFFFF"/>
        <w:ind w:firstLine="709"/>
        <w:jc w:val="both"/>
        <w:rPr>
          <w:sz w:val="28"/>
          <w:szCs w:val="28"/>
        </w:rPr>
      </w:pPr>
      <w:r w:rsidRPr="00C1397D">
        <w:rPr>
          <w:sz w:val="28"/>
          <w:szCs w:val="28"/>
        </w:rPr>
        <w:t>1.</w:t>
      </w:r>
      <w:r w:rsidRPr="00C1397D">
        <w:rPr>
          <w:b/>
          <w:sz w:val="28"/>
          <w:szCs w:val="28"/>
        </w:rPr>
        <w:t> </w:t>
      </w:r>
      <w:r w:rsidRPr="00C1397D">
        <w:rPr>
          <w:sz w:val="28"/>
          <w:szCs w:val="28"/>
        </w:rPr>
        <w:t xml:space="preserve">Оценка </w:t>
      </w:r>
      <w:r w:rsidRPr="00C1397D">
        <w:rPr>
          <w:sz w:val="28"/>
          <w:szCs w:val="28"/>
          <w:shd w:val="clear" w:color="auto" w:fill="FFFFFF"/>
        </w:rPr>
        <w:t>использования бюджетных</w:t>
      </w:r>
      <w:r w:rsidRPr="00C1397D">
        <w:rPr>
          <w:sz w:val="28"/>
          <w:szCs w:val="28"/>
        </w:rPr>
        <w:t xml:space="preserve"> средств, направленных на реализацию мероприятий подпрограммы «Развитие жилищного строительства».</w:t>
      </w:r>
    </w:p>
    <w:p w:rsidR="00C404B9" w:rsidRPr="00C1397D" w:rsidRDefault="00C404B9" w:rsidP="00C404B9">
      <w:pPr>
        <w:shd w:val="clear" w:color="auto" w:fill="FFFFFF"/>
        <w:ind w:firstLine="709"/>
        <w:jc w:val="both"/>
        <w:rPr>
          <w:sz w:val="28"/>
          <w:szCs w:val="28"/>
        </w:rPr>
      </w:pPr>
      <w:r w:rsidRPr="00C1397D">
        <w:rPr>
          <w:sz w:val="28"/>
          <w:szCs w:val="28"/>
        </w:rPr>
        <w:t>2.</w:t>
      </w:r>
      <w:r>
        <w:rPr>
          <w:b/>
          <w:sz w:val="28"/>
          <w:szCs w:val="28"/>
          <w:lang w:val="en-US"/>
        </w:rPr>
        <w:t> </w:t>
      </w:r>
      <w:r w:rsidRPr="00C1397D">
        <w:rPr>
          <w:sz w:val="28"/>
          <w:szCs w:val="28"/>
        </w:rPr>
        <w:t>Оценка достижения запланированных результатов мероприятий подпрограммы «Развитие жилищного строительства».</w:t>
      </w:r>
    </w:p>
    <w:p w:rsidR="00C404B9" w:rsidRDefault="00C404B9" w:rsidP="00C404B9">
      <w:pPr>
        <w:tabs>
          <w:tab w:val="left" w:pos="709"/>
        </w:tabs>
        <w:spacing w:before="80"/>
        <w:jc w:val="both"/>
        <w:rPr>
          <w:b/>
          <w:bCs/>
          <w:sz w:val="28"/>
          <w:szCs w:val="28"/>
        </w:rPr>
      </w:pPr>
      <w:r>
        <w:rPr>
          <w:b/>
          <w:sz w:val="28"/>
          <w:szCs w:val="28"/>
        </w:rPr>
        <w:tab/>
      </w:r>
      <w:r w:rsidRPr="002E0028">
        <w:rPr>
          <w:b/>
          <w:sz w:val="28"/>
          <w:szCs w:val="28"/>
        </w:rPr>
        <w:t>4</w:t>
      </w:r>
      <w:r w:rsidRPr="00132CEF">
        <w:rPr>
          <w:b/>
          <w:sz w:val="28"/>
          <w:szCs w:val="28"/>
        </w:rPr>
        <w:t>.</w:t>
      </w:r>
      <w:r w:rsidRPr="00132CEF">
        <w:rPr>
          <w:sz w:val="28"/>
          <w:szCs w:val="28"/>
        </w:rPr>
        <w:t> </w:t>
      </w:r>
      <w:r w:rsidRPr="00132CEF">
        <w:rPr>
          <w:b/>
          <w:sz w:val="28"/>
          <w:szCs w:val="28"/>
        </w:rPr>
        <w:t>Объект</w:t>
      </w:r>
      <w:r>
        <w:rPr>
          <w:b/>
          <w:sz w:val="28"/>
          <w:szCs w:val="28"/>
        </w:rPr>
        <w:t>ы</w:t>
      </w:r>
      <w:r w:rsidRPr="00132CEF">
        <w:rPr>
          <w:b/>
          <w:sz w:val="28"/>
          <w:szCs w:val="28"/>
        </w:rPr>
        <w:t xml:space="preserve"> </w:t>
      </w:r>
      <w:r w:rsidRPr="00132CEF">
        <w:rPr>
          <w:b/>
          <w:bCs/>
          <w:sz w:val="28"/>
          <w:szCs w:val="28"/>
        </w:rPr>
        <w:t xml:space="preserve">контрольного мероприятия: </w:t>
      </w:r>
    </w:p>
    <w:p w:rsidR="00C404B9" w:rsidRDefault="00C404B9" w:rsidP="00C404B9">
      <w:pPr>
        <w:tabs>
          <w:tab w:val="left" w:pos="709"/>
        </w:tabs>
        <w:jc w:val="both"/>
        <w:rPr>
          <w:sz w:val="28"/>
          <w:szCs w:val="28"/>
        </w:rPr>
      </w:pPr>
      <w:r>
        <w:rPr>
          <w:sz w:val="28"/>
          <w:szCs w:val="28"/>
        </w:rPr>
        <w:tab/>
        <w:t>- </w:t>
      </w:r>
      <w:r w:rsidRPr="00132CEF">
        <w:rPr>
          <w:sz w:val="28"/>
          <w:szCs w:val="28"/>
        </w:rPr>
        <w:t>Департамент промышленной политики Чукотского автономного округа (далее – Департамент</w:t>
      </w:r>
      <w:r>
        <w:rPr>
          <w:sz w:val="28"/>
          <w:szCs w:val="28"/>
        </w:rPr>
        <w:t>,</w:t>
      </w:r>
      <w:r w:rsidRPr="00132CEF">
        <w:rPr>
          <w:sz w:val="28"/>
          <w:szCs w:val="28"/>
        </w:rPr>
        <w:t xml:space="preserve"> Департамент промышленности)</w:t>
      </w:r>
      <w:r>
        <w:rPr>
          <w:sz w:val="28"/>
          <w:szCs w:val="28"/>
        </w:rPr>
        <w:t>;</w:t>
      </w:r>
    </w:p>
    <w:p w:rsidR="00C404B9" w:rsidRDefault="00C404B9" w:rsidP="00C404B9">
      <w:pPr>
        <w:shd w:val="clear" w:color="auto" w:fill="FFFFFF"/>
        <w:ind w:firstLine="709"/>
        <w:jc w:val="both"/>
        <w:rPr>
          <w:sz w:val="28"/>
          <w:szCs w:val="28"/>
        </w:rPr>
      </w:pPr>
      <w:r>
        <w:rPr>
          <w:sz w:val="28"/>
          <w:szCs w:val="28"/>
        </w:rPr>
        <w:t>- </w:t>
      </w:r>
      <w:r w:rsidRPr="006818C1">
        <w:rPr>
          <w:sz w:val="28"/>
          <w:szCs w:val="28"/>
        </w:rPr>
        <w:t xml:space="preserve">Администрация </w:t>
      </w:r>
      <w:proofErr w:type="spellStart"/>
      <w:r w:rsidRPr="006818C1">
        <w:rPr>
          <w:sz w:val="28"/>
          <w:szCs w:val="28"/>
        </w:rPr>
        <w:t>Провиденского</w:t>
      </w:r>
      <w:proofErr w:type="spellEnd"/>
      <w:r w:rsidRPr="006818C1">
        <w:rPr>
          <w:sz w:val="28"/>
          <w:szCs w:val="28"/>
        </w:rPr>
        <w:t xml:space="preserve"> городского округа </w:t>
      </w:r>
      <w:r>
        <w:rPr>
          <w:sz w:val="28"/>
          <w:szCs w:val="28"/>
        </w:rPr>
        <w:t>(</w:t>
      </w:r>
      <w:proofErr w:type="spellStart"/>
      <w:r>
        <w:rPr>
          <w:sz w:val="28"/>
          <w:szCs w:val="28"/>
        </w:rPr>
        <w:t>камерально</w:t>
      </w:r>
      <w:proofErr w:type="spellEnd"/>
      <w:r>
        <w:rPr>
          <w:sz w:val="28"/>
          <w:szCs w:val="28"/>
        </w:rPr>
        <w:t>);</w:t>
      </w:r>
    </w:p>
    <w:p w:rsidR="00C404B9" w:rsidRPr="006818C1" w:rsidRDefault="00C404B9" w:rsidP="00C404B9">
      <w:pPr>
        <w:shd w:val="clear" w:color="auto" w:fill="FFFFFF"/>
        <w:ind w:firstLine="709"/>
        <w:jc w:val="both"/>
        <w:rPr>
          <w:sz w:val="28"/>
          <w:szCs w:val="28"/>
        </w:rPr>
      </w:pPr>
      <w:r>
        <w:rPr>
          <w:sz w:val="28"/>
          <w:szCs w:val="28"/>
        </w:rPr>
        <w:t xml:space="preserve">- </w:t>
      </w:r>
      <w:r w:rsidRPr="006818C1">
        <w:rPr>
          <w:sz w:val="28"/>
          <w:szCs w:val="28"/>
        </w:rPr>
        <w:t xml:space="preserve">Администрация городского округа </w:t>
      </w:r>
      <w:proofErr w:type="spellStart"/>
      <w:r w:rsidRPr="006818C1">
        <w:rPr>
          <w:sz w:val="28"/>
          <w:szCs w:val="28"/>
        </w:rPr>
        <w:t>Эгвекинот</w:t>
      </w:r>
      <w:proofErr w:type="spellEnd"/>
      <w:r w:rsidRPr="006818C1">
        <w:rPr>
          <w:sz w:val="28"/>
          <w:szCs w:val="28"/>
        </w:rPr>
        <w:t xml:space="preserve"> (</w:t>
      </w:r>
      <w:proofErr w:type="spellStart"/>
      <w:r w:rsidRPr="006818C1">
        <w:rPr>
          <w:sz w:val="28"/>
          <w:szCs w:val="28"/>
        </w:rPr>
        <w:t>камерально</w:t>
      </w:r>
      <w:proofErr w:type="spellEnd"/>
      <w:r w:rsidRPr="006818C1">
        <w:rPr>
          <w:sz w:val="28"/>
          <w:szCs w:val="28"/>
        </w:rPr>
        <w:t>);</w:t>
      </w:r>
    </w:p>
    <w:p w:rsidR="00C404B9" w:rsidRPr="006818C1" w:rsidRDefault="00C404B9" w:rsidP="00C404B9">
      <w:pPr>
        <w:shd w:val="clear" w:color="auto" w:fill="FFFFFF"/>
        <w:ind w:firstLine="709"/>
        <w:jc w:val="both"/>
        <w:rPr>
          <w:sz w:val="28"/>
          <w:szCs w:val="28"/>
        </w:rPr>
      </w:pPr>
      <w:r w:rsidRPr="006818C1">
        <w:rPr>
          <w:sz w:val="28"/>
          <w:szCs w:val="28"/>
        </w:rPr>
        <w:t>- Администрация сельского поселения Уэлен (</w:t>
      </w:r>
      <w:proofErr w:type="spellStart"/>
      <w:r w:rsidRPr="006818C1">
        <w:rPr>
          <w:sz w:val="28"/>
          <w:szCs w:val="28"/>
        </w:rPr>
        <w:t>камерально</w:t>
      </w:r>
      <w:proofErr w:type="spellEnd"/>
      <w:r w:rsidRPr="006818C1">
        <w:rPr>
          <w:sz w:val="28"/>
          <w:szCs w:val="28"/>
        </w:rPr>
        <w:t>);</w:t>
      </w:r>
    </w:p>
    <w:p w:rsidR="00C404B9" w:rsidRPr="006818C1" w:rsidRDefault="00C404B9" w:rsidP="00C404B9">
      <w:pPr>
        <w:shd w:val="clear" w:color="auto" w:fill="FFFFFF"/>
        <w:ind w:firstLine="709"/>
        <w:jc w:val="both"/>
        <w:rPr>
          <w:sz w:val="28"/>
          <w:szCs w:val="28"/>
        </w:rPr>
      </w:pPr>
      <w:r w:rsidRPr="006818C1">
        <w:rPr>
          <w:sz w:val="28"/>
          <w:szCs w:val="28"/>
        </w:rPr>
        <w:t xml:space="preserve">- Администрация сельского поселения </w:t>
      </w:r>
      <w:proofErr w:type="spellStart"/>
      <w:r w:rsidRPr="006818C1">
        <w:rPr>
          <w:sz w:val="28"/>
          <w:szCs w:val="28"/>
        </w:rPr>
        <w:t>Лорино</w:t>
      </w:r>
      <w:proofErr w:type="spellEnd"/>
      <w:r w:rsidRPr="006818C1">
        <w:rPr>
          <w:sz w:val="28"/>
          <w:szCs w:val="28"/>
        </w:rPr>
        <w:t xml:space="preserve"> (</w:t>
      </w:r>
      <w:proofErr w:type="spellStart"/>
      <w:r w:rsidRPr="006818C1">
        <w:rPr>
          <w:sz w:val="28"/>
          <w:szCs w:val="28"/>
        </w:rPr>
        <w:t>камерально</w:t>
      </w:r>
      <w:proofErr w:type="spellEnd"/>
      <w:r w:rsidRPr="006818C1">
        <w:rPr>
          <w:sz w:val="28"/>
          <w:szCs w:val="28"/>
        </w:rPr>
        <w:t>).</w:t>
      </w:r>
    </w:p>
    <w:p w:rsidR="00C404B9" w:rsidRPr="00132CEF" w:rsidRDefault="00C404B9" w:rsidP="00C404B9">
      <w:pPr>
        <w:tabs>
          <w:tab w:val="left" w:pos="709"/>
        </w:tabs>
        <w:spacing w:before="80"/>
        <w:jc w:val="both"/>
        <w:rPr>
          <w:sz w:val="28"/>
          <w:szCs w:val="28"/>
        </w:rPr>
      </w:pPr>
      <w:r>
        <w:rPr>
          <w:sz w:val="28"/>
          <w:szCs w:val="28"/>
        </w:rPr>
        <w:lastRenderedPageBreak/>
        <w:tab/>
      </w:r>
      <w:r>
        <w:rPr>
          <w:b/>
          <w:sz w:val="28"/>
          <w:szCs w:val="28"/>
        </w:rPr>
        <w:t>5</w:t>
      </w:r>
      <w:r w:rsidRPr="003B41AB">
        <w:rPr>
          <w:b/>
          <w:sz w:val="28"/>
          <w:szCs w:val="28"/>
        </w:rPr>
        <w:t>. Проверяемый период деятельности:</w:t>
      </w:r>
      <w:r w:rsidRPr="003B41AB">
        <w:rPr>
          <w:sz w:val="28"/>
          <w:szCs w:val="28"/>
        </w:rPr>
        <w:t xml:space="preserve"> 2020 – 2021 годы</w:t>
      </w:r>
      <w:r>
        <w:rPr>
          <w:sz w:val="28"/>
          <w:szCs w:val="28"/>
        </w:rPr>
        <w:t xml:space="preserve"> и 1 квартал 2022 года</w:t>
      </w:r>
      <w:r w:rsidRPr="003B41AB">
        <w:rPr>
          <w:sz w:val="28"/>
          <w:szCs w:val="28"/>
        </w:rPr>
        <w:t>.</w:t>
      </w:r>
    </w:p>
    <w:p w:rsidR="00C404B9" w:rsidRDefault="00C404B9" w:rsidP="00C404B9">
      <w:pPr>
        <w:tabs>
          <w:tab w:val="left" w:pos="709"/>
        </w:tabs>
        <w:spacing w:before="80"/>
        <w:jc w:val="both"/>
        <w:rPr>
          <w:sz w:val="28"/>
          <w:szCs w:val="28"/>
        </w:rPr>
      </w:pPr>
      <w:r w:rsidRPr="00132CEF">
        <w:rPr>
          <w:sz w:val="28"/>
          <w:szCs w:val="28"/>
        </w:rPr>
        <w:tab/>
      </w:r>
      <w:r>
        <w:rPr>
          <w:b/>
          <w:bCs/>
          <w:sz w:val="28"/>
          <w:szCs w:val="28"/>
        </w:rPr>
        <w:t>6</w:t>
      </w:r>
      <w:r w:rsidRPr="00132CEF">
        <w:rPr>
          <w:b/>
          <w:bCs/>
          <w:sz w:val="28"/>
          <w:szCs w:val="28"/>
        </w:rPr>
        <w:t xml:space="preserve">. Сроки проверки: </w:t>
      </w:r>
      <w:r w:rsidRPr="00132CEF">
        <w:rPr>
          <w:sz w:val="28"/>
          <w:szCs w:val="28"/>
        </w:rPr>
        <w:t xml:space="preserve">с </w:t>
      </w:r>
      <w:r>
        <w:rPr>
          <w:sz w:val="28"/>
          <w:szCs w:val="28"/>
        </w:rPr>
        <w:t>26</w:t>
      </w:r>
      <w:r w:rsidRPr="00132CEF">
        <w:rPr>
          <w:sz w:val="28"/>
          <w:szCs w:val="28"/>
        </w:rPr>
        <w:t xml:space="preserve"> </w:t>
      </w:r>
      <w:r>
        <w:rPr>
          <w:sz w:val="28"/>
          <w:szCs w:val="28"/>
        </w:rPr>
        <w:t>апреля</w:t>
      </w:r>
      <w:r w:rsidRPr="00132CEF">
        <w:rPr>
          <w:sz w:val="28"/>
          <w:szCs w:val="28"/>
        </w:rPr>
        <w:t xml:space="preserve"> </w:t>
      </w:r>
      <w:r w:rsidRPr="00515F83">
        <w:rPr>
          <w:sz w:val="28"/>
          <w:szCs w:val="28"/>
        </w:rPr>
        <w:t xml:space="preserve">по </w:t>
      </w:r>
      <w:r>
        <w:rPr>
          <w:sz w:val="28"/>
          <w:szCs w:val="28"/>
        </w:rPr>
        <w:t>10 июня</w:t>
      </w:r>
      <w:r w:rsidRPr="00132CEF">
        <w:rPr>
          <w:sz w:val="28"/>
          <w:szCs w:val="28"/>
        </w:rPr>
        <w:t xml:space="preserve"> 202</w:t>
      </w:r>
      <w:r>
        <w:rPr>
          <w:sz w:val="28"/>
          <w:szCs w:val="28"/>
        </w:rPr>
        <w:t>2</w:t>
      </w:r>
      <w:r w:rsidRPr="00132CEF">
        <w:rPr>
          <w:sz w:val="28"/>
          <w:szCs w:val="28"/>
        </w:rPr>
        <w:t xml:space="preserve"> года.</w:t>
      </w:r>
    </w:p>
    <w:p w:rsidR="00C404B9" w:rsidRPr="00046DB5" w:rsidRDefault="00C404B9" w:rsidP="00C404B9">
      <w:pPr>
        <w:ind w:firstLine="709"/>
        <w:jc w:val="both"/>
        <w:rPr>
          <w:b/>
          <w:bCs/>
          <w:sz w:val="16"/>
          <w:szCs w:val="16"/>
        </w:rPr>
      </w:pPr>
    </w:p>
    <w:p w:rsidR="00C404B9" w:rsidRDefault="00C404B9" w:rsidP="00C404B9">
      <w:pPr>
        <w:ind w:firstLine="708"/>
        <w:jc w:val="both"/>
        <w:rPr>
          <w:b/>
          <w:sz w:val="28"/>
          <w:szCs w:val="28"/>
        </w:rPr>
      </w:pPr>
      <w:r>
        <w:rPr>
          <w:b/>
          <w:sz w:val="28"/>
          <w:szCs w:val="28"/>
        </w:rPr>
        <w:t>7.</w:t>
      </w:r>
      <w:r w:rsidRPr="00027B83">
        <w:rPr>
          <w:b/>
          <w:sz w:val="28"/>
          <w:szCs w:val="28"/>
        </w:rPr>
        <w:t xml:space="preserve"> </w:t>
      </w:r>
      <w:r>
        <w:rPr>
          <w:b/>
          <w:sz w:val="28"/>
          <w:szCs w:val="28"/>
        </w:rPr>
        <w:t>Краткая характеристика проверяемой сферы.</w:t>
      </w:r>
    </w:p>
    <w:p w:rsidR="00C404B9" w:rsidRPr="002E0028" w:rsidRDefault="00C404B9" w:rsidP="00C404B9">
      <w:pPr>
        <w:ind w:firstLine="708"/>
        <w:jc w:val="both"/>
        <w:rPr>
          <w:b/>
          <w:sz w:val="16"/>
          <w:szCs w:val="16"/>
        </w:rPr>
      </w:pPr>
    </w:p>
    <w:p w:rsidR="00C404B9" w:rsidRDefault="00C404B9" w:rsidP="00C404B9">
      <w:pPr>
        <w:shd w:val="clear" w:color="auto" w:fill="FFFFFF"/>
        <w:autoSpaceDE w:val="0"/>
        <w:autoSpaceDN w:val="0"/>
        <w:adjustRightInd w:val="0"/>
        <w:ind w:firstLine="708"/>
        <w:jc w:val="both"/>
        <w:rPr>
          <w:sz w:val="28"/>
          <w:szCs w:val="28"/>
        </w:rPr>
      </w:pPr>
      <w:r>
        <w:rPr>
          <w:sz w:val="28"/>
          <w:szCs w:val="28"/>
        </w:rPr>
        <w:t xml:space="preserve">В целях реализации </w:t>
      </w:r>
      <w:r w:rsidRPr="005E4C36">
        <w:rPr>
          <w:bCs/>
          <w:sz w:val="28"/>
          <w:szCs w:val="28"/>
        </w:rPr>
        <w:t>государственных полномочий в сфере жилищной политики</w:t>
      </w:r>
      <w:r>
        <w:rPr>
          <w:bCs/>
          <w:sz w:val="28"/>
          <w:szCs w:val="28"/>
        </w:rPr>
        <w:t xml:space="preserve"> в Чукотском автономном округе </w:t>
      </w:r>
      <w:r>
        <w:rPr>
          <w:sz w:val="28"/>
          <w:szCs w:val="28"/>
        </w:rPr>
        <w:t xml:space="preserve">утверждена Государственная </w:t>
      </w:r>
      <w:hyperlink r:id="rId29" w:history="1">
        <w:r w:rsidRPr="005822EF">
          <w:rPr>
            <w:sz w:val="28"/>
            <w:szCs w:val="28"/>
          </w:rPr>
          <w:t>программ</w:t>
        </w:r>
      </w:hyperlink>
      <w:r>
        <w:rPr>
          <w:sz w:val="28"/>
          <w:szCs w:val="28"/>
        </w:rPr>
        <w:t>а «Развитие жилищного строительства в Чукотском автономном округе»</w:t>
      </w:r>
      <w:r w:rsidRPr="00ED087D">
        <w:rPr>
          <w:rStyle w:val="ab"/>
          <w:sz w:val="28"/>
          <w:szCs w:val="28"/>
        </w:rPr>
        <w:footnoteReference w:id="164"/>
      </w:r>
      <w:r>
        <w:rPr>
          <w:sz w:val="28"/>
          <w:szCs w:val="28"/>
        </w:rPr>
        <w:t>, в рамках которой реализуется</w:t>
      </w:r>
      <w:r w:rsidRPr="00D200BE">
        <w:rPr>
          <w:sz w:val="28"/>
          <w:szCs w:val="28"/>
        </w:rPr>
        <w:t xml:space="preserve"> </w:t>
      </w:r>
      <w:r>
        <w:rPr>
          <w:sz w:val="28"/>
          <w:szCs w:val="28"/>
        </w:rPr>
        <w:t>п</w:t>
      </w:r>
      <w:r w:rsidRPr="00D200BE">
        <w:rPr>
          <w:sz w:val="28"/>
          <w:szCs w:val="28"/>
        </w:rPr>
        <w:t>од</w:t>
      </w:r>
      <w:r>
        <w:rPr>
          <w:sz w:val="28"/>
          <w:szCs w:val="28"/>
        </w:rPr>
        <w:t xml:space="preserve">программа </w:t>
      </w:r>
      <w:r w:rsidRPr="00562199">
        <w:rPr>
          <w:sz w:val="28"/>
          <w:szCs w:val="28"/>
        </w:rPr>
        <w:t>«Развитие жилищного строительства»</w:t>
      </w:r>
      <w:r>
        <w:rPr>
          <w:sz w:val="28"/>
          <w:szCs w:val="28"/>
        </w:rPr>
        <w:t xml:space="preserve">. </w:t>
      </w:r>
      <w:r w:rsidRPr="00ED087D">
        <w:rPr>
          <w:sz w:val="28"/>
          <w:szCs w:val="28"/>
        </w:rPr>
        <w:t xml:space="preserve">Департамент </w:t>
      </w:r>
      <w:r>
        <w:rPr>
          <w:sz w:val="28"/>
          <w:szCs w:val="28"/>
        </w:rPr>
        <w:t>промышленности</w:t>
      </w:r>
      <w:r w:rsidRPr="00ED087D">
        <w:rPr>
          <w:sz w:val="28"/>
          <w:szCs w:val="28"/>
        </w:rPr>
        <w:t xml:space="preserve"> является ответственным исполнителем реализации мероприятий подпрограммы «</w:t>
      </w:r>
      <w:r>
        <w:rPr>
          <w:sz w:val="28"/>
          <w:szCs w:val="28"/>
        </w:rPr>
        <w:t>Развитие жилищного строительства</w:t>
      </w:r>
      <w:r w:rsidRPr="00ED087D">
        <w:rPr>
          <w:sz w:val="28"/>
          <w:szCs w:val="28"/>
        </w:rPr>
        <w:t>»</w:t>
      </w:r>
      <w:r>
        <w:rPr>
          <w:sz w:val="28"/>
          <w:szCs w:val="28"/>
        </w:rPr>
        <w:t xml:space="preserve">. </w:t>
      </w:r>
    </w:p>
    <w:p w:rsidR="00C404B9" w:rsidRDefault="00C404B9" w:rsidP="00C404B9">
      <w:pPr>
        <w:shd w:val="clear" w:color="auto" w:fill="FFFFFF"/>
        <w:autoSpaceDE w:val="0"/>
        <w:autoSpaceDN w:val="0"/>
        <w:adjustRightInd w:val="0"/>
        <w:ind w:firstLine="708"/>
        <w:jc w:val="both"/>
        <w:rPr>
          <w:sz w:val="28"/>
          <w:szCs w:val="28"/>
        </w:rPr>
      </w:pPr>
      <w:r>
        <w:rPr>
          <w:sz w:val="28"/>
          <w:szCs w:val="28"/>
        </w:rPr>
        <w:t>Целью Подпрограммы</w:t>
      </w:r>
      <w:r w:rsidRPr="008C3650">
        <w:rPr>
          <w:b/>
          <w:sz w:val="28"/>
          <w:szCs w:val="28"/>
        </w:rPr>
        <w:t xml:space="preserve"> </w:t>
      </w:r>
      <w:r>
        <w:rPr>
          <w:sz w:val="28"/>
          <w:szCs w:val="28"/>
        </w:rPr>
        <w:t>является обеспечение населения благоустроенным стандартным жильем, отвечающим требованиям безопасности и экологичности.</w:t>
      </w:r>
    </w:p>
    <w:p w:rsidR="00C404B9" w:rsidRDefault="00C404B9" w:rsidP="00C404B9">
      <w:pPr>
        <w:shd w:val="clear" w:color="auto" w:fill="FFFFFF"/>
        <w:autoSpaceDE w:val="0"/>
        <w:autoSpaceDN w:val="0"/>
        <w:adjustRightInd w:val="0"/>
        <w:ind w:firstLine="708"/>
        <w:jc w:val="both"/>
        <w:rPr>
          <w:sz w:val="28"/>
          <w:szCs w:val="28"/>
        </w:rPr>
      </w:pPr>
      <w:r>
        <w:rPr>
          <w:sz w:val="28"/>
          <w:szCs w:val="28"/>
        </w:rPr>
        <w:t>Достижение целей Подпрограммы осуществляется с помощью решения следующих задач: обеспечение ежегодного роста объемов ввода жилья;  приобретение (выкуп) жилых помещений в многоквартирных домах, необходимых для переселения граждан из аварийного жилищного фонда, а также для предоставления гражданам, состоящим на учете в качестве нуждающихся в предоставлении жилых помещений по договорам социального найма; обеспечение жильем льготных категорий граждан.</w:t>
      </w:r>
    </w:p>
    <w:p w:rsidR="00C404B9" w:rsidRDefault="00C404B9" w:rsidP="00C404B9">
      <w:pPr>
        <w:shd w:val="clear" w:color="auto" w:fill="FFFFFF"/>
        <w:ind w:firstLine="708"/>
        <w:jc w:val="both"/>
        <w:rPr>
          <w:bCs/>
          <w:sz w:val="28"/>
          <w:szCs w:val="28"/>
        </w:rPr>
      </w:pPr>
      <w:r w:rsidRPr="00ED087D">
        <w:rPr>
          <w:sz w:val="28"/>
          <w:szCs w:val="28"/>
        </w:rPr>
        <w:t xml:space="preserve">В проверяемом периоде </w:t>
      </w:r>
      <w:r>
        <w:rPr>
          <w:sz w:val="28"/>
          <w:szCs w:val="28"/>
        </w:rPr>
        <w:t>р</w:t>
      </w:r>
      <w:r w:rsidRPr="00ED087D">
        <w:rPr>
          <w:sz w:val="28"/>
          <w:szCs w:val="28"/>
        </w:rPr>
        <w:t>есурсное обеспечение реализации мероприятий подпрограммы «</w:t>
      </w:r>
      <w:r>
        <w:rPr>
          <w:sz w:val="28"/>
          <w:szCs w:val="28"/>
        </w:rPr>
        <w:t>Развитие жилищного строительства</w:t>
      </w:r>
      <w:r w:rsidRPr="00ED087D">
        <w:rPr>
          <w:sz w:val="28"/>
          <w:szCs w:val="28"/>
        </w:rPr>
        <w:t>»</w:t>
      </w:r>
      <w:r>
        <w:rPr>
          <w:sz w:val="28"/>
          <w:szCs w:val="28"/>
        </w:rPr>
        <w:t xml:space="preserve"> </w:t>
      </w:r>
      <w:r w:rsidRPr="00ED087D">
        <w:rPr>
          <w:sz w:val="28"/>
          <w:szCs w:val="28"/>
        </w:rPr>
        <w:t>предусмотрено</w:t>
      </w:r>
      <w:r>
        <w:rPr>
          <w:sz w:val="28"/>
          <w:szCs w:val="28"/>
        </w:rPr>
        <w:t xml:space="preserve"> </w:t>
      </w:r>
      <w:r w:rsidRPr="00ED087D">
        <w:rPr>
          <w:sz w:val="28"/>
          <w:szCs w:val="28"/>
        </w:rPr>
        <w:t>с</w:t>
      </w:r>
      <w:r>
        <w:rPr>
          <w:sz w:val="28"/>
          <w:szCs w:val="28"/>
        </w:rPr>
        <w:t xml:space="preserve"> </w:t>
      </w:r>
      <w:r w:rsidRPr="00ED087D">
        <w:rPr>
          <w:sz w:val="28"/>
          <w:szCs w:val="28"/>
        </w:rPr>
        <w:t xml:space="preserve">использованием средств окружного бюджета в общем объеме </w:t>
      </w:r>
      <w:r w:rsidRPr="00682377">
        <w:rPr>
          <w:bCs/>
          <w:color w:val="000000"/>
          <w:sz w:val="28"/>
          <w:szCs w:val="28"/>
        </w:rPr>
        <w:t>897</w:t>
      </w:r>
      <w:r>
        <w:rPr>
          <w:bCs/>
          <w:color w:val="000000"/>
          <w:sz w:val="28"/>
          <w:szCs w:val="28"/>
        </w:rPr>
        <w:t> </w:t>
      </w:r>
      <w:r w:rsidRPr="00682377">
        <w:rPr>
          <w:bCs/>
          <w:color w:val="000000"/>
          <w:sz w:val="28"/>
          <w:szCs w:val="28"/>
        </w:rPr>
        <w:t>511,3</w:t>
      </w:r>
      <w:r>
        <w:rPr>
          <w:b/>
          <w:bCs/>
          <w:color w:val="000000"/>
          <w:sz w:val="20"/>
          <w:szCs w:val="20"/>
        </w:rPr>
        <w:t xml:space="preserve"> </w:t>
      </w:r>
      <w:r w:rsidRPr="00ED087D">
        <w:rPr>
          <w:sz w:val="28"/>
          <w:szCs w:val="28"/>
        </w:rPr>
        <w:t>тыс. рублей</w:t>
      </w:r>
      <w:r>
        <w:rPr>
          <w:sz w:val="28"/>
          <w:szCs w:val="28"/>
        </w:rPr>
        <w:t xml:space="preserve"> (</w:t>
      </w:r>
      <w:r w:rsidRPr="00ED087D">
        <w:rPr>
          <w:sz w:val="28"/>
          <w:szCs w:val="28"/>
        </w:rPr>
        <w:t>в 2020 году –</w:t>
      </w:r>
      <w:r>
        <w:rPr>
          <w:sz w:val="28"/>
          <w:szCs w:val="28"/>
        </w:rPr>
        <w:t xml:space="preserve"> 31 981,9 </w:t>
      </w:r>
      <w:r w:rsidRPr="00ED087D">
        <w:rPr>
          <w:sz w:val="28"/>
          <w:szCs w:val="28"/>
        </w:rPr>
        <w:t xml:space="preserve">тыс. рублей, в 2021 году – </w:t>
      </w:r>
      <w:r>
        <w:rPr>
          <w:sz w:val="28"/>
          <w:szCs w:val="28"/>
        </w:rPr>
        <w:t>348 006,2 </w:t>
      </w:r>
      <w:r w:rsidRPr="00ED087D">
        <w:rPr>
          <w:sz w:val="28"/>
          <w:szCs w:val="28"/>
        </w:rPr>
        <w:t>тыс. рублей</w:t>
      </w:r>
      <w:r>
        <w:rPr>
          <w:sz w:val="28"/>
          <w:szCs w:val="28"/>
        </w:rPr>
        <w:t>, в 2022 году – 517 523,2 тыс. рублей), что соответствует о</w:t>
      </w:r>
      <w:r w:rsidRPr="0018353A">
        <w:rPr>
          <w:bCs/>
          <w:sz w:val="28"/>
          <w:szCs w:val="28"/>
        </w:rPr>
        <w:t>бщ</w:t>
      </w:r>
      <w:r>
        <w:rPr>
          <w:bCs/>
          <w:sz w:val="28"/>
          <w:szCs w:val="28"/>
        </w:rPr>
        <w:t>ему</w:t>
      </w:r>
      <w:r w:rsidRPr="0018353A">
        <w:rPr>
          <w:bCs/>
          <w:sz w:val="28"/>
          <w:szCs w:val="28"/>
        </w:rPr>
        <w:t xml:space="preserve"> объем</w:t>
      </w:r>
      <w:r>
        <w:rPr>
          <w:bCs/>
          <w:sz w:val="28"/>
          <w:szCs w:val="28"/>
        </w:rPr>
        <w:t>у</w:t>
      </w:r>
      <w:r w:rsidRPr="0018353A">
        <w:rPr>
          <w:bCs/>
          <w:sz w:val="28"/>
          <w:szCs w:val="28"/>
        </w:rPr>
        <w:t xml:space="preserve"> бюджетных ассигнований</w:t>
      </w:r>
      <w:r>
        <w:rPr>
          <w:bCs/>
          <w:sz w:val="28"/>
          <w:szCs w:val="28"/>
        </w:rPr>
        <w:t>,</w:t>
      </w:r>
      <w:r w:rsidRPr="0018353A">
        <w:rPr>
          <w:bCs/>
          <w:sz w:val="28"/>
          <w:szCs w:val="28"/>
        </w:rPr>
        <w:t xml:space="preserve"> утвержденных </w:t>
      </w:r>
      <w:r w:rsidRPr="0018353A">
        <w:rPr>
          <w:rFonts w:eastAsia="Calibri"/>
          <w:sz w:val="28"/>
          <w:szCs w:val="28"/>
        </w:rPr>
        <w:t xml:space="preserve">Законами </w:t>
      </w:r>
      <w:r>
        <w:rPr>
          <w:rFonts w:eastAsia="Calibri"/>
          <w:sz w:val="28"/>
          <w:szCs w:val="28"/>
        </w:rPr>
        <w:t xml:space="preserve">об окружном бюджете </w:t>
      </w:r>
      <w:r w:rsidRPr="0018353A">
        <w:rPr>
          <w:rFonts w:eastAsia="Calibri"/>
          <w:sz w:val="28"/>
          <w:szCs w:val="28"/>
        </w:rPr>
        <w:t>на 2020</w:t>
      </w:r>
      <w:r>
        <w:rPr>
          <w:rFonts w:eastAsia="Calibri"/>
          <w:sz w:val="28"/>
          <w:szCs w:val="28"/>
        </w:rPr>
        <w:t>,</w:t>
      </w:r>
      <w:r w:rsidRPr="0018353A">
        <w:rPr>
          <w:rFonts w:eastAsia="Calibri"/>
          <w:sz w:val="28"/>
          <w:szCs w:val="28"/>
        </w:rPr>
        <w:t xml:space="preserve"> 2021 </w:t>
      </w:r>
      <w:r>
        <w:rPr>
          <w:rFonts w:eastAsia="Calibri"/>
          <w:sz w:val="28"/>
          <w:szCs w:val="28"/>
        </w:rPr>
        <w:t xml:space="preserve">и 2022 </w:t>
      </w:r>
      <w:r w:rsidRPr="0018353A">
        <w:rPr>
          <w:rFonts w:eastAsia="Calibri"/>
          <w:sz w:val="28"/>
          <w:szCs w:val="28"/>
        </w:rPr>
        <w:t>годы</w:t>
      </w:r>
      <w:r w:rsidRPr="0018353A">
        <w:rPr>
          <w:rStyle w:val="ab"/>
          <w:rFonts w:eastAsia="Calibri"/>
          <w:sz w:val="28"/>
          <w:szCs w:val="28"/>
        </w:rPr>
        <w:footnoteReference w:id="165"/>
      </w:r>
      <w:r w:rsidRPr="0018353A">
        <w:rPr>
          <w:rFonts w:eastAsia="Calibri"/>
          <w:sz w:val="28"/>
          <w:szCs w:val="28"/>
          <w:vertAlign w:val="superscript"/>
        </w:rPr>
        <w:t>,</w:t>
      </w:r>
      <w:r w:rsidRPr="0018353A">
        <w:rPr>
          <w:rStyle w:val="ab"/>
          <w:rFonts w:eastAsia="Calibri"/>
          <w:sz w:val="28"/>
          <w:szCs w:val="28"/>
        </w:rPr>
        <w:footnoteReference w:id="166"/>
      </w:r>
      <w:r>
        <w:rPr>
          <w:rFonts w:eastAsia="Calibri"/>
          <w:sz w:val="28"/>
          <w:szCs w:val="28"/>
          <w:vertAlign w:val="superscript"/>
        </w:rPr>
        <w:t>,</w:t>
      </w:r>
      <w:r>
        <w:rPr>
          <w:rStyle w:val="ab"/>
          <w:rFonts w:eastAsia="Calibri"/>
          <w:sz w:val="28"/>
          <w:szCs w:val="28"/>
        </w:rPr>
        <w:footnoteReference w:id="167"/>
      </w:r>
      <w:r>
        <w:rPr>
          <w:bCs/>
          <w:sz w:val="28"/>
          <w:szCs w:val="28"/>
        </w:rPr>
        <w:t>.</w:t>
      </w:r>
    </w:p>
    <w:p w:rsidR="00C404B9" w:rsidRDefault="00C404B9" w:rsidP="00C404B9">
      <w:pPr>
        <w:shd w:val="clear" w:color="auto" w:fill="FFFFFF"/>
        <w:autoSpaceDE w:val="0"/>
        <w:autoSpaceDN w:val="0"/>
        <w:adjustRightInd w:val="0"/>
        <w:ind w:firstLine="709"/>
        <w:jc w:val="both"/>
        <w:rPr>
          <w:color w:val="000000"/>
          <w:sz w:val="28"/>
          <w:szCs w:val="28"/>
        </w:rPr>
      </w:pPr>
      <w:r>
        <w:rPr>
          <w:bCs/>
          <w:sz w:val="28"/>
          <w:szCs w:val="28"/>
        </w:rPr>
        <w:t xml:space="preserve">В проверяемом периоде реализация Подпрограммы осуществлялась в виде предоставления двух </w:t>
      </w:r>
      <w:r w:rsidRPr="00DF76D6">
        <w:rPr>
          <w:bCs/>
          <w:sz w:val="28"/>
          <w:szCs w:val="28"/>
        </w:rPr>
        <w:t>субсидий: «</w:t>
      </w:r>
      <w:r w:rsidRPr="00DF76D6">
        <w:rPr>
          <w:color w:val="000000"/>
          <w:sz w:val="28"/>
          <w:szCs w:val="28"/>
        </w:rPr>
        <w:t>Субсидии на обеспечение мероприятий по развитию жилищного строительства»</w:t>
      </w:r>
      <w:r>
        <w:rPr>
          <w:rStyle w:val="ab"/>
          <w:color w:val="000000"/>
          <w:sz w:val="28"/>
          <w:szCs w:val="28"/>
        </w:rPr>
        <w:footnoteReference w:id="168"/>
      </w:r>
      <w:r>
        <w:rPr>
          <w:color w:val="000000"/>
          <w:sz w:val="28"/>
          <w:szCs w:val="28"/>
          <w:vertAlign w:val="superscript"/>
        </w:rPr>
        <w:t>,</w:t>
      </w:r>
      <w:r>
        <w:rPr>
          <w:rStyle w:val="ab"/>
          <w:color w:val="000000"/>
          <w:sz w:val="28"/>
          <w:szCs w:val="28"/>
        </w:rPr>
        <w:footnoteReference w:id="169"/>
      </w:r>
      <w:r w:rsidRPr="00DF76D6">
        <w:rPr>
          <w:color w:val="000000"/>
          <w:sz w:val="28"/>
          <w:szCs w:val="28"/>
        </w:rPr>
        <w:t xml:space="preserve"> и «Субсидия застройщикам на возмещение недополученных доходов, возникающих при реализации квартир гражданам»</w:t>
      </w:r>
      <w:r>
        <w:rPr>
          <w:rStyle w:val="ab"/>
          <w:color w:val="000000"/>
          <w:sz w:val="28"/>
          <w:szCs w:val="28"/>
        </w:rPr>
        <w:footnoteReference w:id="170"/>
      </w:r>
      <w:r w:rsidRPr="00DF76D6">
        <w:rPr>
          <w:color w:val="000000"/>
          <w:sz w:val="28"/>
          <w:szCs w:val="28"/>
        </w:rPr>
        <w:t>.</w:t>
      </w:r>
    </w:p>
    <w:p w:rsidR="00C404B9" w:rsidRDefault="00C404B9" w:rsidP="00C404B9">
      <w:pPr>
        <w:shd w:val="clear" w:color="auto" w:fill="FFFFFF"/>
        <w:ind w:firstLine="708"/>
        <w:jc w:val="both"/>
        <w:rPr>
          <w:sz w:val="28"/>
          <w:szCs w:val="28"/>
        </w:rPr>
      </w:pPr>
      <w:r w:rsidRPr="00ED087D">
        <w:rPr>
          <w:sz w:val="28"/>
          <w:szCs w:val="28"/>
        </w:rPr>
        <w:lastRenderedPageBreak/>
        <w:t xml:space="preserve">Информация об </w:t>
      </w:r>
      <w:r>
        <w:rPr>
          <w:sz w:val="28"/>
          <w:szCs w:val="28"/>
        </w:rPr>
        <w:t>использовании средств, предусмотренных на реализацию мероприятий</w:t>
      </w:r>
      <w:r w:rsidRPr="00ED087D">
        <w:rPr>
          <w:sz w:val="28"/>
          <w:szCs w:val="28"/>
        </w:rPr>
        <w:t xml:space="preserve"> подпрограммы «</w:t>
      </w:r>
      <w:r>
        <w:rPr>
          <w:sz w:val="28"/>
          <w:szCs w:val="28"/>
        </w:rPr>
        <w:t>Развитие жилищного строительства</w:t>
      </w:r>
      <w:r w:rsidRPr="00ED087D">
        <w:rPr>
          <w:sz w:val="28"/>
          <w:szCs w:val="28"/>
        </w:rPr>
        <w:t>»</w:t>
      </w:r>
      <w:r w:rsidRPr="00ED087D">
        <w:rPr>
          <w:b/>
          <w:sz w:val="28"/>
          <w:szCs w:val="28"/>
        </w:rPr>
        <w:t xml:space="preserve"> </w:t>
      </w:r>
      <w:r w:rsidRPr="006D2A3A">
        <w:rPr>
          <w:sz w:val="28"/>
          <w:szCs w:val="28"/>
        </w:rPr>
        <w:t>в разрезе мероприятий Подпрограммы</w:t>
      </w:r>
      <w:r w:rsidRPr="00882476">
        <w:rPr>
          <w:sz w:val="28"/>
          <w:szCs w:val="28"/>
        </w:rPr>
        <w:t>,</w:t>
      </w:r>
      <w:r>
        <w:rPr>
          <w:b/>
          <w:sz w:val="28"/>
          <w:szCs w:val="28"/>
        </w:rPr>
        <w:t xml:space="preserve"> </w:t>
      </w:r>
      <w:r w:rsidRPr="00ED087D">
        <w:rPr>
          <w:sz w:val="28"/>
          <w:szCs w:val="28"/>
        </w:rPr>
        <w:t>приведена в таблице №1.</w:t>
      </w:r>
    </w:p>
    <w:p w:rsidR="00C404B9" w:rsidRDefault="00C404B9" w:rsidP="00C404B9">
      <w:pPr>
        <w:shd w:val="clear" w:color="auto" w:fill="FFFFFF"/>
        <w:spacing w:line="218" w:lineRule="auto"/>
        <w:ind w:firstLine="709"/>
        <w:jc w:val="right"/>
        <w:rPr>
          <w:sz w:val="28"/>
          <w:szCs w:val="28"/>
        </w:rPr>
      </w:pPr>
      <w:r>
        <w:rPr>
          <w:sz w:val="28"/>
          <w:szCs w:val="28"/>
        </w:rPr>
        <w:t>Таблица №1</w:t>
      </w:r>
    </w:p>
    <w:p w:rsidR="00C404B9" w:rsidRDefault="00C404B9" w:rsidP="00C404B9">
      <w:pPr>
        <w:shd w:val="clear" w:color="auto" w:fill="FFFFFF"/>
        <w:spacing w:line="218" w:lineRule="auto"/>
        <w:ind w:firstLine="709"/>
        <w:jc w:val="right"/>
        <w:rPr>
          <w:sz w:val="28"/>
          <w:szCs w:val="28"/>
        </w:rPr>
      </w:pPr>
      <w:r>
        <w:rPr>
          <w:sz w:val="28"/>
          <w:szCs w:val="28"/>
        </w:rPr>
        <w:t>(тыс. рублей)</w:t>
      </w:r>
    </w:p>
    <w:tbl>
      <w:tblPr>
        <w:tblW w:w="0" w:type="auto"/>
        <w:tblInd w:w="113" w:type="dxa"/>
        <w:tblLook w:val="04A0" w:firstRow="1" w:lastRow="0" w:firstColumn="1" w:lastColumn="0" w:noHBand="0" w:noVBand="1"/>
      </w:tblPr>
      <w:tblGrid>
        <w:gridCol w:w="3508"/>
        <w:gridCol w:w="1367"/>
        <w:gridCol w:w="1547"/>
        <w:gridCol w:w="1122"/>
        <w:gridCol w:w="936"/>
        <w:gridCol w:w="1034"/>
      </w:tblGrid>
      <w:tr w:rsidR="00C404B9" w:rsidRPr="00477633" w:rsidTr="00000E53">
        <w:trPr>
          <w:trHeight w:val="269"/>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04B9" w:rsidRPr="00477633" w:rsidRDefault="00C404B9" w:rsidP="00000E53">
            <w:pPr>
              <w:jc w:val="center"/>
              <w:rPr>
                <w:bCs/>
                <w:color w:val="000000"/>
                <w:sz w:val="18"/>
                <w:szCs w:val="18"/>
              </w:rPr>
            </w:pPr>
            <w:r>
              <w:rPr>
                <w:bCs/>
                <w:color w:val="000000"/>
                <w:sz w:val="18"/>
                <w:szCs w:val="18"/>
              </w:rPr>
              <w:t>н</w:t>
            </w:r>
            <w:r w:rsidRPr="00477633">
              <w:rPr>
                <w:bCs/>
                <w:color w:val="000000"/>
                <w:sz w:val="18"/>
                <w:szCs w:val="18"/>
              </w:rPr>
              <w:t>аименование мероприятия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04B9" w:rsidRPr="00477633" w:rsidRDefault="00C404B9" w:rsidP="00000E53">
            <w:pPr>
              <w:jc w:val="center"/>
              <w:rPr>
                <w:bCs/>
                <w:color w:val="000000"/>
                <w:sz w:val="18"/>
                <w:szCs w:val="18"/>
              </w:rPr>
            </w:pPr>
            <w:r>
              <w:rPr>
                <w:bCs/>
                <w:color w:val="000000"/>
                <w:sz w:val="18"/>
                <w:szCs w:val="18"/>
              </w:rPr>
              <w:t>п</w:t>
            </w:r>
            <w:r w:rsidRPr="00477633">
              <w:rPr>
                <w:bCs/>
                <w:color w:val="000000"/>
                <w:sz w:val="18"/>
                <w:szCs w:val="18"/>
              </w:rPr>
              <w:t>ериод реализации, год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04B9" w:rsidRPr="00477633" w:rsidRDefault="00C404B9" w:rsidP="00000E53">
            <w:pPr>
              <w:jc w:val="center"/>
              <w:rPr>
                <w:bCs/>
                <w:color w:val="000000"/>
                <w:sz w:val="18"/>
                <w:szCs w:val="18"/>
              </w:rPr>
            </w:pPr>
            <w:r>
              <w:rPr>
                <w:bCs/>
                <w:color w:val="000000"/>
                <w:sz w:val="18"/>
                <w:szCs w:val="18"/>
              </w:rPr>
              <w:t>о</w:t>
            </w:r>
            <w:r w:rsidRPr="00477633">
              <w:rPr>
                <w:bCs/>
                <w:color w:val="000000"/>
                <w:sz w:val="18"/>
                <w:szCs w:val="18"/>
              </w:rPr>
              <w:t>бъем ресурсного обеспечения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04B9" w:rsidRPr="00477633" w:rsidRDefault="00C404B9" w:rsidP="00000E53">
            <w:pPr>
              <w:jc w:val="center"/>
              <w:rPr>
                <w:bCs/>
                <w:color w:val="000000"/>
                <w:sz w:val="18"/>
                <w:szCs w:val="18"/>
              </w:rPr>
            </w:pPr>
            <w:r>
              <w:rPr>
                <w:bCs/>
                <w:color w:val="000000"/>
                <w:sz w:val="18"/>
                <w:szCs w:val="18"/>
              </w:rPr>
              <w:t>у</w:t>
            </w:r>
            <w:r w:rsidRPr="00477633">
              <w:rPr>
                <w:bCs/>
                <w:color w:val="000000"/>
                <w:sz w:val="18"/>
                <w:szCs w:val="18"/>
              </w:rPr>
              <w:t>тверждено</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C404B9" w:rsidRPr="00477633" w:rsidRDefault="00C404B9" w:rsidP="00000E53">
            <w:pPr>
              <w:jc w:val="center"/>
              <w:rPr>
                <w:bCs/>
                <w:color w:val="000000"/>
                <w:sz w:val="18"/>
                <w:szCs w:val="18"/>
              </w:rPr>
            </w:pPr>
            <w:r>
              <w:rPr>
                <w:bCs/>
                <w:color w:val="000000"/>
                <w:sz w:val="18"/>
                <w:szCs w:val="18"/>
              </w:rPr>
              <w:t>н</w:t>
            </w:r>
            <w:r w:rsidRPr="00477633">
              <w:rPr>
                <w:bCs/>
                <w:color w:val="000000"/>
                <w:sz w:val="18"/>
                <w:szCs w:val="18"/>
              </w:rPr>
              <w:t>аправлено</w:t>
            </w:r>
          </w:p>
        </w:tc>
      </w:tr>
      <w:tr w:rsidR="00C404B9" w:rsidRPr="007416C3" w:rsidTr="00000E53">
        <w:trPr>
          <w:trHeight w:val="41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404B9" w:rsidRPr="007416C3" w:rsidRDefault="00C404B9" w:rsidP="00000E53">
            <w:pPr>
              <w:rPr>
                <w:b/>
                <w:bCs/>
                <w:color w:val="00000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C404B9" w:rsidRPr="007416C3" w:rsidRDefault="00C404B9" w:rsidP="00000E53">
            <w:pPr>
              <w:rPr>
                <w:b/>
                <w:bCs/>
                <w:color w:val="00000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C404B9" w:rsidRPr="007416C3" w:rsidRDefault="00C404B9" w:rsidP="00000E53">
            <w:pPr>
              <w:rPr>
                <w:b/>
                <w:bCs/>
                <w:color w:val="00000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C404B9" w:rsidRPr="007416C3" w:rsidRDefault="00C404B9" w:rsidP="00000E53">
            <w:pPr>
              <w:rPr>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C404B9" w:rsidRPr="00477633" w:rsidRDefault="00C404B9" w:rsidP="00000E53">
            <w:pPr>
              <w:jc w:val="center"/>
              <w:rPr>
                <w:bCs/>
                <w:color w:val="000000"/>
                <w:sz w:val="18"/>
                <w:szCs w:val="18"/>
              </w:rPr>
            </w:pPr>
            <w:r w:rsidRPr="00477633">
              <w:rPr>
                <w:bCs/>
                <w:color w:val="000000"/>
                <w:sz w:val="18"/>
                <w:szCs w:val="18"/>
              </w:rPr>
              <w:t>сумма</w:t>
            </w:r>
          </w:p>
        </w:tc>
        <w:tc>
          <w:tcPr>
            <w:tcW w:w="0" w:type="auto"/>
            <w:tcBorders>
              <w:top w:val="nil"/>
              <w:left w:val="nil"/>
              <w:bottom w:val="single" w:sz="4" w:space="0" w:color="auto"/>
              <w:right w:val="single" w:sz="4" w:space="0" w:color="auto"/>
            </w:tcBorders>
            <w:shd w:val="clear" w:color="auto" w:fill="auto"/>
            <w:vAlign w:val="center"/>
            <w:hideMark/>
          </w:tcPr>
          <w:p w:rsidR="00C404B9" w:rsidRPr="00477633" w:rsidRDefault="00C404B9" w:rsidP="00000E53">
            <w:pPr>
              <w:jc w:val="center"/>
              <w:rPr>
                <w:bCs/>
                <w:color w:val="000000"/>
                <w:sz w:val="18"/>
                <w:szCs w:val="18"/>
              </w:rPr>
            </w:pPr>
            <w:r w:rsidRPr="00477633">
              <w:rPr>
                <w:bCs/>
                <w:color w:val="000000"/>
                <w:sz w:val="18"/>
                <w:szCs w:val="18"/>
              </w:rPr>
              <w:t>% (гр.5/гр.4)</w:t>
            </w:r>
          </w:p>
        </w:tc>
      </w:tr>
      <w:tr w:rsidR="00C404B9" w:rsidRPr="007416C3" w:rsidTr="00000E53">
        <w:trPr>
          <w:trHeight w:val="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rsidR="00C404B9" w:rsidRPr="007416C3" w:rsidRDefault="00C404B9" w:rsidP="00000E53">
            <w:pPr>
              <w:jc w:val="center"/>
              <w:rPr>
                <w:color w:val="000000"/>
                <w:sz w:val="18"/>
                <w:szCs w:val="18"/>
              </w:rPr>
            </w:pPr>
            <w:r w:rsidRPr="007416C3">
              <w:rPr>
                <w:color w:val="000000"/>
                <w:sz w:val="18"/>
                <w:szCs w:val="18"/>
              </w:rPr>
              <w:t>5</w:t>
            </w:r>
          </w:p>
        </w:tc>
        <w:tc>
          <w:tcPr>
            <w:tcW w:w="0" w:type="auto"/>
            <w:tcBorders>
              <w:top w:val="nil"/>
              <w:left w:val="nil"/>
              <w:bottom w:val="single" w:sz="4" w:space="0" w:color="auto"/>
              <w:right w:val="single" w:sz="4" w:space="0" w:color="auto"/>
            </w:tcBorders>
            <w:shd w:val="clear" w:color="auto" w:fill="auto"/>
            <w:noWrap/>
            <w:vAlign w:val="center"/>
            <w:hideMark/>
          </w:tcPr>
          <w:p w:rsidR="00C404B9" w:rsidRPr="007416C3" w:rsidRDefault="00C404B9" w:rsidP="00000E53">
            <w:pPr>
              <w:jc w:val="center"/>
              <w:rPr>
                <w:color w:val="000000"/>
                <w:sz w:val="18"/>
                <w:szCs w:val="18"/>
              </w:rPr>
            </w:pPr>
            <w:r w:rsidRPr="007416C3">
              <w:rPr>
                <w:color w:val="000000"/>
                <w:sz w:val="18"/>
                <w:szCs w:val="18"/>
              </w:rPr>
              <w:t>6</w:t>
            </w:r>
          </w:p>
        </w:tc>
      </w:tr>
      <w:tr w:rsidR="00C404B9" w:rsidRPr="007416C3" w:rsidTr="00000E53">
        <w:trPr>
          <w:trHeight w:val="257"/>
        </w:trPr>
        <w:tc>
          <w:tcPr>
            <w:tcW w:w="0" w:type="auto"/>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C404B9" w:rsidRPr="007416C3" w:rsidRDefault="00C404B9" w:rsidP="00000E53">
            <w:pPr>
              <w:jc w:val="center"/>
              <w:rPr>
                <w:b/>
                <w:bCs/>
                <w:color w:val="000000"/>
                <w:sz w:val="18"/>
                <w:szCs w:val="18"/>
              </w:rPr>
            </w:pPr>
            <w:r w:rsidRPr="007416C3">
              <w:rPr>
                <w:b/>
                <w:bCs/>
                <w:color w:val="000000"/>
                <w:sz w:val="18"/>
                <w:szCs w:val="18"/>
              </w:rPr>
              <w:t>Подпрограмма «Развитие жилищного строительства»</w:t>
            </w:r>
          </w:p>
        </w:tc>
      </w:tr>
      <w:tr w:rsidR="00C404B9" w:rsidRPr="007416C3" w:rsidTr="00000E53">
        <w:trPr>
          <w:trHeight w:val="25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C404B9" w:rsidRPr="007416C3" w:rsidRDefault="00C404B9" w:rsidP="00000E53">
            <w:pPr>
              <w:jc w:val="both"/>
              <w:rPr>
                <w:color w:val="000000"/>
                <w:sz w:val="18"/>
                <w:szCs w:val="18"/>
              </w:rPr>
            </w:pPr>
            <w:r w:rsidRPr="007416C3">
              <w:rPr>
                <w:color w:val="000000"/>
                <w:sz w:val="18"/>
                <w:szCs w:val="18"/>
              </w:rPr>
              <w:t>субсидии на обеспечение мероприятий по развитию жилищного строительства</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b/>
                <w:bCs/>
                <w:color w:val="000000"/>
                <w:sz w:val="18"/>
                <w:szCs w:val="18"/>
              </w:rPr>
            </w:pPr>
            <w:r w:rsidRPr="007416C3">
              <w:rPr>
                <w:b/>
                <w:bCs/>
                <w:color w:val="000000"/>
                <w:sz w:val="18"/>
                <w:szCs w:val="18"/>
              </w:rPr>
              <w:t>всего</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b/>
                <w:bCs/>
                <w:color w:val="000000"/>
                <w:sz w:val="18"/>
                <w:szCs w:val="18"/>
              </w:rPr>
            </w:pPr>
            <w:r w:rsidRPr="007416C3">
              <w:rPr>
                <w:b/>
                <w:bCs/>
                <w:color w:val="000000"/>
                <w:sz w:val="18"/>
                <w:szCs w:val="18"/>
              </w:rPr>
              <w:t>841 632,2</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b/>
                <w:bCs/>
                <w:color w:val="000000"/>
                <w:sz w:val="18"/>
                <w:szCs w:val="18"/>
              </w:rPr>
            </w:pPr>
            <w:r w:rsidRPr="007416C3">
              <w:rPr>
                <w:b/>
                <w:bCs/>
                <w:color w:val="000000"/>
                <w:sz w:val="18"/>
                <w:szCs w:val="18"/>
              </w:rPr>
              <w:t>841 632,2</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b/>
                <w:bCs/>
                <w:color w:val="000000"/>
                <w:sz w:val="18"/>
                <w:szCs w:val="18"/>
              </w:rPr>
            </w:pPr>
            <w:r w:rsidRPr="007416C3">
              <w:rPr>
                <w:b/>
                <w:bCs/>
                <w:color w:val="000000"/>
                <w:sz w:val="18"/>
                <w:szCs w:val="18"/>
              </w:rPr>
              <w:t>214 875,4</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b/>
                <w:bCs/>
                <w:color w:val="000000"/>
                <w:sz w:val="18"/>
                <w:szCs w:val="18"/>
              </w:rPr>
            </w:pPr>
            <w:r w:rsidRPr="007416C3">
              <w:rPr>
                <w:b/>
                <w:bCs/>
                <w:color w:val="000000"/>
                <w:sz w:val="18"/>
                <w:szCs w:val="18"/>
              </w:rPr>
              <w:t>25,5</w:t>
            </w:r>
          </w:p>
        </w:tc>
      </w:tr>
      <w:tr w:rsidR="00C404B9" w:rsidRPr="007416C3" w:rsidTr="00000E53">
        <w:trPr>
          <w:trHeight w:val="255"/>
        </w:trPr>
        <w:tc>
          <w:tcPr>
            <w:tcW w:w="0" w:type="auto"/>
            <w:vMerge/>
            <w:tcBorders>
              <w:top w:val="nil"/>
              <w:left w:val="single" w:sz="4" w:space="0" w:color="auto"/>
              <w:bottom w:val="single" w:sz="4" w:space="0" w:color="000000"/>
              <w:right w:val="single" w:sz="4" w:space="0" w:color="auto"/>
            </w:tcBorders>
            <w:vAlign w:val="center"/>
            <w:hideMark/>
          </w:tcPr>
          <w:p w:rsidR="00C404B9" w:rsidRPr="007416C3" w:rsidRDefault="00C404B9" w:rsidP="00000E53">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2020</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31 981,9</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31 981,9</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31 981,9</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100,0</w:t>
            </w:r>
          </w:p>
        </w:tc>
      </w:tr>
      <w:tr w:rsidR="00C404B9" w:rsidRPr="007416C3" w:rsidTr="00000E53">
        <w:trPr>
          <w:trHeight w:val="255"/>
        </w:trPr>
        <w:tc>
          <w:tcPr>
            <w:tcW w:w="0" w:type="auto"/>
            <w:vMerge/>
            <w:tcBorders>
              <w:top w:val="nil"/>
              <w:left w:val="single" w:sz="4" w:space="0" w:color="auto"/>
              <w:bottom w:val="single" w:sz="4" w:space="0" w:color="000000"/>
              <w:right w:val="single" w:sz="4" w:space="0" w:color="auto"/>
            </w:tcBorders>
            <w:vAlign w:val="center"/>
            <w:hideMark/>
          </w:tcPr>
          <w:p w:rsidR="00C404B9" w:rsidRPr="007416C3" w:rsidRDefault="00C404B9" w:rsidP="00000E53">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2021</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318 006,2</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318 006,2</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182 893,5</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57,5</w:t>
            </w:r>
          </w:p>
        </w:tc>
      </w:tr>
      <w:tr w:rsidR="00C404B9" w:rsidRPr="007416C3" w:rsidTr="00000E53">
        <w:trPr>
          <w:trHeight w:val="255"/>
        </w:trPr>
        <w:tc>
          <w:tcPr>
            <w:tcW w:w="0" w:type="auto"/>
            <w:vMerge/>
            <w:tcBorders>
              <w:top w:val="nil"/>
              <w:left w:val="single" w:sz="4" w:space="0" w:color="auto"/>
              <w:bottom w:val="single" w:sz="4" w:space="0" w:color="000000"/>
              <w:right w:val="single" w:sz="4" w:space="0" w:color="auto"/>
            </w:tcBorders>
            <w:vAlign w:val="center"/>
            <w:hideMark/>
          </w:tcPr>
          <w:p w:rsidR="00C404B9" w:rsidRPr="007416C3" w:rsidRDefault="00C404B9" w:rsidP="00000E53">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2022</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491 644,1</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491 644,1</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0,0</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0,0</w:t>
            </w:r>
          </w:p>
        </w:tc>
      </w:tr>
      <w:tr w:rsidR="00C404B9" w:rsidRPr="007416C3" w:rsidTr="00000E53">
        <w:trPr>
          <w:trHeight w:val="277"/>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C404B9" w:rsidRPr="007416C3" w:rsidRDefault="00C404B9" w:rsidP="00000E53">
            <w:pPr>
              <w:jc w:val="both"/>
              <w:rPr>
                <w:color w:val="000000"/>
                <w:sz w:val="18"/>
                <w:szCs w:val="18"/>
              </w:rPr>
            </w:pPr>
            <w:r w:rsidRPr="007416C3">
              <w:rPr>
                <w:color w:val="000000"/>
                <w:sz w:val="18"/>
                <w:szCs w:val="18"/>
              </w:rPr>
              <w:t>субсидия застройщикам на возмещение недополученных доходов, возникающих при реализации квартир гражданам</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b/>
                <w:bCs/>
                <w:color w:val="000000"/>
                <w:sz w:val="18"/>
                <w:szCs w:val="18"/>
              </w:rPr>
            </w:pPr>
            <w:r w:rsidRPr="007416C3">
              <w:rPr>
                <w:b/>
                <w:bCs/>
                <w:color w:val="000000"/>
                <w:sz w:val="18"/>
                <w:szCs w:val="18"/>
              </w:rPr>
              <w:t>всего</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b/>
                <w:bCs/>
                <w:color w:val="000000"/>
                <w:sz w:val="18"/>
                <w:szCs w:val="18"/>
              </w:rPr>
            </w:pPr>
            <w:r w:rsidRPr="007416C3">
              <w:rPr>
                <w:b/>
                <w:bCs/>
                <w:color w:val="000000"/>
                <w:sz w:val="18"/>
                <w:szCs w:val="18"/>
              </w:rPr>
              <w:t>55 879,1</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b/>
                <w:bCs/>
                <w:color w:val="000000"/>
                <w:sz w:val="18"/>
                <w:szCs w:val="18"/>
              </w:rPr>
            </w:pPr>
            <w:r w:rsidRPr="007416C3">
              <w:rPr>
                <w:b/>
                <w:bCs/>
                <w:color w:val="000000"/>
                <w:sz w:val="18"/>
                <w:szCs w:val="18"/>
              </w:rPr>
              <w:t>55 879,1</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b/>
                <w:bCs/>
                <w:color w:val="000000"/>
                <w:sz w:val="18"/>
                <w:szCs w:val="18"/>
              </w:rPr>
            </w:pPr>
            <w:r w:rsidRPr="007416C3">
              <w:rPr>
                <w:b/>
                <w:bCs/>
                <w:color w:val="000000"/>
                <w:sz w:val="18"/>
                <w:szCs w:val="18"/>
              </w:rPr>
              <w:t>30 000,0</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b/>
                <w:bCs/>
                <w:color w:val="000000"/>
                <w:sz w:val="18"/>
                <w:szCs w:val="18"/>
              </w:rPr>
            </w:pPr>
            <w:r w:rsidRPr="007416C3">
              <w:rPr>
                <w:b/>
                <w:bCs/>
                <w:color w:val="000000"/>
                <w:sz w:val="18"/>
                <w:szCs w:val="18"/>
              </w:rPr>
              <w:t>53,7</w:t>
            </w:r>
          </w:p>
        </w:tc>
      </w:tr>
      <w:tr w:rsidR="00C404B9" w:rsidRPr="007416C3" w:rsidTr="00000E53">
        <w:trPr>
          <w:trHeight w:val="267"/>
        </w:trPr>
        <w:tc>
          <w:tcPr>
            <w:tcW w:w="0" w:type="auto"/>
            <w:vMerge/>
            <w:tcBorders>
              <w:top w:val="nil"/>
              <w:left w:val="single" w:sz="4" w:space="0" w:color="auto"/>
              <w:bottom w:val="single" w:sz="4" w:space="0" w:color="000000"/>
              <w:right w:val="single" w:sz="4" w:space="0" w:color="auto"/>
            </w:tcBorders>
            <w:vAlign w:val="center"/>
            <w:hideMark/>
          </w:tcPr>
          <w:p w:rsidR="00C404B9" w:rsidRPr="007416C3" w:rsidRDefault="00C404B9" w:rsidP="00000E53">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2021</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30 000,0</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30 000,0</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30 000,0</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100,0</w:t>
            </w:r>
          </w:p>
        </w:tc>
      </w:tr>
      <w:tr w:rsidR="00C404B9" w:rsidRPr="007416C3" w:rsidTr="00000E53">
        <w:trPr>
          <w:trHeight w:val="273"/>
        </w:trPr>
        <w:tc>
          <w:tcPr>
            <w:tcW w:w="0" w:type="auto"/>
            <w:vMerge/>
            <w:tcBorders>
              <w:top w:val="nil"/>
              <w:left w:val="single" w:sz="4" w:space="0" w:color="auto"/>
              <w:bottom w:val="single" w:sz="4" w:space="0" w:color="000000"/>
              <w:right w:val="single" w:sz="4" w:space="0" w:color="auto"/>
            </w:tcBorders>
            <w:vAlign w:val="center"/>
            <w:hideMark/>
          </w:tcPr>
          <w:p w:rsidR="00C404B9" w:rsidRPr="007416C3" w:rsidRDefault="00C404B9" w:rsidP="00000E53">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2022</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25 879,1</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25 879,1</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0,0</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0,0</w:t>
            </w:r>
          </w:p>
        </w:tc>
      </w:tr>
      <w:tr w:rsidR="00C404B9" w:rsidRPr="007416C3" w:rsidTr="00000E53">
        <w:trPr>
          <w:trHeight w:val="255"/>
        </w:trPr>
        <w:tc>
          <w:tcPr>
            <w:tcW w:w="0" w:type="auto"/>
            <w:vMerge w:val="restart"/>
            <w:tcBorders>
              <w:top w:val="nil"/>
              <w:left w:val="single" w:sz="4" w:space="0" w:color="auto"/>
              <w:right w:val="single" w:sz="4" w:space="0" w:color="auto"/>
            </w:tcBorders>
            <w:shd w:val="clear" w:color="auto" w:fill="auto"/>
            <w:vAlign w:val="center"/>
            <w:hideMark/>
          </w:tcPr>
          <w:p w:rsidR="00C404B9" w:rsidRPr="007416C3" w:rsidRDefault="00C404B9" w:rsidP="00000E53">
            <w:pPr>
              <w:rPr>
                <w:b/>
                <w:bCs/>
                <w:color w:val="000000"/>
                <w:sz w:val="18"/>
                <w:szCs w:val="18"/>
              </w:rPr>
            </w:pPr>
            <w:r w:rsidRPr="007416C3">
              <w:rPr>
                <w:b/>
                <w:bCs/>
                <w:color w:val="000000"/>
                <w:sz w:val="18"/>
                <w:szCs w:val="18"/>
              </w:rPr>
              <w:t xml:space="preserve">Итого по Подпрограмме, </w:t>
            </w:r>
          </w:p>
          <w:p w:rsidR="00C404B9" w:rsidRPr="007416C3" w:rsidRDefault="00C404B9" w:rsidP="00000E53">
            <w:pPr>
              <w:rPr>
                <w:b/>
                <w:bCs/>
                <w:color w:val="000000"/>
                <w:sz w:val="18"/>
                <w:szCs w:val="18"/>
              </w:rPr>
            </w:pPr>
            <w:r w:rsidRPr="007416C3">
              <w:rPr>
                <w:b/>
                <w:bCs/>
                <w:color w:val="000000"/>
                <w:sz w:val="18"/>
                <w:szCs w:val="18"/>
              </w:rPr>
              <w:t>в том числе по годам:</w:t>
            </w:r>
          </w:p>
          <w:p w:rsidR="00C404B9" w:rsidRPr="007416C3" w:rsidRDefault="00C404B9" w:rsidP="00000E53">
            <w:pPr>
              <w:rPr>
                <w:color w:val="000000"/>
                <w:sz w:val="18"/>
                <w:szCs w:val="18"/>
              </w:rPr>
            </w:pPr>
            <w:r w:rsidRPr="007416C3">
              <w:rPr>
                <w:color w:val="000000"/>
                <w:sz w:val="18"/>
                <w:szCs w:val="18"/>
              </w:rPr>
              <w:t> </w:t>
            </w:r>
          </w:p>
          <w:p w:rsidR="00C404B9" w:rsidRPr="007416C3" w:rsidRDefault="00C404B9" w:rsidP="00000E53">
            <w:pPr>
              <w:rPr>
                <w:color w:val="000000"/>
                <w:sz w:val="18"/>
                <w:szCs w:val="18"/>
              </w:rPr>
            </w:pPr>
            <w:r w:rsidRPr="007416C3">
              <w:rPr>
                <w:color w:val="000000"/>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b/>
                <w:bCs/>
                <w:color w:val="000000"/>
                <w:sz w:val="18"/>
                <w:szCs w:val="18"/>
              </w:rPr>
            </w:pPr>
            <w:r w:rsidRPr="007416C3">
              <w:rPr>
                <w:b/>
                <w:bCs/>
                <w:color w:val="000000"/>
                <w:sz w:val="18"/>
                <w:szCs w:val="18"/>
              </w:rPr>
              <w:t>2020-2022</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b/>
                <w:bCs/>
                <w:color w:val="000000"/>
                <w:sz w:val="18"/>
                <w:szCs w:val="18"/>
              </w:rPr>
            </w:pPr>
            <w:r w:rsidRPr="007416C3">
              <w:rPr>
                <w:b/>
                <w:bCs/>
                <w:color w:val="000000"/>
                <w:sz w:val="18"/>
                <w:szCs w:val="18"/>
              </w:rPr>
              <w:t>897 511,3</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b/>
                <w:bCs/>
                <w:color w:val="000000"/>
                <w:sz w:val="18"/>
                <w:szCs w:val="18"/>
              </w:rPr>
            </w:pPr>
            <w:r w:rsidRPr="007416C3">
              <w:rPr>
                <w:b/>
                <w:bCs/>
                <w:color w:val="000000"/>
                <w:sz w:val="18"/>
                <w:szCs w:val="18"/>
              </w:rPr>
              <w:t>897 511,3</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b/>
                <w:bCs/>
                <w:color w:val="000000"/>
                <w:sz w:val="18"/>
                <w:szCs w:val="18"/>
              </w:rPr>
            </w:pPr>
            <w:r w:rsidRPr="007416C3">
              <w:rPr>
                <w:b/>
                <w:bCs/>
                <w:color w:val="000000"/>
                <w:sz w:val="18"/>
                <w:szCs w:val="18"/>
              </w:rPr>
              <w:t>244 875,4</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b/>
                <w:bCs/>
                <w:color w:val="000000"/>
                <w:sz w:val="18"/>
                <w:szCs w:val="18"/>
              </w:rPr>
            </w:pPr>
            <w:r w:rsidRPr="007416C3">
              <w:rPr>
                <w:b/>
                <w:bCs/>
                <w:color w:val="000000"/>
                <w:sz w:val="18"/>
                <w:szCs w:val="18"/>
              </w:rPr>
              <w:t>27,3</w:t>
            </w:r>
          </w:p>
        </w:tc>
      </w:tr>
      <w:tr w:rsidR="00C404B9" w:rsidRPr="007416C3" w:rsidTr="00000E53">
        <w:trPr>
          <w:trHeight w:val="255"/>
        </w:trPr>
        <w:tc>
          <w:tcPr>
            <w:tcW w:w="0" w:type="auto"/>
            <w:vMerge/>
            <w:tcBorders>
              <w:left w:val="single" w:sz="4" w:space="0" w:color="auto"/>
              <w:right w:val="single" w:sz="4" w:space="0" w:color="auto"/>
            </w:tcBorders>
            <w:shd w:val="clear" w:color="auto" w:fill="auto"/>
            <w:vAlign w:val="bottom"/>
            <w:hideMark/>
          </w:tcPr>
          <w:p w:rsidR="00C404B9" w:rsidRPr="007416C3" w:rsidRDefault="00C404B9" w:rsidP="00000E53">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2020</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31 981,9</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31 981,9</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31 981,9</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100,0</w:t>
            </w:r>
          </w:p>
        </w:tc>
      </w:tr>
      <w:tr w:rsidR="00C404B9" w:rsidRPr="007416C3" w:rsidTr="00000E53">
        <w:trPr>
          <w:trHeight w:val="85"/>
        </w:trPr>
        <w:tc>
          <w:tcPr>
            <w:tcW w:w="0" w:type="auto"/>
            <w:vMerge/>
            <w:tcBorders>
              <w:left w:val="single" w:sz="4" w:space="0" w:color="auto"/>
              <w:right w:val="single" w:sz="4" w:space="0" w:color="auto"/>
            </w:tcBorders>
            <w:shd w:val="clear" w:color="auto" w:fill="auto"/>
            <w:noWrap/>
            <w:vAlign w:val="bottom"/>
            <w:hideMark/>
          </w:tcPr>
          <w:p w:rsidR="00C404B9" w:rsidRPr="007416C3" w:rsidRDefault="00C404B9" w:rsidP="00000E53">
            <w:pP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C404B9" w:rsidRPr="007416C3" w:rsidRDefault="00C404B9" w:rsidP="00000E53">
            <w:pPr>
              <w:jc w:val="center"/>
              <w:rPr>
                <w:color w:val="000000"/>
                <w:sz w:val="18"/>
                <w:szCs w:val="18"/>
              </w:rPr>
            </w:pPr>
            <w:r w:rsidRPr="007416C3">
              <w:rPr>
                <w:color w:val="000000"/>
                <w:sz w:val="18"/>
                <w:szCs w:val="18"/>
              </w:rPr>
              <w:t>2021</w:t>
            </w:r>
          </w:p>
        </w:tc>
        <w:tc>
          <w:tcPr>
            <w:tcW w:w="0" w:type="auto"/>
            <w:tcBorders>
              <w:top w:val="nil"/>
              <w:left w:val="nil"/>
              <w:bottom w:val="single" w:sz="4" w:space="0" w:color="auto"/>
              <w:right w:val="single" w:sz="4" w:space="0" w:color="auto"/>
            </w:tcBorders>
            <w:shd w:val="clear" w:color="auto" w:fill="auto"/>
            <w:noWrap/>
            <w:vAlign w:val="center"/>
            <w:hideMark/>
          </w:tcPr>
          <w:p w:rsidR="00C404B9" w:rsidRPr="007416C3" w:rsidRDefault="00C404B9" w:rsidP="00000E53">
            <w:pPr>
              <w:jc w:val="center"/>
              <w:rPr>
                <w:color w:val="000000"/>
                <w:sz w:val="18"/>
                <w:szCs w:val="18"/>
              </w:rPr>
            </w:pPr>
            <w:r w:rsidRPr="007416C3">
              <w:rPr>
                <w:color w:val="000000"/>
                <w:sz w:val="18"/>
                <w:szCs w:val="18"/>
              </w:rPr>
              <w:t>348 006,2</w:t>
            </w:r>
          </w:p>
        </w:tc>
        <w:tc>
          <w:tcPr>
            <w:tcW w:w="0" w:type="auto"/>
            <w:tcBorders>
              <w:top w:val="nil"/>
              <w:left w:val="nil"/>
              <w:bottom w:val="single" w:sz="4" w:space="0" w:color="auto"/>
              <w:right w:val="single" w:sz="4" w:space="0" w:color="auto"/>
            </w:tcBorders>
            <w:shd w:val="clear" w:color="auto" w:fill="auto"/>
            <w:noWrap/>
            <w:vAlign w:val="center"/>
            <w:hideMark/>
          </w:tcPr>
          <w:p w:rsidR="00C404B9" w:rsidRPr="007416C3" w:rsidRDefault="00C404B9" w:rsidP="00000E53">
            <w:pPr>
              <w:jc w:val="center"/>
              <w:rPr>
                <w:color w:val="000000"/>
                <w:sz w:val="18"/>
                <w:szCs w:val="18"/>
              </w:rPr>
            </w:pPr>
            <w:r w:rsidRPr="007416C3">
              <w:rPr>
                <w:color w:val="000000"/>
                <w:sz w:val="18"/>
                <w:szCs w:val="18"/>
              </w:rPr>
              <w:t>348 006,2</w:t>
            </w:r>
          </w:p>
        </w:tc>
        <w:tc>
          <w:tcPr>
            <w:tcW w:w="0" w:type="auto"/>
            <w:tcBorders>
              <w:top w:val="nil"/>
              <w:left w:val="nil"/>
              <w:bottom w:val="single" w:sz="4" w:space="0" w:color="auto"/>
              <w:right w:val="single" w:sz="4" w:space="0" w:color="auto"/>
            </w:tcBorders>
            <w:shd w:val="clear" w:color="auto" w:fill="auto"/>
            <w:noWrap/>
            <w:vAlign w:val="center"/>
            <w:hideMark/>
          </w:tcPr>
          <w:p w:rsidR="00C404B9" w:rsidRPr="007416C3" w:rsidRDefault="00C404B9" w:rsidP="00000E53">
            <w:pPr>
              <w:jc w:val="center"/>
              <w:rPr>
                <w:color w:val="000000"/>
                <w:sz w:val="18"/>
                <w:szCs w:val="18"/>
              </w:rPr>
            </w:pPr>
            <w:r w:rsidRPr="007416C3">
              <w:rPr>
                <w:color w:val="000000"/>
                <w:sz w:val="18"/>
                <w:szCs w:val="18"/>
              </w:rPr>
              <w:t>212 893,5</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61,2</w:t>
            </w:r>
          </w:p>
        </w:tc>
      </w:tr>
      <w:tr w:rsidR="00C404B9" w:rsidRPr="007416C3" w:rsidTr="00000E53">
        <w:trPr>
          <w:trHeight w:val="139"/>
        </w:trPr>
        <w:tc>
          <w:tcPr>
            <w:tcW w:w="0" w:type="auto"/>
            <w:vMerge/>
            <w:tcBorders>
              <w:left w:val="single" w:sz="4" w:space="0" w:color="auto"/>
              <w:bottom w:val="single" w:sz="4" w:space="0" w:color="auto"/>
              <w:right w:val="single" w:sz="4" w:space="0" w:color="auto"/>
            </w:tcBorders>
            <w:shd w:val="clear" w:color="auto" w:fill="auto"/>
            <w:noWrap/>
            <w:vAlign w:val="bottom"/>
            <w:hideMark/>
          </w:tcPr>
          <w:p w:rsidR="00C404B9" w:rsidRPr="007416C3" w:rsidRDefault="00C404B9" w:rsidP="00000E53">
            <w:pP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C404B9" w:rsidRPr="007416C3" w:rsidRDefault="00C404B9" w:rsidP="00000E53">
            <w:pPr>
              <w:jc w:val="center"/>
              <w:rPr>
                <w:color w:val="000000"/>
                <w:sz w:val="18"/>
                <w:szCs w:val="18"/>
              </w:rPr>
            </w:pPr>
            <w:r w:rsidRPr="007416C3">
              <w:rPr>
                <w:color w:val="000000"/>
                <w:sz w:val="18"/>
                <w:szCs w:val="18"/>
              </w:rPr>
              <w:t>2022</w:t>
            </w:r>
          </w:p>
        </w:tc>
        <w:tc>
          <w:tcPr>
            <w:tcW w:w="0" w:type="auto"/>
            <w:tcBorders>
              <w:top w:val="nil"/>
              <w:left w:val="nil"/>
              <w:bottom w:val="single" w:sz="4" w:space="0" w:color="auto"/>
              <w:right w:val="single" w:sz="4" w:space="0" w:color="auto"/>
            </w:tcBorders>
            <w:shd w:val="clear" w:color="auto" w:fill="auto"/>
            <w:noWrap/>
            <w:vAlign w:val="center"/>
            <w:hideMark/>
          </w:tcPr>
          <w:p w:rsidR="00C404B9" w:rsidRPr="007416C3" w:rsidRDefault="00C404B9" w:rsidP="00000E53">
            <w:pPr>
              <w:jc w:val="center"/>
              <w:rPr>
                <w:color w:val="000000"/>
                <w:sz w:val="18"/>
                <w:szCs w:val="18"/>
              </w:rPr>
            </w:pPr>
            <w:r w:rsidRPr="007416C3">
              <w:rPr>
                <w:color w:val="000000"/>
                <w:sz w:val="18"/>
                <w:szCs w:val="18"/>
              </w:rPr>
              <w:t>517 523,2</w:t>
            </w:r>
          </w:p>
        </w:tc>
        <w:tc>
          <w:tcPr>
            <w:tcW w:w="0" w:type="auto"/>
            <w:tcBorders>
              <w:top w:val="nil"/>
              <w:left w:val="nil"/>
              <w:bottom w:val="single" w:sz="4" w:space="0" w:color="auto"/>
              <w:right w:val="single" w:sz="4" w:space="0" w:color="auto"/>
            </w:tcBorders>
            <w:shd w:val="clear" w:color="auto" w:fill="auto"/>
            <w:noWrap/>
            <w:vAlign w:val="center"/>
            <w:hideMark/>
          </w:tcPr>
          <w:p w:rsidR="00C404B9" w:rsidRPr="007416C3" w:rsidRDefault="00C404B9" w:rsidP="00000E53">
            <w:pPr>
              <w:jc w:val="center"/>
              <w:rPr>
                <w:color w:val="000000"/>
                <w:sz w:val="18"/>
                <w:szCs w:val="18"/>
              </w:rPr>
            </w:pPr>
            <w:r w:rsidRPr="007416C3">
              <w:rPr>
                <w:color w:val="000000"/>
                <w:sz w:val="18"/>
                <w:szCs w:val="18"/>
              </w:rPr>
              <w:t>517 523,2</w:t>
            </w:r>
          </w:p>
        </w:tc>
        <w:tc>
          <w:tcPr>
            <w:tcW w:w="0" w:type="auto"/>
            <w:tcBorders>
              <w:top w:val="nil"/>
              <w:left w:val="nil"/>
              <w:bottom w:val="single" w:sz="4" w:space="0" w:color="auto"/>
              <w:right w:val="single" w:sz="4" w:space="0" w:color="auto"/>
            </w:tcBorders>
            <w:shd w:val="clear" w:color="auto" w:fill="auto"/>
            <w:noWrap/>
            <w:vAlign w:val="center"/>
            <w:hideMark/>
          </w:tcPr>
          <w:p w:rsidR="00C404B9" w:rsidRPr="007416C3" w:rsidRDefault="00C404B9" w:rsidP="00000E53">
            <w:pPr>
              <w:jc w:val="center"/>
              <w:rPr>
                <w:color w:val="000000"/>
                <w:sz w:val="18"/>
                <w:szCs w:val="18"/>
              </w:rPr>
            </w:pPr>
            <w:r w:rsidRPr="007416C3">
              <w:rPr>
                <w:color w:val="000000"/>
                <w:sz w:val="18"/>
                <w:szCs w:val="18"/>
              </w:rPr>
              <w:t>0,0</w:t>
            </w:r>
          </w:p>
        </w:tc>
        <w:tc>
          <w:tcPr>
            <w:tcW w:w="0" w:type="auto"/>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jc w:val="center"/>
              <w:rPr>
                <w:color w:val="000000"/>
                <w:sz w:val="18"/>
                <w:szCs w:val="18"/>
              </w:rPr>
            </w:pPr>
            <w:r w:rsidRPr="007416C3">
              <w:rPr>
                <w:color w:val="000000"/>
                <w:sz w:val="18"/>
                <w:szCs w:val="18"/>
              </w:rPr>
              <w:t>0,0</w:t>
            </w:r>
          </w:p>
        </w:tc>
      </w:tr>
    </w:tbl>
    <w:p w:rsidR="00C404B9" w:rsidRPr="00812C26" w:rsidRDefault="00C404B9" w:rsidP="00C404B9">
      <w:pPr>
        <w:pStyle w:val="ConsPlusNonformat"/>
        <w:spacing w:before="240"/>
        <w:ind w:firstLine="709"/>
        <w:jc w:val="both"/>
        <w:rPr>
          <w:rFonts w:ascii="Times New Roman" w:hAnsi="Times New Roman" w:cs="Times New Roman"/>
          <w:b/>
          <w:color w:val="000000"/>
          <w:sz w:val="28"/>
          <w:szCs w:val="28"/>
        </w:rPr>
      </w:pPr>
      <w:r w:rsidRPr="00812C26">
        <w:rPr>
          <w:rFonts w:ascii="Times New Roman" w:hAnsi="Times New Roman" w:cs="Times New Roman"/>
          <w:b/>
          <w:color w:val="000000"/>
          <w:sz w:val="28"/>
          <w:szCs w:val="28"/>
        </w:rPr>
        <w:t>8.</w:t>
      </w:r>
      <w:r>
        <w:rPr>
          <w:rFonts w:ascii="Times New Roman" w:hAnsi="Times New Roman" w:cs="Times New Roman"/>
          <w:b/>
          <w:color w:val="000000"/>
          <w:sz w:val="28"/>
          <w:szCs w:val="28"/>
        </w:rPr>
        <w:t> </w:t>
      </w:r>
      <w:r w:rsidRPr="00812C26">
        <w:rPr>
          <w:rFonts w:ascii="Times New Roman" w:hAnsi="Times New Roman" w:cs="Times New Roman"/>
          <w:b/>
          <w:color w:val="000000"/>
          <w:sz w:val="28"/>
          <w:szCs w:val="28"/>
        </w:rPr>
        <w:t>По результатам контрольного мероприятия установлено следующее.</w:t>
      </w:r>
    </w:p>
    <w:p w:rsidR="00C404B9" w:rsidRDefault="00C404B9" w:rsidP="00C404B9">
      <w:pPr>
        <w:shd w:val="clear" w:color="auto" w:fill="FFFFFF"/>
        <w:ind w:firstLine="708"/>
        <w:jc w:val="both"/>
        <w:rPr>
          <w:b/>
          <w:sz w:val="16"/>
          <w:szCs w:val="16"/>
        </w:rPr>
      </w:pPr>
    </w:p>
    <w:p w:rsidR="00C404B9" w:rsidRPr="009E5BE6" w:rsidRDefault="00C404B9" w:rsidP="00C404B9">
      <w:pPr>
        <w:shd w:val="clear" w:color="auto" w:fill="FFFFFF"/>
        <w:ind w:firstLine="708"/>
        <w:jc w:val="both"/>
        <w:rPr>
          <w:b/>
          <w:i/>
          <w:sz w:val="28"/>
          <w:szCs w:val="28"/>
        </w:rPr>
      </w:pPr>
      <w:r w:rsidRPr="009E5BE6">
        <w:rPr>
          <w:b/>
          <w:i/>
          <w:sz w:val="28"/>
          <w:szCs w:val="28"/>
        </w:rPr>
        <w:t>8.1. Оценка использования бюджетных средств, направленных на реализацию мероприятий подпрограммы «Развитие жилищного строительства» показала следующее.</w:t>
      </w:r>
    </w:p>
    <w:p w:rsidR="00C404B9" w:rsidRPr="009E5BE6" w:rsidRDefault="00C404B9" w:rsidP="00C404B9">
      <w:pPr>
        <w:shd w:val="clear" w:color="auto" w:fill="FFFFFF"/>
        <w:ind w:firstLine="708"/>
        <w:jc w:val="both"/>
        <w:rPr>
          <w:sz w:val="16"/>
          <w:szCs w:val="16"/>
        </w:rPr>
      </w:pPr>
    </w:p>
    <w:p w:rsidR="00C404B9" w:rsidRPr="00951CE6" w:rsidRDefault="00C404B9" w:rsidP="00C404B9">
      <w:pPr>
        <w:shd w:val="clear" w:color="auto" w:fill="FFFFFF"/>
        <w:autoSpaceDE w:val="0"/>
        <w:autoSpaceDN w:val="0"/>
        <w:adjustRightInd w:val="0"/>
        <w:ind w:firstLine="709"/>
        <w:jc w:val="both"/>
        <w:rPr>
          <w:b/>
          <w:bCs/>
          <w:i/>
          <w:sz w:val="16"/>
          <w:szCs w:val="16"/>
        </w:rPr>
      </w:pPr>
      <w:r w:rsidRPr="00951CE6">
        <w:rPr>
          <w:b/>
          <w:i/>
          <w:color w:val="000000"/>
          <w:sz w:val="28"/>
          <w:szCs w:val="28"/>
        </w:rPr>
        <w:t>Субсиди</w:t>
      </w:r>
      <w:r>
        <w:rPr>
          <w:b/>
          <w:i/>
          <w:color w:val="000000"/>
          <w:sz w:val="28"/>
          <w:szCs w:val="28"/>
        </w:rPr>
        <w:t>я</w:t>
      </w:r>
      <w:r w:rsidRPr="00951CE6">
        <w:rPr>
          <w:b/>
          <w:i/>
          <w:color w:val="000000"/>
          <w:sz w:val="28"/>
          <w:szCs w:val="28"/>
        </w:rPr>
        <w:t xml:space="preserve"> застройщикам на возмещение недополученных доходов, возникающих при реализации квартир гражданам</w:t>
      </w:r>
    </w:p>
    <w:p w:rsidR="00C404B9" w:rsidRDefault="00C404B9" w:rsidP="00C404B9">
      <w:pPr>
        <w:shd w:val="clear" w:color="auto" w:fill="FFFFFF"/>
        <w:autoSpaceDE w:val="0"/>
        <w:autoSpaceDN w:val="0"/>
        <w:adjustRightInd w:val="0"/>
        <w:ind w:firstLine="709"/>
        <w:jc w:val="both"/>
        <w:rPr>
          <w:b/>
          <w:bCs/>
          <w:sz w:val="16"/>
          <w:szCs w:val="16"/>
        </w:rPr>
      </w:pPr>
    </w:p>
    <w:p w:rsidR="00C404B9" w:rsidRPr="00C403C7" w:rsidRDefault="00C404B9" w:rsidP="00C404B9">
      <w:pPr>
        <w:shd w:val="clear" w:color="auto" w:fill="FFFFFF"/>
        <w:autoSpaceDE w:val="0"/>
        <w:autoSpaceDN w:val="0"/>
        <w:adjustRightInd w:val="0"/>
        <w:ind w:firstLine="709"/>
        <w:jc w:val="both"/>
        <w:rPr>
          <w:bCs/>
          <w:sz w:val="28"/>
          <w:szCs w:val="28"/>
        </w:rPr>
      </w:pPr>
      <w:r w:rsidRPr="00332549">
        <w:rPr>
          <w:rFonts w:eastAsia="Calibri"/>
          <w:sz w:val="28"/>
          <w:szCs w:val="28"/>
        </w:rPr>
        <w:t>Закон</w:t>
      </w:r>
      <w:r>
        <w:rPr>
          <w:rFonts w:eastAsia="Calibri"/>
          <w:sz w:val="28"/>
          <w:szCs w:val="28"/>
        </w:rPr>
        <w:t>ами</w:t>
      </w:r>
      <w:r w:rsidRPr="00332549">
        <w:rPr>
          <w:rFonts w:eastAsia="Calibri"/>
          <w:sz w:val="28"/>
          <w:szCs w:val="28"/>
        </w:rPr>
        <w:t xml:space="preserve"> об окружном бюджете на 202</w:t>
      </w:r>
      <w:r>
        <w:rPr>
          <w:rFonts w:eastAsia="Calibri"/>
          <w:sz w:val="28"/>
          <w:szCs w:val="28"/>
        </w:rPr>
        <w:t xml:space="preserve">1 и 2022 </w:t>
      </w:r>
      <w:r w:rsidRPr="00332549">
        <w:rPr>
          <w:rFonts w:eastAsia="Calibri"/>
          <w:sz w:val="28"/>
          <w:szCs w:val="28"/>
        </w:rPr>
        <w:t>год</w:t>
      </w:r>
      <w:r>
        <w:rPr>
          <w:rFonts w:eastAsia="Calibri"/>
          <w:sz w:val="28"/>
          <w:szCs w:val="28"/>
        </w:rPr>
        <w:t>ы</w:t>
      </w:r>
      <w:r w:rsidRPr="00332549">
        <w:rPr>
          <w:rFonts w:eastAsia="Calibri"/>
          <w:sz w:val="28"/>
          <w:szCs w:val="28"/>
        </w:rPr>
        <w:t xml:space="preserve"> Департаменту пр</w:t>
      </w:r>
      <w:r>
        <w:rPr>
          <w:rFonts w:eastAsia="Calibri"/>
          <w:sz w:val="28"/>
          <w:szCs w:val="28"/>
        </w:rPr>
        <w:t>омышленности ут</w:t>
      </w:r>
      <w:r w:rsidRPr="00332549">
        <w:rPr>
          <w:bCs/>
          <w:sz w:val="28"/>
          <w:szCs w:val="28"/>
        </w:rPr>
        <w:t xml:space="preserve">верждены бюджетные ассигнования на реализацию программного мероприятия </w:t>
      </w:r>
      <w:r w:rsidRPr="00374FB4">
        <w:rPr>
          <w:sz w:val="28"/>
          <w:szCs w:val="28"/>
        </w:rPr>
        <w:t>«С</w:t>
      </w:r>
      <w:r w:rsidRPr="00374FB4">
        <w:rPr>
          <w:color w:val="000000"/>
          <w:sz w:val="28"/>
          <w:szCs w:val="28"/>
        </w:rPr>
        <w:t>убсидия застройщикам на возмещение недополученных доходов, возникающих при реализации квартир гражданам»</w:t>
      </w:r>
      <w:r>
        <w:rPr>
          <w:color w:val="000000"/>
          <w:sz w:val="28"/>
          <w:szCs w:val="28"/>
        </w:rPr>
        <w:t xml:space="preserve"> </w:t>
      </w:r>
      <w:r w:rsidRPr="00332549">
        <w:rPr>
          <w:bCs/>
          <w:sz w:val="28"/>
          <w:szCs w:val="28"/>
        </w:rPr>
        <w:t>в</w:t>
      </w:r>
      <w:r>
        <w:rPr>
          <w:bCs/>
          <w:sz w:val="28"/>
          <w:szCs w:val="28"/>
        </w:rPr>
        <w:t xml:space="preserve"> общем </w:t>
      </w:r>
      <w:r w:rsidRPr="00332549">
        <w:rPr>
          <w:bCs/>
          <w:sz w:val="28"/>
          <w:szCs w:val="28"/>
        </w:rPr>
        <w:t xml:space="preserve">объеме </w:t>
      </w:r>
      <w:r>
        <w:rPr>
          <w:bCs/>
          <w:sz w:val="28"/>
          <w:szCs w:val="28"/>
        </w:rPr>
        <w:t>55 879,1</w:t>
      </w:r>
      <w:r w:rsidRPr="00332549">
        <w:rPr>
          <w:bCs/>
          <w:sz w:val="28"/>
          <w:szCs w:val="28"/>
        </w:rPr>
        <w:t> тыс.</w:t>
      </w:r>
      <w:r>
        <w:rPr>
          <w:bCs/>
          <w:sz w:val="28"/>
          <w:szCs w:val="28"/>
        </w:rPr>
        <w:t xml:space="preserve"> </w:t>
      </w:r>
      <w:r w:rsidRPr="00332549">
        <w:rPr>
          <w:bCs/>
          <w:sz w:val="28"/>
          <w:szCs w:val="28"/>
        </w:rPr>
        <w:t>рублей</w:t>
      </w:r>
      <w:r>
        <w:rPr>
          <w:sz w:val="28"/>
          <w:szCs w:val="28"/>
        </w:rPr>
        <w:t>, в том числе: на 2021 год – 30 000,0 тыс. рублей, на 2022 год – 25 879,1 тыс. рублей</w:t>
      </w:r>
      <w:r w:rsidRPr="00072D39">
        <w:rPr>
          <w:sz w:val="28"/>
          <w:szCs w:val="28"/>
        </w:rPr>
        <w:t>.</w:t>
      </w:r>
    </w:p>
    <w:p w:rsidR="00C404B9" w:rsidRDefault="00C404B9" w:rsidP="00C404B9">
      <w:pPr>
        <w:shd w:val="clear" w:color="auto" w:fill="FFFFFF"/>
        <w:autoSpaceDE w:val="0"/>
        <w:autoSpaceDN w:val="0"/>
        <w:adjustRightInd w:val="0"/>
        <w:ind w:firstLine="708"/>
        <w:jc w:val="both"/>
        <w:rPr>
          <w:sz w:val="28"/>
          <w:szCs w:val="28"/>
        </w:rPr>
      </w:pPr>
      <w:r w:rsidRPr="00072D39">
        <w:rPr>
          <w:sz w:val="28"/>
          <w:szCs w:val="28"/>
        </w:rPr>
        <w:t xml:space="preserve">Реализация мероприятия </w:t>
      </w:r>
      <w:r w:rsidRPr="00332549">
        <w:rPr>
          <w:bCs/>
          <w:sz w:val="28"/>
          <w:szCs w:val="28"/>
        </w:rPr>
        <w:t>«</w:t>
      </w:r>
      <w:r w:rsidRPr="00332549">
        <w:rPr>
          <w:bCs/>
          <w:color w:val="000000"/>
          <w:sz w:val="28"/>
          <w:szCs w:val="28"/>
        </w:rPr>
        <w:t xml:space="preserve">Субсидии </w:t>
      </w:r>
      <w:r w:rsidRPr="00374FB4">
        <w:rPr>
          <w:color w:val="000000"/>
          <w:sz w:val="28"/>
          <w:szCs w:val="28"/>
        </w:rPr>
        <w:t>застройщикам на возмещение недополученных доходов, возникающих при реализации квартир гражданам</w:t>
      </w:r>
      <w:r w:rsidRPr="00332549">
        <w:rPr>
          <w:bCs/>
          <w:color w:val="000000"/>
          <w:sz w:val="28"/>
          <w:szCs w:val="28"/>
        </w:rPr>
        <w:t>»</w:t>
      </w:r>
      <w:r>
        <w:rPr>
          <w:color w:val="000000"/>
          <w:sz w:val="28"/>
          <w:szCs w:val="28"/>
        </w:rPr>
        <w:t xml:space="preserve"> в</w:t>
      </w:r>
      <w:r>
        <w:rPr>
          <w:color w:val="000000"/>
          <w:sz w:val="28"/>
          <w:szCs w:val="28"/>
          <w:lang w:val="en-US"/>
        </w:rPr>
        <w:t> </w:t>
      </w:r>
      <w:r>
        <w:rPr>
          <w:color w:val="000000"/>
          <w:sz w:val="28"/>
          <w:szCs w:val="28"/>
        </w:rPr>
        <w:t xml:space="preserve">2021 году </w:t>
      </w:r>
      <w:r w:rsidRPr="00072D39">
        <w:rPr>
          <w:color w:val="000000"/>
          <w:sz w:val="28"/>
          <w:szCs w:val="28"/>
        </w:rPr>
        <w:t>осуществлялась Департаментом пр</w:t>
      </w:r>
      <w:r>
        <w:rPr>
          <w:color w:val="000000"/>
          <w:sz w:val="28"/>
          <w:szCs w:val="28"/>
        </w:rPr>
        <w:t>омышленности</w:t>
      </w:r>
      <w:r w:rsidRPr="00072D39">
        <w:rPr>
          <w:color w:val="000000"/>
          <w:sz w:val="28"/>
          <w:szCs w:val="28"/>
        </w:rPr>
        <w:t xml:space="preserve"> путем предоставления</w:t>
      </w:r>
      <w:r>
        <w:rPr>
          <w:sz w:val="28"/>
          <w:szCs w:val="28"/>
        </w:rPr>
        <w:t xml:space="preserve"> субсидий из окружного бюджета в целях возмещения застройщикам недополученных доходов, возникающих при реализации квартир гражданам на территории Чукотского автономного округа (за исключением города Анадыря) по ценам ниже сметной стоимости строительства, в том числе с применением механизма поддержки «Дальневосточная ипотека»</w:t>
      </w:r>
      <w:r>
        <w:rPr>
          <w:rStyle w:val="ab"/>
          <w:sz w:val="28"/>
          <w:szCs w:val="28"/>
        </w:rPr>
        <w:footnoteReference w:id="171"/>
      </w:r>
      <w:r>
        <w:rPr>
          <w:sz w:val="28"/>
          <w:szCs w:val="28"/>
        </w:rPr>
        <w:t>.</w:t>
      </w:r>
    </w:p>
    <w:p w:rsidR="00C404B9" w:rsidRDefault="00C404B9" w:rsidP="00C404B9">
      <w:pPr>
        <w:shd w:val="clear" w:color="auto" w:fill="FFFFFF"/>
        <w:autoSpaceDE w:val="0"/>
        <w:autoSpaceDN w:val="0"/>
        <w:adjustRightInd w:val="0"/>
        <w:ind w:firstLine="708"/>
        <w:jc w:val="both"/>
        <w:rPr>
          <w:sz w:val="28"/>
          <w:szCs w:val="28"/>
        </w:rPr>
      </w:pPr>
      <w:r>
        <w:rPr>
          <w:sz w:val="28"/>
          <w:szCs w:val="28"/>
        </w:rPr>
        <w:lastRenderedPageBreak/>
        <w:t>В нарушение требований Порядка №173:</w:t>
      </w:r>
    </w:p>
    <w:p w:rsidR="00C404B9" w:rsidRDefault="00C404B9" w:rsidP="00C404B9">
      <w:pPr>
        <w:shd w:val="clear" w:color="auto" w:fill="FFFFFF"/>
        <w:autoSpaceDE w:val="0"/>
        <w:autoSpaceDN w:val="0"/>
        <w:adjustRightInd w:val="0"/>
        <w:ind w:firstLine="708"/>
        <w:jc w:val="both"/>
        <w:rPr>
          <w:sz w:val="28"/>
          <w:szCs w:val="28"/>
        </w:rPr>
      </w:pPr>
      <w:r>
        <w:rPr>
          <w:sz w:val="28"/>
          <w:szCs w:val="28"/>
        </w:rPr>
        <w:t>- Департаментом промышленности в 2021 и 2022 годах размещены в сети «Интернет» на официальном сайте Чукотского автономного округа (</w:t>
      </w:r>
      <w:r>
        <w:rPr>
          <w:sz w:val="28"/>
          <w:szCs w:val="28"/>
          <w:lang w:val="en-US"/>
        </w:rPr>
        <w:t>http</w:t>
      </w:r>
      <w:r w:rsidRPr="00545E18">
        <w:rPr>
          <w:sz w:val="28"/>
          <w:szCs w:val="28"/>
        </w:rPr>
        <w:t>:</w:t>
      </w:r>
      <w:r>
        <w:rPr>
          <w:sz w:val="28"/>
          <w:szCs w:val="28"/>
          <w:lang w:val="en-US"/>
        </w:rPr>
        <w:t>www</w:t>
      </w:r>
      <w:r w:rsidRPr="00545E18">
        <w:rPr>
          <w:sz w:val="28"/>
          <w:szCs w:val="28"/>
        </w:rPr>
        <w:t>.</w:t>
      </w:r>
      <w:proofErr w:type="spellStart"/>
      <w:r>
        <w:rPr>
          <w:sz w:val="28"/>
          <w:szCs w:val="28"/>
        </w:rPr>
        <w:t>чукотка.рф</w:t>
      </w:r>
      <w:proofErr w:type="spellEnd"/>
      <w:r>
        <w:rPr>
          <w:sz w:val="28"/>
          <w:szCs w:val="28"/>
        </w:rPr>
        <w:t>.) объявления о проведении отбора юридических лиц для предоставления субсидии</w:t>
      </w:r>
      <w:r>
        <w:rPr>
          <w:rStyle w:val="ab"/>
          <w:sz w:val="28"/>
          <w:szCs w:val="28"/>
        </w:rPr>
        <w:footnoteReference w:id="172"/>
      </w:r>
      <w:r>
        <w:rPr>
          <w:sz w:val="28"/>
          <w:szCs w:val="28"/>
        </w:rPr>
        <w:t>, в которых отсутствует требование к участнику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404B9" w:rsidRDefault="00C404B9" w:rsidP="00C404B9">
      <w:pPr>
        <w:shd w:val="clear" w:color="auto" w:fill="FFFFFF"/>
        <w:autoSpaceDE w:val="0"/>
        <w:autoSpaceDN w:val="0"/>
        <w:adjustRightInd w:val="0"/>
        <w:ind w:firstLine="708"/>
        <w:jc w:val="both"/>
        <w:rPr>
          <w:sz w:val="28"/>
          <w:szCs w:val="28"/>
        </w:rPr>
      </w:pPr>
      <w:r w:rsidRPr="00FD4AFD">
        <w:rPr>
          <w:sz w:val="28"/>
          <w:szCs w:val="28"/>
        </w:rPr>
        <w:t>- </w:t>
      </w:r>
      <w:r>
        <w:rPr>
          <w:sz w:val="28"/>
          <w:szCs w:val="28"/>
        </w:rPr>
        <w:t xml:space="preserve">единственным </w:t>
      </w:r>
      <w:r w:rsidRPr="00FD4AFD">
        <w:rPr>
          <w:sz w:val="28"/>
          <w:szCs w:val="28"/>
        </w:rPr>
        <w:t xml:space="preserve">участником отбора </w:t>
      </w:r>
      <w:r>
        <w:rPr>
          <w:sz w:val="28"/>
          <w:szCs w:val="28"/>
        </w:rPr>
        <w:t xml:space="preserve">Непубличным акционерным обществом «Чукотская торговая компания» (далее – НАО «ЧТК») </w:t>
      </w:r>
      <w:r w:rsidRPr="00FD4AFD">
        <w:rPr>
          <w:sz w:val="28"/>
          <w:szCs w:val="28"/>
        </w:rPr>
        <w:t>в составе заявки в 2021 и 2022 годах не представлены справки кредитной организации о стоимости приобретаемых квартир, в том числе с использованием механизма поддержки «Дальневосточная ипотека», поскольку все 9 квартир приобретены покупателями с привлечением заемных средств</w:t>
      </w:r>
      <w:r>
        <w:rPr>
          <w:sz w:val="28"/>
          <w:szCs w:val="28"/>
        </w:rPr>
        <w:t>;</w:t>
      </w:r>
      <w:r w:rsidRPr="00FD4AFD">
        <w:rPr>
          <w:sz w:val="28"/>
          <w:szCs w:val="28"/>
        </w:rPr>
        <w:t xml:space="preserve"> </w:t>
      </w:r>
    </w:p>
    <w:p w:rsidR="00C404B9" w:rsidRPr="00FD4AFD" w:rsidRDefault="00C404B9" w:rsidP="00C404B9">
      <w:pPr>
        <w:shd w:val="clear" w:color="auto" w:fill="FFFFFF"/>
        <w:ind w:firstLine="708"/>
        <w:jc w:val="both"/>
        <w:rPr>
          <w:sz w:val="28"/>
          <w:szCs w:val="28"/>
        </w:rPr>
      </w:pPr>
      <w:r>
        <w:rPr>
          <w:color w:val="000000"/>
          <w:sz w:val="28"/>
          <w:szCs w:val="28"/>
        </w:rPr>
        <w:t>- о</w:t>
      </w:r>
      <w:r w:rsidRPr="002D4EAA">
        <w:rPr>
          <w:color w:val="000000"/>
          <w:sz w:val="28"/>
          <w:szCs w:val="28"/>
        </w:rPr>
        <w:t xml:space="preserve">тчет о достижении значений показателей результативности предоставления </w:t>
      </w:r>
      <w:r>
        <w:rPr>
          <w:color w:val="000000"/>
          <w:sz w:val="28"/>
          <w:szCs w:val="28"/>
        </w:rPr>
        <w:t>С</w:t>
      </w:r>
      <w:r w:rsidRPr="002D4EAA">
        <w:rPr>
          <w:color w:val="000000"/>
          <w:sz w:val="28"/>
          <w:szCs w:val="28"/>
        </w:rPr>
        <w:t xml:space="preserve">убсидии предоставлен НАО «ЧТК» </w:t>
      </w:r>
      <w:r w:rsidRPr="001F304E">
        <w:rPr>
          <w:sz w:val="28"/>
          <w:szCs w:val="28"/>
        </w:rPr>
        <w:t>с</w:t>
      </w:r>
      <w:r>
        <w:rPr>
          <w:sz w:val="28"/>
          <w:szCs w:val="28"/>
        </w:rPr>
        <w:t> наруш</w:t>
      </w:r>
      <w:r w:rsidRPr="001F304E">
        <w:rPr>
          <w:sz w:val="28"/>
          <w:szCs w:val="28"/>
        </w:rPr>
        <w:t>ением установленного срока</w:t>
      </w:r>
      <w:r>
        <w:rPr>
          <w:sz w:val="28"/>
          <w:szCs w:val="28"/>
        </w:rPr>
        <w:t xml:space="preserve"> (до 1 ноября года, в котором была предоставлена Субсидия) на 77 календарных дней</w:t>
      </w:r>
      <w:r w:rsidRPr="00FD4AFD">
        <w:rPr>
          <w:sz w:val="28"/>
          <w:szCs w:val="28"/>
        </w:rPr>
        <w:t>.</w:t>
      </w:r>
    </w:p>
    <w:p w:rsidR="00C404B9" w:rsidRDefault="00C404B9" w:rsidP="00C404B9">
      <w:pPr>
        <w:shd w:val="clear" w:color="auto" w:fill="FFFFFF"/>
        <w:autoSpaceDE w:val="0"/>
        <w:autoSpaceDN w:val="0"/>
        <w:adjustRightInd w:val="0"/>
        <w:spacing w:before="80"/>
        <w:ind w:firstLine="709"/>
        <w:jc w:val="both"/>
        <w:rPr>
          <w:sz w:val="28"/>
          <w:szCs w:val="28"/>
        </w:rPr>
      </w:pPr>
      <w:r>
        <w:rPr>
          <w:sz w:val="28"/>
          <w:szCs w:val="28"/>
        </w:rPr>
        <w:t xml:space="preserve">Счетная палата отмечает, что в составе заявок НАО «ЧТК» представлена информация Администрации Анадырского муниципального района о средней рыночной стоимости 1 квадратного метра жилого помещения на </w:t>
      </w:r>
      <w:r w:rsidRPr="002D2890">
        <w:rPr>
          <w:b/>
          <w:sz w:val="28"/>
          <w:szCs w:val="28"/>
        </w:rPr>
        <w:t>вторичном</w:t>
      </w:r>
      <w:r>
        <w:rPr>
          <w:sz w:val="28"/>
          <w:szCs w:val="28"/>
        </w:rPr>
        <w:t xml:space="preserve"> рынке жилья в п. Угольные Копи Анадырского муниципального района (80,7 тыс. рублей и 83,5 тыс. рублей соответственно), что не сопоставимо с целью предоставляемой субсидии застройщикам, реализующим квартиры на </w:t>
      </w:r>
      <w:r w:rsidRPr="002D2890">
        <w:rPr>
          <w:b/>
          <w:sz w:val="28"/>
          <w:szCs w:val="28"/>
        </w:rPr>
        <w:t>первичном</w:t>
      </w:r>
      <w:r>
        <w:rPr>
          <w:sz w:val="28"/>
          <w:szCs w:val="28"/>
        </w:rPr>
        <w:t xml:space="preserve"> рынке жилья</w:t>
      </w:r>
      <w:r>
        <w:rPr>
          <w:rStyle w:val="ab"/>
          <w:sz w:val="28"/>
          <w:szCs w:val="28"/>
        </w:rPr>
        <w:footnoteReference w:id="173"/>
      </w:r>
      <w:r>
        <w:rPr>
          <w:sz w:val="28"/>
          <w:szCs w:val="28"/>
        </w:rPr>
        <w:t xml:space="preserve">. </w:t>
      </w:r>
    </w:p>
    <w:p w:rsidR="00C404B9" w:rsidRDefault="00C404B9" w:rsidP="00C404B9">
      <w:pPr>
        <w:shd w:val="clear" w:color="auto" w:fill="FFFFFF"/>
        <w:autoSpaceDE w:val="0"/>
        <w:autoSpaceDN w:val="0"/>
        <w:adjustRightInd w:val="0"/>
        <w:ind w:firstLine="708"/>
        <w:jc w:val="both"/>
        <w:rPr>
          <w:sz w:val="28"/>
          <w:szCs w:val="28"/>
        </w:rPr>
      </w:pPr>
      <w:r>
        <w:rPr>
          <w:sz w:val="28"/>
          <w:szCs w:val="28"/>
        </w:rPr>
        <w:t xml:space="preserve">По результатам рассмотрения заявок </w:t>
      </w:r>
      <w:r w:rsidRPr="00B06D60">
        <w:rPr>
          <w:sz w:val="28"/>
          <w:szCs w:val="28"/>
        </w:rPr>
        <w:t xml:space="preserve">Департаментом промышленности с </w:t>
      </w:r>
      <w:r>
        <w:rPr>
          <w:sz w:val="28"/>
          <w:szCs w:val="28"/>
        </w:rPr>
        <w:t xml:space="preserve">НАО «ЧТК» </w:t>
      </w:r>
      <w:r w:rsidRPr="00B06D60">
        <w:rPr>
          <w:sz w:val="28"/>
          <w:szCs w:val="28"/>
        </w:rPr>
        <w:t>заключен</w:t>
      </w:r>
      <w:r>
        <w:rPr>
          <w:sz w:val="28"/>
          <w:szCs w:val="28"/>
        </w:rPr>
        <w:t>о</w:t>
      </w:r>
      <w:r w:rsidRPr="00B06D60">
        <w:rPr>
          <w:sz w:val="28"/>
          <w:szCs w:val="28"/>
        </w:rPr>
        <w:t xml:space="preserve"> Соглашени</w:t>
      </w:r>
      <w:r>
        <w:rPr>
          <w:sz w:val="28"/>
          <w:szCs w:val="28"/>
        </w:rPr>
        <w:t>е</w:t>
      </w:r>
      <w:r w:rsidRPr="00B06D60">
        <w:rPr>
          <w:sz w:val="28"/>
          <w:szCs w:val="28"/>
        </w:rPr>
        <w:t xml:space="preserve"> о предоставлении </w:t>
      </w:r>
      <w:r>
        <w:rPr>
          <w:sz w:val="28"/>
          <w:szCs w:val="28"/>
        </w:rPr>
        <w:t xml:space="preserve">из окружного бюджета </w:t>
      </w:r>
      <w:r w:rsidRPr="00B06D60">
        <w:rPr>
          <w:sz w:val="28"/>
          <w:szCs w:val="28"/>
        </w:rPr>
        <w:t xml:space="preserve">субсидии </w:t>
      </w:r>
      <w:r>
        <w:rPr>
          <w:sz w:val="28"/>
          <w:szCs w:val="28"/>
        </w:rPr>
        <w:t>на возмещение застройщикам недополученных доходов при реализации жилых помещений</w:t>
      </w:r>
      <w:r>
        <w:rPr>
          <w:rStyle w:val="ab"/>
          <w:sz w:val="28"/>
          <w:szCs w:val="28"/>
        </w:rPr>
        <w:footnoteReference w:id="174"/>
      </w:r>
      <w:r>
        <w:rPr>
          <w:sz w:val="28"/>
          <w:szCs w:val="28"/>
        </w:rPr>
        <w:t xml:space="preserve">, на основании которого </w:t>
      </w:r>
      <w:r w:rsidRPr="006950F3">
        <w:rPr>
          <w:sz w:val="28"/>
          <w:szCs w:val="28"/>
        </w:rPr>
        <w:t xml:space="preserve">Субсидия </w:t>
      </w:r>
      <w:r>
        <w:rPr>
          <w:sz w:val="28"/>
          <w:szCs w:val="28"/>
        </w:rPr>
        <w:t xml:space="preserve">застройщику </w:t>
      </w:r>
      <w:r w:rsidRPr="006950F3">
        <w:rPr>
          <w:sz w:val="28"/>
          <w:szCs w:val="28"/>
        </w:rPr>
        <w:t>перечислена Департаментом промышленности в пределах утвержденных лимитов бюджетных обязательств, предусмотренных на 2021 год, в общей сумме 30 000,0</w:t>
      </w:r>
      <w:r w:rsidRPr="006950F3">
        <w:rPr>
          <w:bCs/>
          <w:sz w:val="28"/>
          <w:szCs w:val="28"/>
        </w:rPr>
        <w:t xml:space="preserve"> </w:t>
      </w:r>
      <w:r w:rsidRPr="006950F3">
        <w:rPr>
          <w:sz w:val="28"/>
          <w:szCs w:val="28"/>
        </w:rPr>
        <w:t>тыс. рублей</w:t>
      </w:r>
      <w:r>
        <w:rPr>
          <w:sz w:val="28"/>
          <w:szCs w:val="28"/>
        </w:rPr>
        <w:t>.</w:t>
      </w:r>
    </w:p>
    <w:p w:rsidR="00C404B9" w:rsidRPr="002D4EAA" w:rsidRDefault="00C404B9" w:rsidP="00C404B9">
      <w:pPr>
        <w:shd w:val="clear" w:color="auto" w:fill="FFFFFF"/>
        <w:ind w:firstLine="708"/>
        <w:jc w:val="both"/>
        <w:rPr>
          <w:color w:val="000000"/>
          <w:sz w:val="28"/>
          <w:szCs w:val="28"/>
        </w:rPr>
      </w:pPr>
      <w:r w:rsidRPr="002D4EAA">
        <w:rPr>
          <w:color w:val="000000"/>
          <w:sz w:val="28"/>
          <w:szCs w:val="28"/>
        </w:rPr>
        <w:t xml:space="preserve">НАО «ЧТК» в 2021 году </w:t>
      </w:r>
      <w:r>
        <w:rPr>
          <w:color w:val="000000"/>
          <w:sz w:val="28"/>
          <w:szCs w:val="28"/>
        </w:rPr>
        <w:t>у</w:t>
      </w:r>
      <w:r w:rsidRPr="002D4EAA">
        <w:rPr>
          <w:color w:val="000000"/>
          <w:sz w:val="28"/>
          <w:szCs w:val="28"/>
        </w:rPr>
        <w:t>становленные значения показателей результативности предоставления субсидии «Количество квартир, реализованных по цене за 1 квадратный метр не выше среднерыночной стоимости – 6 штук» достигнуты в полном объеме.</w:t>
      </w:r>
    </w:p>
    <w:p w:rsidR="00C404B9" w:rsidRDefault="00C404B9" w:rsidP="00C404B9">
      <w:pPr>
        <w:shd w:val="clear" w:color="auto" w:fill="FFFFFF"/>
        <w:autoSpaceDE w:val="0"/>
        <w:autoSpaceDN w:val="0"/>
        <w:adjustRightInd w:val="0"/>
        <w:ind w:firstLine="708"/>
        <w:jc w:val="both"/>
        <w:rPr>
          <w:sz w:val="28"/>
          <w:szCs w:val="28"/>
        </w:rPr>
      </w:pPr>
      <w:r>
        <w:rPr>
          <w:color w:val="000000"/>
          <w:sz w:val="28"/>
          <w:szCs w:val="28"/>
        </w:rPr>
        <w:t xml:space="preserve">В 1 квартале 2022 года </w:t>
      </w:r>
      <w:r w:rsidRPr="006208F7">
        <w:rPr>
          <w:sz w:val="28"/>
          <w:szCs w:val="28"/>
        </w:rPr>
        <w:t>финансирование мероприятия не осуществлялось.</w:t>
      </w:r>
    </w:p>
    <w:p w:rsidR="00C404B9" w:rsidRDefault="00C404B9" w:rsidP="00C404B9">
      <w:pPr>
        <w:shd w:val="clear" w:color="auto" w:fill="FFFFFF"/>
        <w:autoSpaceDE w:val="0"/>
        <w:autoSpaceDN w:val="0"/>
        <w:adjustRightInd w:val="0"/>
        <w:ind w:firstLine="709"/>
        <w:jc w:val="both"/>
        <w:rPr>
          <w:b/>
          <w:bCs/>
          <w:sz w:val="16"/>
          <w:szCs w:val="16"/>
        </w:rPr>
      </w:pPr>
    </w:p>
    <w:p w:rsidR="00C404B9" w:rsidRDefault="00C404B9" w:rsidP="00C404B9">
      <w:pPr>
        <w:shd w:val="clear" w:color="auto" w:fill="FFFFFF"/>
        <w:autoSpaceDE w:val="0"/>
        <w:autoSpaceDN w:val="0"/>
        <w:adjustRightInd w:val="0"/>
        <w:ind w:firstLine="709"/>
        <w:jc w:val="both"/>
        <w:rPr>
          <w:b/>
          <w:i/>
          <w:color w:val="000000"/>
          <w:sz w:val="28"/>
          <w:szCs w:val="28"/>
        </w:rPr>
      </w:pPr>
    </w:p>
    <w:p w:rsidR="00C404B9" w:rsidRDefault="00C404B9" w:rsidP="00C404B9">
      <w:pPr>
        <w:shd w:val="clear" w:color="auto" w:fill="FFFFFF"/>
        <w:autoSpaceDE w:val="0"/>
        <w:autoSpaceDN w:val="0"/>
        <w:adjustRightInd w:val="0"/>
        <w:ind w:firstLine="709"/>
        <w:jc w:val="both"/>
        <w:rPr>
          <w:b/>
          <w:i/>
          <w:color w:val="000000"/>
          <w:sz w:val="28"/>
          <w:szCs w:val="28"/>
        </w:rPr>
      </w:pPr>
    </w:p>
    <w:p w:rsidR="00C404B9" w:rsidRDefault="00C404B9" w:rsidP="00C404B9">
      <w:pPr>
        <w:shd w:val="clear" w:color="auto" w:fill="FFFFFF"/>
        <w:autoSpaceDE w:val="0"/>
        <w:autoSpaceDN w:val="0"/>
        <w:adjustRightInd w:val="0"/>
        <w:ind w:firstLine="709"/>
        <w:jc w:val="both"/>
        <w:rPr>
          <w:b/>
          <w:i/>
          <w:color w:val="000000"/>
          <w:sz w:val="28"/>
          <w:szCs w:val="28"/>
        </w:rPr>
      </w:pPr>
    </w:p>
    <w:p w:rsidR="00C404B9" w:rsidRPr="00951CE6" w:rsidRDefault="00C404B9" w:rsidP="00C404B9">
      <w:pPr>
        <w:shd w:val="clear" w:color="auto" w:fill="FFFFFF"/>
        <w:autoSpaceDE w:val="0"/>
        <w:autoSpaceDN w:val="0"/>
        <w:adjustRightInd w:val="0"/>
        <w:ind w:firstLine="709"/>
        <w:jc w:val="both"/>
        <w:rPr>
          <w:b/>
          <w:i/>
          <w:color w:val="000000"/>
          <w:sz w:val="28"/>
          <w:szCs w:val="28"/>
        </w:rPr>
      </w:pPr>
      <w:r w:rsidRPr="00951CE6">
        <w:rPr>
          <w:b/>
          <w:i/>
          <w:color w:val="000000"/>
          <w:sz w:val="28"/>
          <w:szCs w:val="28"/>
        </w:rPr>
        <w:lastRenderedPageBreak/>
        <w:t>Субсидии на обеспечение мероприятий по развитию жилищного строительства</w:t>
      </w:r>
    </w:p>
    <w:p w:rsidR="00C404B9" w:rsidRDefault="00C404B9" w:rsidP="00C404B9">
      <w:pPr>
        <w:shd w:val="clear" w:color="auto" w:fill="FFFFFF"/>
        <w:autoSpaceDE w:val="0"/>
        <w:autoSpaceDN w:val="0"/>
        <w:adjustRightInd w:val="0"/>
        <w:jc w:val="both"/>
        <w:rPr>
          <w:color w:val="000000"/>
          <w:sz w:val="16"/>
          <w:szCs w:val="16"/>
        </w:rPr>
      </w:pPr>
    </w:p>
    <w:p w:rsidR="00C404B9" w:rsidRPr="00E62FEC" w:rsidRDefault="00C404B9" w:rsidP="00C404B9">
      <w:pPr>
        <w:shd w:val="clear" w:color="auto" w:fill="FFFFFF"/>
        <w:autoSpaceDE w:val="0"/>
        <w:autoSpaceDN w:val="0"/>
        <w:adjustRightInd w:val="0"/>
        <w:ind w:firstLine="708"/>
        <w:jc w:val="both"/>
        <w:rPr>
          <w:rFonts w:eastAsia="Calibri"/>
          <w:bCs/>
          <w:sz w:val="28"/>
          <w:szCs w:val="28"/>
        </w:rPr>
      </w:pPr>
      <w:r w:rsidRPr="00E62FEC">
        <w:rPr>
          <w:rFonts w:eastAsia="Calibri"/>
          <w:bCs/>
          <w:sz w:val="28"/>
          <w:szCs w:val="28"/>
        </w:rPr>
        <w:t xml:space="preserve">Использование Департаментом промышленности бюджетных средств в 2020-2022 годах осуществляется посредством предоставления этих средств в форме субсидий муниципальным образованиям Чукотского автономного округа </w:t>
      </w:r>
      <w:r w:rsidRPr="00E62FEC">
        <w:rPr>
          <w:sz w:val="28"/>
          <w:szCs w:val="28"/>
        </w:rPr>
        <w:t xml:space="preserve">в целях </w:t>
      </w:r>
      <w:proofErr w:type="spellStart"/>
      <w:r w:rsidRPr="00E62FEC">
        <w:rPr>
          <w:sz w:val="28"/>
          <w:szCs w:val="28"/>
        </w:rPr>
        <w:t>софинансирования</w:t>
      </w:r>
      <w:proofErr w:type="spellEnd"/>
      <w:r w:rsidRPr="00E62FEC">
        <w:rPr>
          <w:sz w:val="28"/>
          <w:szCs w:val="28"/>
        </w:rPr>
        <w:t xml:space="preserve"> расходных обязательств муниципальных образований на обеспечение мероприятий по развитию жилищного строительства в</w:t>
      </w:r>
      <w:r w:rsidRPr="00E62FEC">
        <w:rPr>
          <w:rFonts w:eastAsia="Calibri"/>
          <w:bCs/>
          <w:sz w:val="28"/>
          <w:szCs w:val="28"/>
        </w:rPr>
        <w:t xml:space="preserve"> соответствии с </w:t>
      </w:r>
      <w:r w:rsidRPr="00072D39">
        <w:rPr>
          <w:sz w:val="28"/>
          <w:szCs w:val="28"/>
        </w:rPr>
        <w:t>Порядк</w:t>
      </w:r>
      <w:r>
        <w:rPr>
          <w:sz w:val="28"/>
          <w:szCs w:val="28"/>
        </w:rPr>
        <w:t>ом</w:t>
      </w:r>
      <w:r w:rsidRPr="00072D39">
        <w:rPr>
          <w:sz w:val="28"/>
          <w:szCs w:val="28"/>
        </w:rPr>
        <w:t xml:space="preserve"> предоставления субсиди</w:t>
      </w:r>
      <w:r>
        <w:rPr>
          <w:sz w:val="28"/>
          <w:szCs w:val="28"/>
        </w:rPr>
        <w:t>и</w:t>
      </w:r>
      <w:r w:rsidRPr="00072D39">
        <w:rPr>
          <w:sz w:val="28"/>
          <w:szCs w:val="28"/>
        </w:rPr>
        <w:t xml:space="preserve"> на </w:t>
      </w:r>
      <w:r>
        <w:rPr>
          <w:sz w:val="28"/>
          <w:szCs w:val="28"/>
        </w:rPr>
        <w:t>обеспечение мероприятий по развитию жилищного строительства</w:t>
      </w:r>
      <w:r>
        <w:rPr>
          <w:rStyle w:val="ab"/>
          <w:sz w:val="28"/>
          <w:szCs w:val="28"/>
        </w:rPr>
        <w:footnoteReference w:id="175"/>
      </w:r>
      <w:r>
        <w:rPr>
          <w:sz w:val="28"/>
          <w:szCs w:val="28"/>
        </w:rPr>
        <w:t>.</w:t>
      </w:r>
    </w:p>
    <w:p w:rsidR="00C404B9" w:rsidRDefault="00C404B9" w:rsidP="00C404B9">
      <w:pPr>
        <w:shd w:val="clear" w:color="auto" w:fill="FFFFFF"/>
        <w:autoSpaceDE w:val="0"/>
        <w:autoSpaceDN w:val="0"/>
        <w:adjustRightInd w:val="0"/>
        <w:ind w:firstLine="709"/>
        <w:jc w:val="both"/>
        <w:rPr>
          <w:sz w:val="28"/>
          <w:szCs w:val="28"/>
        </w:rPr>
      </w:pPr>
      <w:r w:rsidRPr="0018353A">
        <w:rPr>
          <w:bCs/>
          <w:sz w:val="28"/>
          <w:szCs w:val="28"/>
        </w:rPr>
        <w:t xml:space="preserve">Общий объем утвержденных </w:t>
      </w:r>
      <w:r>
        <w:rPr>
          <w:bCs/>
          <w:sz w:val="28"/>
          <w:szCs w:val="28"/>
        </w:rPr>
        <w:t xml:space="preserve">и распределенных </w:t>
      </w:r>
      <w:r w:rsidRPr="0018353A">
        <w:rPr>
          <w:bCs/>
          <w:sz w:val="28"/>
          <w:szCs w:val="28"/>
        </w:rPr>
        <w:t xml:space="preserve">в соответствии с </w:t>
      </w:r>
      <w:r w:rsidRPr="0018353A">
        <w:rPr>
          <w:rFonts w:eastAsia="Calibri"/>
          <w:sz w:val="28"/>
          <w:szCs w:val="28"/>
        </w:rPr>
        <w:t xml:space="preserve">Законами </w:t>
      </w:r>
      <w:r>
        <w:rPr>
          <w:rFonts w:eastAsia="Calibri"/>
          <w:sz w:val="28"/>
          <w:szCs w:val="28"/>
        </w:rPr>
        <w:t xml:space="preserve">об окружном бюджете </w:t>
      </w:r>
      <w:r w:rsidRPr="0018353A">
        <w:rPr>
          <w:rFonts w:eastAsia="Calibri"/>
          <w:sz w:val="28"/>
          <w:szCs w:val="28"/>
        </w:rPr>
        <w:t>на 2020</w:t>
      </w:r>
      <w:r>
        <w:rPr>
          <w:rFonts w:eastAsia="Calibri"/>
          <w:sz w:val="28"/>
          <w:szCs w:val="28"/>
        </w:rPr>
        <w:t>,</w:t>
      </w:r>
      <w:r w:rsidRPr="0018353A">
        <w:rPr>
          <w:rFonts w:eastAsia="Calibri"/>
          <w:sz w:val="28"/>
          <w:szCs w:val="28"/>
        </w:rPr>
        <w:t xml:space="preserve"> 2021 </w:t>
      </w:r>
      <w:r>
        <w:rPr>
          <w:rFonts w:eastAsia="Calibri"/>
          <w:sz w:val="28"/>
          <w:szCs w:val="28"/>
        </w:rPr>
        <w:t xml:space="preserve">и 2022 </w:t>
      </w:r>
      <w:r w:rsidRPr="0018353A">
        <w:rPr>
          <w:rFonts w:eastAsia="Calibri"/>
          <w:sz w:val="28"/>
          <w:szCs w:val="28"/>
        </w:rPr>
        <w:t>годы</w:t>
      </w:r>
      <w:r w:rsidRPr="0018353A">
        <w:rPr>
          <w:bCs/>
          <w:sz w:val="28"/>
          <w:szCs w:val="28"/>
        </w:rPr>
        <w:t xml:space="preserve"> бюджетных ассигнований </w:t>
      </w:r>
      <w:r>
        <w:rPr>
          <w:bCs/>
          <w:sz w:val="28"/>
          <w:szCs w:val="28"/>
        </w:rPr>
        <w:t xml:space="preserve">на реализацию мероприятия «Субсидии на обеспечение мероприятий по развитию жилищного строительства» </w:t>
      </w:r>
      <w:r w:rsidRPr="0018353A">
        <w:rPr>
          <w:bCs/>
          <w:sz w:val="28"/>
          <w:szCs w:val="28"/>
        </w:rPr>
        <w:t xml:space="preserve">составил </w:t>
      </w:r>
      <w:r w:rsidRPr="00CB53C5">
        <w:rPr>
          <w:bCs/>
          <w:color w:val="000000"/>
          <w:sz w:val="28"/>
          <w:szCs w:val="28"/>
        </w:rPr>
        <w:t>841 632,2</w:t>
      </w:r>
      <w:r>
        <w:rPr>
          <w:b/>
          <w:bCs/>
          <w:color w:val="000000"/>
          <w:sz w:val="20"/>
          <w:szCs w:val="20"/>
        </w:rPr>
        <w:t xml:space="preserve"> </w:t>
      </w:r>
      <w:r w:rsidRPr="00ED087D">
        <w:rPr>
          <w:sz w:val="28"/>
          <w:szCs w:val="28"/>
        </w:rPr>
        <w:t>тыс. рублей</w:t>
      </w:r>
      <w:r>
        <w:rPr>
          <w:sz w:val="28"/>
          <w:szCs w:val="28"/>
        </w:rPr>
        <w:t xml:space="preserve"> (таблица №2). </w:t>
      </w:r>
    </w:p>
    <w:p w:rsidR="00C404B9" w:rsidRPr="00790BE9" w:rsidRDefault="00C404B9" w:rsidP="00C404B9">
      <w:pPr>
        <w:shd w:val="clear" w:color="auto" w:fill="FFFFFF"/>
        <w:autoSpaceDE w:val="0"/>
        <w:autoSpaceDN w:val="0"/>
        <w:adjustRightInd w:val="0"/>
        <w:ind w:firstLine="709"/>
        <w:jc w:val="both"/>
        <w:rPr>
          <w:sz w:val="16"/>
          <w:szCs w:val="16"/>
        </w:rPr>
      </w:pPr>
    </w:p>
    <w:p w:rsidR="00C404B9" w:rsidRPr="006602DD" w:rsidRDefault="00C404B9" w:rsidP="00C404B9">
      <w:pPr>
        <w:shd w:val="clear" w:color="auto" w:fill="FFFFFF"/>
        <w:autoSpaceDE w:val="0"/>
        <w:autoSpaceDN w:val="0"/>
        <w:adjustRightInd w:val="0"/>
        <w:spacing w:line="218" w:lineRule="auto"/>
        <w:ind w:firstLine="709"/>
        <w:jc w:val="right"/>
        <w:rPr>
          <w:sz w:val="28"/>
          <w:szCs w:val="28"/>
        </w:rPr>
      </w:pPr>
      <w:r w:rsidRPr="006602DD">
        <w:rPr>
          <w:sz w:val="28"/>
          <w:szCs w:val="28"/>
        </w:rPr>
        <w:t>Таблица №</w:t>
      </w:r>
      <w:r>
        <w:rPr>
          <w:sz w:val="28"/>
          <w:szCs w:val="28"/>
        </w:rPr>
        <w:t>2</w:t>
      </w:r>
    </w:p>
    <w:p w:rsidR="00C404B9" w:rsidRDefault="00C404B9" w:rsidP="00C404B9">
      <w:pPr>
        <w:shd w:val="clear" w:color="auto" w:fill="FFFFFF"/>
        <w:autoSpaceDE w:val="0"/>
        <w:autoSpaceDN w:val="0"/>
        <w:adjustRightInd w:val="0"/>
        <w:spacing w:line="218" w:lineRule="auto"/>
        <w:ind w:firstLine="709"/>
        <w:jc w:val="right"/>
        <w:rPr>
          <w:sz w:val="28"/>
          <w:szCs w:val="28"/>
        </w:rPr>
      </w:pPr>
      <w:r w:rsidRPr="006602DD">
        <w:rPr>
          <w:sz w:val="28"/>
          <w:szCs w:val="28"/>
        </w:rPr>
        <w:t>(тыс. рублей)</w:t>
      </w:r>
    </w:p>
    <w:p w:rsidR="00C404B9" w:rsidRPr="00790BE9" w:rsidRDefault="00C404B9" w:rsidP="00C404B9">
      <w:pPr>
        <w:shd w:val="clear" w:color="auto" w:fill="FFFFFF"/>
        <w:autoSpaceDE w:val="0"/>
        <w:autoSpaceDN w:val="0"/>
        <w:adjustRightInd w:val="0"/>
        <w:spacing w:line="218" w:lineRule="auto"/>
        <w:ind w:firstLine="709"/>
        <w:jc w:val="right"/>
        <w:rPr>
          <w:sz w:val="8"/>
          <w:szCs w:val="28"/>
        </w:rPr>
      </w:pPr>
    </w:p>
    <w:tbl>
      <w:tblPr>
        <w:tblW w:w="9634" w:type="dxa"/>
        <w:tblInd w:w="113" w:type="dxa"/>
        <w:tblLook w:val="04A0" w:firstRow="1" w:lastRow="0" w:firstColumn="1" w:lastColumn="0" w:noHBand="0" w:noVBand="1"/>
      </w:tblPr>
      <w:tblGrid>
        <w:gridCol w:w="3397"/>
        <w:gridCol w:w="1560"/>
        <w:gridCol w:w="1559"/>
        <w:gridCol w:w="1559"/>
        <w:gridCol w:w="1559"/>
      </w:tblGrid>
      <w:tr w:rsidR="00C404B9" w:rsidRPr="00477633" w:rsidTr="00000E53">
        <w:trPr>
          <w:trHeight w:val="420"/>
          <w:tblHeader/>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04B9" w:rsidRPr="00477633" w:rsidRDefault="00C404B9" w:rsidP="00000E53">
            <w:pPr>
              <w:shd w:val="clear" w:color="auto" w:fill="FFFFFF"/>
              <w:jc w:val="center"/>
              <w:rPr>
                <w:color w:val="000000"/>
                <w:sz w:val="18"/>
                <w:szCs w:val="18"/>
              </w:rPr>
            </w:pPr>
            <w:r w:rsidRPr="00477633">
              <w:rPr>
                <w:color w:val="000000"/>
                <w:sz w:val="18"/>
                <w:szCs w:val="18"/>
              </w:rPr>
              <w:t>наименование муниципальных образований</w:t>
            </w:r>
          </w:p>
        </w:tc>
        <w:tc>
          <w:tcPr>
            <w:tcW w:w="6237" w:type="dxa"/>
            <w:gridSpan w:val="4"/>
            <w:tcBorders>
              <w:top w:val="single" w:sz="4" w:space="0" w:color="auto"/>
              <w:left w:val="nil"/>
              <w:bottom w:val="single" w:sz="4" w:space="0" w:color="auto"/>
              <w:right w:val="single" w:sz="4" w:space="0" w:color="auto"/>
            </w:tcBorders>
            <w:shd w:val="clear" w:color="auto" w:fill="auto"/>
            <w:vAlign w:val="center"/>
            <w:hideMark/>
          </w:tcPr>
          <w:p w:rsidR="00C404B9" w:rsidRPr="00477633" w:rsidRDefault="00C404B9" w:rsidP="00000E53">
            <w:pPr>
              <w:shd w:val="clear" w:color="auto" w:fill="FFFFFF"/>
              <w:jc w:val="center"/>
              <w:rPr>
                <w:color w:val="000000"/>
                <w:sz w:val="18"/>
                <w:szCs w:val="18"/>
              </w:rPr>
            </w:pPr>
            <w:r w:rsidRPr="00477633">
              <w:rPr>
                <w:color w:val="000000"/>
                <w:sz w:val="18"/>
                <w:szCs w:val="18"/>
              </w:rPr>
              <w:t>объем субсидий на обеспечение мероприятий по развитию жилищного строительства</w:t>
            </w:r>
          </w:p>
        </w:tc>
      </w:tr>
      <w:tr w:rsidR="00C404B9" w:rsidRPr="005E4C36" w:rsidTr="00000E53">
        <w:trPr>
          <w:trHeight w:val="209"/>
          <w:tblHeader/>
        </w:trPr>
        <w:tc>
          <w:tcPr>
            <w:tcW w:w="3397" w:type="dxa"/>
            <w:vMerge/>
            <w:tcBorders>
              <w:top w:val="single" w:sz="4" w:space="0" w:color="auto"/>
              <w:left w:val="single" w:sz="4" w:space="0" w:color="auto"/>
              <w:bottom w:val="single" w:sz="4" w:space="0" w:color="000000"/>
              <w:right w:val="single" w:sz="4" w:space="0" w:color="auto"/>
            </w:tcBorders>
            <w:vAlign w:val="center"/>
            <w:hideMark/>
          </w:tcPr>
          <w:p w:rsidR="00C404B9" w:rsidRPr="007416C3" w:rsidRDefault="00C404B9" w:rsidP="00000E53">
            <w:pPr>
              <w:shd w:val="clear" w:color="auto" w:fill="FFFFFF"/>
              <w:rPr>
                <w:b/>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shd w:val="clear" w:color="auto" w:fill="FFFFFF"/>
              <w:jc w:val="center"/>
              <w:rPr>
                <w:b/>
                <w:bCs/>
                <w:color w:val="000000"/>
                <w:sz w:val="18"/>
                <w:szCs w:val="18"/>
              </w:rPr>
            </w:pPr>
            <w:r w:rsidRPr="007416C3">
              <w:rPr>
                <w:b/>
                <w:bCs/>
                <w:color w:val="000000"/>
                <w:sz w:val="18"/>
                <w:szCs w:val="18"/>
              </w:rPr>
              <w:t>2020</w:t>
            </w:r>
            <w:r>
              <w:rPr>
                <w:b/>
                <w:bCs/>
                <w:color w:val="000000"/>
                <w:sz w:val="18"/>
                <w:szCs w:val="18"/>
              </w:rPr>
              <w:t xml:space="preserve"> год</w:t>
            </w:r>
          </w:p>
        </w:tc>
        <w:tc>
          <w:tcPr>
            <w:tcW w:w="1559" w:type="dxa"/>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shd w:val="clear" w:color="auto" w:fill="FFFFFF"/>
              <w:jc w:val="center"/>
              <w:rPr>
                <w:b/>
                <w:bCs/>
                <w:color w:val="000000"/>
                <w:sz w:val="18"/>
                <w:szCs w:val="18"/>
              </w:rPr>
            </w:pPr>
            <w:r w:rsidRPr="007416C3">
              <w:rPr>
                <w:b/>
                <w:bCs/>
                <w:color w:val="000000"/>
                <w:sz w:val="18"/>
                <w:szCs w:val="18"/>
              </w:rPr>
              <w:t>2021</w:t>
            </w:r>
            <w:r>
              <w:rPr>
                <w:b/>
                <w:bCs/>
                <w:color w:val="000000"/>
                <w:sz w:val="18"/>
                <w:szCs w:val="18"/>
              </w:rPr>
              <w:t xml:space="preserve"> год</w:t>
            </w:r>
          </w:p>
        </w:tc>
        <w:tc>
          <w:tcPr>
            <w:tcW w:w="1559" w:type="dxa"/>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shd w:val="clear" w:color="auto" w:fill="FFFFFF"/>
              <w:jc w:val="center"/>
              <w:rPr>
                <w:b/>
                <w:bCs/>
                <w:color w:val="000000"/>
                <w:sz w:val="18"/>
                <w:szCs w:val="18"/>
              </w:rPr>
            </w:pPr>
            <w:r w:rsidRPr="007416C3">
              <w:rPr>
                <w:b/>
                <w:bCs/>
                <w:color w:val="000000"/>
                <w:sz w:val="18"/>
                <w:szCs w:val="18"/>
              </w:rPr>
              <w:t>2022</w:t>
            </w:r>
            <w:r>
              <w:rPr>
                <w:b/>
                <w:bCs/>
                <w:color w:val="000000"/>
                <w:sz w:val="18"/>
                <w:szCs w:val="18"/>
              </w:rPr>
              <w:t xml:space="preserve"> год</w:t>
            </w:r>
          </w:p>
        </w:tc>
        <w:tc>
          <w:tcPr>
            <w:tcW w:w="1559" w:type="dxa"/>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shd w:val="clear" w:color="auto" w:fill="FFFFFF"/>
              <w:jc w:val="center"/>
              <w:rPr>
                <w:b/>
                <w:bCs/>
                <w:color w:val="000000"/>
                <w:sz w:val="18"/>
                <w:szCs w:val="18"/>
              </w:rPr>
            </w:pPr>
            <w:r w:rsidRPr="007416C3">
              <w:rPr>
                <w:b/>
                <w:bCs/>
                <w:color w:val="000000"/>
                <w:sz w:val="18"/>
                <w:szCs w:val="18"/>
              </w:rPr>
              <w:t>всего</w:t>
            </w:r>
          </w:p>
        </w:tc>
      </w:tr>
      <w:tr w:rsidR="00C404B9" w:rsidRPr="005E4C36" w:rsidTr="00000E53">
        <w:trPr>
          <w:trHeight w:val="113"/>
        </w:trPr>
        <w:tc>
          <w:tcPr>
            <w:tcW w:w="3397" w:type="dxa"/>
            <w:tcBorders>
              <w:top w:val="nil"/>
              <w:left w:val="single" w:sz="4" w:space="0" w:color="auto"/>
              <w:bottom w:val="single" w:sz="4" w:space="0" w:color="auto"/>
              <w:right w:val="nil"/>
            </w:tcBorders>
            <w:shd w:val="clear" w:color="auto" w:fill="auto"/>
            <w:vAlign w:val="center"/>
            <w:hideMark/>
          </w:tcPr>
          <w:p w:rsidR="00C404B9" w:rsidRPr="007416C3" w:rsidRDefault="00C404B9" w:rsidP="00000E53">
            <w:pPr>
              <w:shd w:val="clear" w:color="auto" w:fill="FFFFFF"/>
              <w:rPr>
                <w:color w:val="000000"/>
                <w:sz w:val="18"/>
                <w:szCs w:val="18"/>
              </w:rPr>
            </w:pPr>
            <w:proofErr w:type="spellStart"/>
            <w:r w:rsidRPr="007416C3">
              <w:rPr>
                <w:color w:val="000000"/>
                <w:sz w:val="18"/>
                <w:szCs w:val="18"/>
              </w:rPr>
              <w:t>Провиденский</w:t>
            </w:r>
            <w:proofErr w:type="spellEnd"/>
            <w:r w:rsidRPr="007416C3">
              <w:rPr>
                <w:color w:val="000000"/>
                <w:sz w:val="18"/>
                <w:szCs w:val="18"/>
              </w:rPr>
              <w:t xml:space="preserve"> городской круг</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C404B9" w:rsidRPr="007416C3" w:rsidRDefault="00C404B9" w:rsidP="00000E53">
            <w:pPr>
              <w:shd w:val="clear" w:color="auto" w:fill="FFFFFF"/>
              <w:jc w:val="center"/>
              <w:rPr>
                <w:color w:val="000000"/>
                <w:sz w:val="18"/>
                <w:szCs w:val="18"/>
              </w:rPr>
            </w:pPr>
            <w:r w:rsidRPr="007416C3">
              <w:rPr>
                <w:color w:val="000000"/>
                <w:sz w:val="18"/>
                <w:szCs w:val="18"/>
              </w:rPr>
              <w:t>31 981,9</w:t>
            </w:r>
          </w:p>
        </w:tc>
        <w:tc>
          <w:tcPr>
            <w:tcW w:w="1559" w:type="dxa"/>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shd w:val="clear" w:color="auto" w:fill="FFFFFF"/>
              <w:jc w:val="center"/>
              <w:rPr>
                <w:color w:val="000000"/>
                <w:sz w:val="18"/>
                <w:szCs w:val="18"/>
              </w:rPr>
            </w:pPr>
            <w:r w:rsidRPr="007416C3">
              <w:rPr>
                <w:color w:val="000000"/>
                <w:sz w:val="18"/>
                <w:szCs w:val="18"/>
              </w:rPr>
              <w:t>262 433,5</w:t>
            </w:r>
          </w:p>
        </w:tc>
        <w:tc>
          <w:tcPr>
            <w:tcW w:w="1559" w:type="dxa"/>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shd w:val="clear" w:color="auto" w:fill="FFFFFF"/>
              <w:jc w:val="center"/>
              <w:rPr>
                <w:color w:val="000000"/>
                <w:sz w:val="18"/>
                <w:szCs w:val="18"/>
              </w:rPr>
            </w:pPr>
            <w:r w:rsidRPr="007416C3">
              <w:rPr>
                <w:color w:val="000000"/>
                <w:sz w:val="18"/>
                <w:szCs w:val="18"/>
              </w:rPr>
              <w:t>324 559,4</w:t>
            </w:r>
          </w:p>
        </w:tc>
        <w:tc>
          <w:tcPr>
            <w:tcW w:w="1559" w:type="dxa"/>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shd w:val="clear" w:color="auto" w:fill="FFFFFF"/>
              <w:jc w:val="center"/>
              <w:rPr>
                <w:color w:val="000000"/>
                <w:sz w:val="18"/>
                <w:szCs w:val="18"/>
              </w:rPr>
            </w:pPr>
            <w:r w:rsidRPr="007416C3">
              <w:rPr>
                <w:color w:val="000000"/>
                <w:sz w:val="18"/>
                <w:szCs w:val="18"/>
              </w:rPr>
              <w:t>618 974,8</w:t>
            </w:r>
          </w:p>
        </w:tc>
      </w:tr>
      <w:tr w:rsidR="00C404B9" w:rsidRPr="005E4C36" w:rsidTr="00000E53">
        <w:trPr>
          <w:trHeight w:val="16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C404B9" w:rsidRPr="007416C3" w:rsidRDefault="00C404B9" w:rsidP="00000E53">
            <w:pPr>
              <w:shd w:val="clear" w:color="auto" w:fill="FFFFFF"/>
              <w:rPr>
                <w:color w:val="000000"/>
                <w:sz w:val="18"/>
                <w:szCs w:val="18"/>
              </w:rPr>
            </w:pPr>
            <w:r w:rsidRPr="007416C3">
              <w:rPr>
                <w:color w:val="000000"/>
                <w:sz w:val="18"/>
                <w:szCs w:val="18"/>
              </w:rPr>
              <w:t xml:space="preserve">Городской округ </w:t>
            </w:r>
            <w:proofErr w:type="spellStart"/>
            <w:r w:rsidRPr="007416C3">
              <w:rPr>
                <w:color w:val="000000"/>
                <w:sz w:val="18"/>
                <w:szCs w:val="18"/>
              </w:rPr>
              <w:t>Эгвекинот</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shd w:val="clear" w:color="auto" w:fill="FFFFFF"/>
              <w:jc w:val="center"/>
              <w:rPr>
                <w:color w:val="000000"/>
                <w:sz w:val="18"/>
                <w:szCs w:val="18"/>
              </w:rPr>
            </w:pPr>
            <w:r w:rsidRPr="007416C3">
              <w:rPr>
                <w:color w:val="000000"/>
                <w:sz w:val="18"/>
                <w:szCs w:val="18"/>
              </w:rPr>
              <w:t>х</w:t>
            </w:r>
          </w:p>
        </w:tc>
        <w:tc>
          <w:tcPr>
            <w:tcW w:w="1559" w:type="dxa"/>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shd w:val="clear" w:color="auto" w:fill="FFFFFF"/>
              <w:jc w:val="center"/>
              <w:rPr>
                <w:color w:val="000000"/>
                <w:sz w:val="18"/>
                <w:szCs w:val="18"/>
              </w:rPr>
            </w:pPr>
            <w:r w:rsidRPr="007416C3">
              <w:rPr>
                <w:color w:val="000000"/>
                <w:sz w:val="18"/>
                <w:szCs w:val="18"/>
              </w:rPr>
              <w:t>18 546,6</w:t>
            </w:r>
          </w:p>
        </w:tc>
        <w:tc>
          <w:tcPr>
            <w:tcW w:w="1559" w:type="dxa"/>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shd w:val="clear" w:color="auto" w:fill="FFFFFF"/>
              <w:jc w:val="center"/>
              <w:rPr>
                <w:color w:val="000000"/>
                <w:sz w:val="18"/>
                <w:szCs w:val="18"/>
              </w:rPr>
            </w:pPr>
            <w:r w:rsidRPr="007416C3">
              <w:rPr>
                <w:color w:val="000000"/>
                <w:sz w:val="18"/>
                <w:szCs w:val="18"/>
              </w:rPr>
              <w:t>95 045,2</w:t>
            </w:r>
          </w:p>
        </w:tc>
        <w:tc>
          <w:tcPr>
            <w:tcW w:w="1559" w:type="dxa"/>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shd w:val="clear" w:color="auto" w:fill="FFFFFF"/>
              <w:jc w:val="center"/>
              <w:rPr>
                <w:color w:val="000000"/>
                <w:sz w:val="18"/>
                <w:szCs w:val="18"/>
              </w:rPr>
            </w:pPr>
            <w:r w:rsidRPr="007416C3">
              <w:rPr>
                <w:color w:val="000000"/>
                <w:sz w:val="18"/>
                <w:szCs w:val="18"/>
              </w:rPr>
              <w:t>113 591,8</w:t>
            </w:r>
          </w:p>
        </w:tc>
      </w:tr>
      <w:tr w:rsidR="00C404B9" w:rsidRPr="005E4C36" w:rsidTr="00000E53">
        <w:trPr>
          <w:trHeight w:val="205"/>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C404B9" w:rsidRPr="007416C3" w:rsidRDefault="00C404B9" w:rsidP="00000E53">
            <w:pPr>
              <w:shd w:val="clear" w:color="auto" w:fill="FFFFFF"/>
              <w:rPr>
                <w:color w:val="000000"/>
                <w:sz w:val="18"/>
                <w:szCs w:val="18"/>
              </w:rPr>
            </w:pPr>
            <w:r w:rsidRPr="007416C3">
              <w:rPr>
                <w:color w:val="000000"/>
                <w:sz w:val="18"/>
                <w:szCs w:val="18"/>
              </w:rPr>
              <w:t>Сельское поселение Уэлен</w:t>
            </w:r>
          </w:p>
        </w:tc>
        <w:tc>
          <w:tcPr>
            <w:tcW w:w="1560" w:type="dxa"/>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shd w:val="clear" w:color="auto" w:fill="FFFFFF"/>
              <w:jc w:val="center"/>
              <w:rPr>
                <w:color w:val="000000"/>
                <w:sz w:val="18"/>
                <w:szCs w:val="18"/>
              </w:rPr>
            </w:pPr>
            <w:r w:rsidRPr="007416C3">
              <w:rPr>
                <w:color w:val="000000"/>
                <w:sz w:val="18"/>
                <w:szCs w:val="18"/>
              </w:rPr>
              <w:t>х</w:t>
            </w:r>
          </w:p>
        </w:tc>
        <w:tc>
          <w:tcPr>
            <w:tcW w:w="1559" w:type="dxa"/>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shd w:val="clear" w:color="auto" w:fill="FFFFFF"/>
              <w:jc w:val="center"/>
              <w:rPr>
                <w:color w:val="000000"/>
                <w:sz w:val="18"/>
                <w:szCs w:val="18"/>
              </w:rPr>
            </w:pPr>
            <w:r w:rsidRPr="007416C3">
              <w:rPr>
                <w:color w:val="000000"/>
                <w:sz w:val="18"/>
                <w:szCs w:val="18"/>
              </w:rPr>
              <w:t>37 026,1</w:t>
            </w:r>
          </w:p>
        </w:tc>
        <w:tc>
          <w:tcPr>
            <w:tcW w:w="1559" w:type="dxa"/>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shd w:val="clear" w:color="auto" w:fill="FFFFFF"/>
              <w:jc w:val="center"/>
              <w:rPr>
                <w:color w:val="000000"/>
                <w:sz w:val="18"/>
                <w:szCs w:val="18"/>
              </w:rPr>
            </w:pPr>
            <w:r w:rsidRPr="007416C3">
              <w:rPr>
                <w:color w:val="000000"/>
                <w:sz w:val="18"/>
                <w:szCs w:val="18"/>
              </w:rPr>
              <w:t>х</w:t>
            </w:r>
          </w:p>
        </w:tc>
        <w:tc>
          <w:tcPr>
            <w:tcW w:w="1559" w:type="dxa"/>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shd w:val="clear" w:color="auto" w:fill="FFFFFF"/>
              <w:jc w:val="center"/>
              <w:rPr>
                <w:color w:val="000000"/>
                <w:sz w:val="18"/>
                <w:szCs w:val="18"/>
              </w:rPr>
            </w:pPr>
            <w:r w:rsidRPr="007416C3">
              <w:rPr>
                <w:color w:val="000000"/>
                <w:sz w:val="18"/>
                <w:szCs w:val="18"/>
              </w:rPr>
              <w:t>37 026,1</w:t>
            </w:r>
          </w:p>
        </w:tc>
      </w:tr>
      <w:tr w:rsidR="00C404B9" w:rsidRPr="005E4C36" w:rsidTr="00000E53">
        <w:trPr>
          <w:trHeight w:val="238"/>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C404B9" w:rsidRPr="007416C3" w:rsidRDefault="00C404B9" w:rsidP="00000E53">
            <w:pPr>
              <w:shd w:val="clear" w:color="auto" w:fill="FFFFFF"/>
              <w:rPr>
                <w:color w:val="000000"/>
                <w:sz w:val="18"/>
                <w:szCs w:val="18"/>
              </w:rPr>
            </w:pPr>
            <w:r w:rsidRPr="007416C3">
              <w:rPr>
                <w:color w:val="000000"/>
                <w:sz w:val="18"/>
                <w:szCs w:val="18"/>
              </w:rPr>
              <w:t xml:space="preserve">Сельское поселение </w:t>
            </w:r>
            <w:proofErr w:type="spellStart"/>
            <w:r w:rsidRPr="007416C3">
              <w:rPr>
                <w:color w:val="000000"/>
                <w:sz w:val="18"/>
                <w:szCs w:val="18"/>
              </w:rPr>
              <w:t>Лорино</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shd w:val="clear" w:color="auto" w:fill="FFFFFF"/>
              <w:jc w:val="center"/>
              <w:rPr>
                <w:color w:val="000000"/>
                <w:sz w:val="18"/>
                <w:szCs w:val="18"/>
              </w:rPr>
            </w:pPr>
            <w:r w:rsidRPr="007416C3">
              <w:rPr>
                <w:color w:val="000000"/>
                <w:sz w:val="18"/>
                <w:szCs w:val="18"/>
              </w:rPr>
              <w:t>х</w:t>
            </w:r>
          </w:p>
        </w:tc>
        <w:tc>
          <w:tcPr>
            <w:tcW w:w="1559" w:type="dxa"/>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shd w:val="clear" w:color="auto" w:fill="FFFFFF"/>
              <w:jc w:val="center"/>
              <w:rPr>
                <w:color w:val="000000"/>
                <w:sz w:val="18"/>
                <w:szCs w:val="18"/>
              </w:rPr>
            </w:pPr>
            <w:r w:rsidRPr="007416C3">
              <w:rPr>
                <w:color w:val="000000"/>
                <w:sz w:val="18"/>
                <w:szCs w:val="18"/>
              </w:rPr>
              <w:t>х</w:t>
            </w:r>
          </w:p>
        </w:tc>
        <w:tc>
          <w:tcPr>
            <w:tcW w:w="1559" w:type="dxa"/>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shd w:val="clear" w:color="auto" w:fill="FFFFFF"/>
              <w:jc w:val="center"/>
              <w:rPr>
                <w:color w:val="000000"/>
                <w:sz w:val="18"/>
                <w:szCs w:val="18"/>
              </w:rPr>
            </w:pPr>
            <w:r w:rsidRPr="007416C3">
              <w:rPr>
                <w:color w:val="000000"/>
                <w:sz w:val="18"/>
                <w:szCs w:val="18"/>
              </w:rPr>
              <w:t>72 039,5</w:t>
            </w:r>
          </w:p>
        </w:tc>
        <w:tc>
          <w:tcPr>
            <w:tcW w:w="1559" w:type="dxa"/>
            <w:tcBorders>
              <w:top w:val="nil"/>
              <w:left w:val="nil"/>
              <w:bottom w:val="single" w:sz="4" w:space="0" w:color="auto"/>
              <w:right w:val="single" w:sz="4" w:space="0" w:color="auto"/>
            </w:tcBorders>
            <w:shd w:val="clear" w:color="auto" w:fill="auto"/>
            <w:vAlign w:val="center"/>
            <w:hideMark/>
          </w:tcPr>
          <w:p w:rsidR="00C404B9" w:rsidRPr="007416C3" w:rsidRDefault="00C404B9" w:rsidP="00000E53">
            <w:pPr>
              <w:shd w:val="clear" w:color="auto" w:fill="FFFFFF"/>
              <w:jc w:val="center"/>
              <w:rPr>
                <w:color w:val="000000"/>
                <w:sz w:val="18"/>
                <w:szCs w:val="18"/>
              </w:rPr>
            </w:pPr>
            <w:r w:rsidRPr="007416C3">
              <w:rPr>
                <w:color w:val="000000"/>
                <w:sz w:val="18"/>
                <w:szCs w:val="18"/>
              </w:rPr>
              <w:t>72 039,5</w:t>
            </w:r>
          </w:p>
        </w:tc>
      </w:tr>
      <w:tr w:rsidR="00C404B9" w:rsidRPr="005E4C36" w:rsidTr="00000E53">
        <w:trPr>
          <w:trHeight w:val="169"/>
        </w:trPr>
        <w:tc>
          <w:tcPr>
            <w:tcW w:w="3397" w:type="dxa"/>
            <w:tcBorders>
              <w:top w:val="single" w:sz="4" w:space="0" w:color="auto"/>
              <w:left w:val="single" w:sz="4" w:space="0" w:color="auto"/>
              <w:bottom w:val="single" w:sz="4" w:space="0" w:color="auto"/>
              <w:right w:val="nil"/>
            </w:tcBorders>
            <w:shd w:val="clear" w:color="auto" w:fill="auto"/>
            <w:vAlign w:val="center"/>
            <w:hideMark/>
          </w:tcPr>
          <w:p w:rsidR="00C404B9" w:rsidRPr="007416C3" w:rsidRDefault="00C404B9" w:rsidP="00000E53">
            <w:pPr>
              <w:shd w:val="clear" w:color="auto" w:fill="FFFFFF"/>
              <w:rPr>
                <w:b/>
                <w:bCs/>
                <w:color w:val="000000"/>
                <w:sz w:val="18"/>
                <w:szCs w:val="18"/>
              </w:rPr>
            </w:pPr>
            <w:r w:rsidRPr="007416C3">
              <w:rPr>
                <w:b/>
                <w:bCs/>
                <w:color w:val="000000"/>
                <w:sz w:val="18"/>
                <w:szCs w:val="18"/>
              </w:rPr>
              <w:t>Всего: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04B9" w:rsidRPr="007416C3" w:rsidRDefault="00C404B9" w:rsidP="00000E53">
            <w:pPr>
              <w:shd w:val="clear" w:color="auto" w:fill="FFFFFF"/>
              <w:jc w:val="center"/>
              <w:rPr>
                <w:b/>
                <w:bCs/>
                <w:color w:val="000000"/>
                <w:sz w:val="18"/>
                <w:szCs w:val="18"/>
              </w:rPr>
            </w:pPr>
            <w:r w:rsidRPr="007416C3">
              <w:rPr>
                <w:b/>
                <w:bCs/>
                <w:color w:val="000000"/>
                <w:sz w:val="18"/>
                <w:szCs w:val="18"/>
              </w:rPr>
              <w:t>31 981,9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04B9" w:rsidRPr="007416C3" w:rsidRDefault="00C404B9" w:rsidP="00000E53">
            <w:pPr>
              <w:shd w:val="clear" w:color="auto" w:fill="FFFFFF"/>
              <w:jc w:val="center"/>
              <w:rPr>
                <w:b/>
                <w:bCs/>
                <w:color w:val="000000"/>
                <w:sz w:val="18"/>
                <w:szCs w:val="18"/>
              </w:rPr>
            </w:pPr>
            <w:r w:rsidRPr="007416C3">
              <w:rPr>
                <w:b/>
                <w:bCs/>
                <w:color w:val="000000"/>
                <w:sz w:val="18"/>
                <w:szCs w:val="18"/>
              </w:rPr>
              <w:t>318 006,2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04B9" w:rsidRPr="007416C3" w:rsidRDefault="00C404B9" w:rsidP="00000E53">
            <w:pPr>
              <w:shd w:val="clear" w:color="auto" w:fill="FFFFFF"/>
              <w:jc w:val="center"/>
              <w:rPr>
                <w:b/>
                <w:bCs/>
                <w:color w:val="000000"/>
                <w:sz w:val="18"/>
                <w:szCs w:val="18"/>
              </w:rPr>
            </w:pPr>
            <w:r w:rsidRPr="007416C3">
              <w:rPr>
                <w:b/>
                <w:bCs/>
                <w:color w:val="000000"/>
                <w:sz w:val="18"/>
                <w:szCs w:val="18"/>
              </w:rPr>
              <w:t>491 644,1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04B9" w:rsidRPr="007416C3" w:rsidRDefault="00C404B9" w:rsidP="00000E53">
            <w:pPr>
              <w:shd w:val="clear" w:color="auto" w:fill="FFFFFF"/>
              <w:jc w:val="center"/>
              <w:rPr>
                <w:b/>
                <w:bCs/>
                <w:color w:val="000000"/>
                <w:sz w:val="18"/>
                <w:szCs w:val="18"/>
              </w:rPr>
            </w:pPr>
            <w:r w:rsidRPr="007416C3">
              <w:rPr>
                <w:b/>
                <w:bCs/>
                <w:color w:val="000000"/>
                <w:sz w:val="18"/>
                <w:szCs w:val="18"/>
              </w:rPr>
              <w:t>841 632,2</w:t>
            </w:r>
          </w:p>
        </w:tc>
      </w:tr>
    </w:tbl>
    <w:p w:rsidR="00C404B9" w:rsidRPr="00721B9E" w:rsidRDefault="00C404B9" w:rsidP="00C404B9">
      <w:pPr>
        <w:shd w:val="clear" w:color="auto" w:fill="FFFFFF"/>
        <w:autoSpaceDE w:val="0"/>
        <w:autoSpaceDN w:val="0"/>
        <w:adjustRightInd w:val="0"/>
        <w:ind w:firstLine="709"/>
        <w:jc w:val="right"/>
        <w:rPr>
          <w:sz w:val="8"/>
          <w:szCs w:val="16"/>
        </w:rPr>
      </w:pPr>
    </w:p>
    <w:p w:rsidR="00C404B9" w:rsidRPr="003A304E" w:rsidRDefault="00C404B9" w:rsidP="00C404B9">
      <w:pPr>
        <w:shd w:val="clear" w:color="auto" w:fill="FFFFFF"/>
        <w:autoSpaceDE w:val="0"/>
        <w:autoSpaceDN w:val="0"/>
        <w:adjustRightInd w:val="0"/>
        <w:ind w:firstLine="709"/>
        <w:jc w:val="both"/>
        <w:rPr>
          <w:rFonts w:eastAsia="Calibri"/>
          <w:bCs/>
          <w:sz w:val="16"/>
          <w:szCs w:val="16"/>
        </w:rPr>
      </w:pPr>
    </w:p>
    <w:p w:rsidR="00C404B9" w:rsidRPr="001D3EDE" w:rsidRDefault="00C404B9" w:rsidP="00C404B9">
      <w:pPr>
        <w:shd w:val="clear" w:color="auto" w:fill="FFFFFF"/>
        <w:jc w:val="both"/>
        <w:rPr>
          <w:rFonts w:eastAsia="Calibri"/>
          <w:sz w:val="28"/>
          <w:szCs w:val="28"/>
        </w:rPr>
      </w:pPr>
      <w:r w:rsidRPr="00C404B9">
        <w:rPr>
          <w:rFonts w:eastAsia="Calibri"/>
          <w:sz w:val="28"/>
          <w:szCs w:val="28"/>
        </w:rPr>
        <w:tab/>
      </w:r>
      <w:r w:rsidRPr="001D3EDE">
        <w:rPr>
          <w:rFonts w:eastAsia="Calibri"/>
          <w:sz w:val="28"/>
          <w:szCs w:val="28"/>
        </w:rPr>
        <w:t xml:space="preserve">Реализация мероприятий по развитию жилищного строительства в муниципальных образованиях </w:t>
      </w:r>
      <w:r>
        <w:rPr>
          <w:rFonts w:eastAsia="Calibri"/>
          <w:sz w:val="28"/>
          <w:szCs w:val="28"/>
        </w:rPr>
        <w:t xml:space="preserve">осуществляется </w:t>
      </w:r>
      <w:r w:rsidRPr="001D3EDE">
        <w:rPr>
          <w:rFonts w:eastAsia="Calibri"/>
          <w:sz w:val="28"/>
          <w:szCs w:val="28"/>
        </w:rPr>
        <w:t xml:space="preserve">посредством </w:t>
      </w:r>
      <w:r>
        <w:rPr>
          <w:rFonts w:eastAsia="Calibri"/>
          <w:sz w:val="28"/>
          <w:szCs w:val="28"/>
        </w:rPr>
        <w:t>реализации мероприятий</w:t>
      </w:r>
      <w:r w:rsidRPr="001D3EDE">
        <w:rPr>
          <w:rFonts w:eastAsia="Calibri"/>
          <w:sz w:val="28"/>
          <w:szCs w:val="28"/>
        </w:rPr>
        <w:t xml:space="preserve"> муниципальных программ.</w:t>
      </w:r>
    </w:p>
    <w:p w:rsidR="00C404B9" w:rsidRDefault="00C404B9" w:rsidP="00C404B9">
      <w:pPr>
        <w:ind w:firstLine="709"/>
        <w:jc w:val="both"/>
        <w:rPr>
          <w:rFonts w:eastAsia="Calibri"/>
          <w:sz w:val="28"/>
          <w:szCs w:val="28"/>
          <w:lang w:eastAsia="en-US"/>
        </w:rPr>
      </w:pPr>
      <w:r w:rsidRPr="007F60E5">
        <w:rPr>
          <w:rFonts w:eastAsia="Calibri"/>
          <w:sz w:val="28"/>
          <w:szCs w:val="28"/>
        </w:rPr>
        <w:t>В нарушение абзаца 4 пункта 2 статьи 179 Бюджетного кодекса Российской Федерации</w:t>
      </w:r>
      <w:r w:rsidRPr="007F60E5">
        <w:rPr>
          <w:rStyle w:val="ab"/>
          <w:rFonts w:eastAsia="Calibri"/>
          <w:sz w:val="28"/>
          <w:szCs w:val="28"/>
        </w:rPr>
        <w:footnoteReference w:id="176"/>
      </w:r>
      <w:r w:rsidRPr="007F60E5">
        <w:rPr>
          <w:rFonts w:eastAsia="Calibri"/>
          <w:sz w:val="28"/>
          <w:szCs w:val="28"/>
        </w:rPr>
        <w:t xml:space="preserve">, Администрацией </w:t>
      </w:r>
      <w:proofErr w:type="spellStart"/>
      <w:r w:rsidRPr="007F60E5">
        <w:rPr>
          <w:rFonts w:eastAsia="Calibri"/>
          <w:sz w:val="28"/>
          <w:szCs w:val="28"/>
        </w:rPr>
        <w:t>Провиденского</w:t>
      </w:r>
      <w:proofErr w:type="spellEnd"/>
      <w:r w:rsidRPr="007F60E5">
        <w:rPr>
          <w:rFonts w:eastAsia="Calibri"/>
          <w:sz w:val="28"/>
          <w:szCs w:val="28"/>
        </w:rPr>
        <w:t xml:space="preserve"> городского округа, </w:t>
      </w:r>
      <w:r w:rsidRPr="007F60E5">
        <w:rPr>
          <w:rFonts w:eastAsia="Calibri"/>
          <w:sz w:val="28"/>
          <w:szCs w:val="28"/>
          <w:lang w:eastAsia="en-US"/>
        </w:rPr>
        <w:t xml:space="preserve">как ответственным исполнителем Муниципальной программы </w:t>
      </w:r>
      <w:r w:rsidRPr="007F60E5">
        <w:rPr>
          <w:sz w:val="28"/>
          <w:szCs w:val="28"/>
        </w:rPr>
        <w:t xml:space="preserve">«Переселение граждан из аварийного жилищного фонда </w:t>
      </w:r>
      <w:proofErr w:type="spellStart"/>
      <w:r w:rsidRPr="007F60E5">
        <w:rPr>
          <w:sz w:val="28"/>
          <w:szCs w:val="28"/>
        </w:rPr>
        <w:t>Провиденского</w:t>
      </w:r>
      <w:proofErr w:type="spellEnd"/>
      <w:r w:rsidRPr="007F60E5">
        <w:rPr>
          <w:sz w:val="28"/>
          <w:szCs w:val="28"/>
        </w:rPr>
        <w:t xml:space="preserve"> городского округа в 2020-2023 годах»</w:t>
      </w:r>
      <w:r w:rsidRPr="007F60E5">
        <w:rPr>
          <w:rStyle w:val="ab"/>
          <w:sz w:val="28"/>
          <w:szCs w:val="28"/>
        </w:rPr>
        <w:footnoteReference w:id="177"/>
      </w:r>
      <w:r w:rsidRPr="007F60E5">
        <w:rPr>
          <w:rFonts w:eastAsia="Calibri"/>
          <w:sz w:val="28"/>
          <w:szCs w:val="28"/>
          <w:lang w:eastAsia="en-US"/>
        </w:rPr>
        <w:t>, не обеспечено приведение ресурсного обеспечения Муниципальной программы №208 в соответствие с Решениями о бюджете на 2020, 2021 и 2022 годы.</w:t>
      </w:r>
    </w:p>
    <w:p w:rsidR="00C404B9" w:rsidRDefault="00C404B9" w:rsidP="00C404B9">
      <w:pPr>
        <w:ind w:firstLine="709"/>
        <w:jc w:val="both"/>
        <w:rPr>
          <w:rFonts w:eastAsia="Calibri"/>
          <w:sz w:val="28"/>
          <w:szCs w:val="28"/>
          <w:lang w:eastAsia="en-US"/>
        </w:rPr>
      </w:pPr>
      <w:r w:rsidRPr="004D3604">
        <w:rPr>
          <w:rFonts w:eastAsia="Calibri"/>
          <w:sz w:val="28"/>
          <w:szCs w:val="28"/>
          <w:lang w:eastAsia="en-US"/>
        </w:rPr>
        <w:t>В ходе проверки</w:t>
      </w:r>
      <w:r>
        <w:rPr>
          <w:rFonts w:eastAsia="Calibri"/>
          <w:sz w:val="28"/>
          <w:szCs w:val="28"/>
          <w:lang w:eastAsia="en-US"/>
        </w:rPr>
        <w:t xml:space="preserve"> установлено, что </w:t>
      </w:r>
      <w:r w:rsidRPr="004D3604">
        <w:rPr>
          <w:rFonts w:eastAsia="Calibri"/>
          <w:sz w:val="28"/>
          <w:szCs w:val="28"/>
          <w:lang w:eastAsia="en-US"/>
        </w:rPr>
        <w:t xml:space="preserve">в нарушение </w:t>
      </w:r>
      <w:r>
        <w:rPr>
          <w:rFonts w:eastAsia="Calibri"/>
          <w:sz w:val="28"/>
          <w:szCs w:val="28"/>
          <w:lang w:eastAsia="en-US"/>
        </w:rPr>
        <w:t xml:space="preserve">пункта 4 статьи 21 Бюджетного кодекса РФ, </w:t>
      </w:r>
      <w:r w:rsidRPr="004D3604">
        <w:rPr>
          <w:rFonts w:eastAsia="Calibri"/>
          <w:sz w:val="28"/>
          <w:szCs w:val="28"/>
          <w:lang w:eastAsia="en-US"/>
        </w:rPr>
        <w:t>пункт</w:t>
      </w:r>
      <w:r>
        <w:rPr>
          <w:rFonts w:eastAsia="Calibri"/>
          <w:sz w:val="28"/>
          <w:szCs w:val="28"/>
          <w:lang w:eastAsia="en-US"/>
        </w:rPr>
        <w:t>а</w:t>
      </w:r>
      <w:r w:rsidRPr="004D3604">
        <w:rPr>
          <w:rFonts w:eastAsia="Calibri"/>
          <w:sz w:val="28"/>
          <w:szCs w:val="28"/>
          <w:lang w:eastAsia="en-US"/>
        </w:rPr>
        <w:t xml:space="preserve"> 19 Инструкции 85н</w:t>
      </w:r>
      <w:r w:rsidRPr="004D3604">
        <w:rPr>
          <w:rStyle w:val="ab"/>
          <w:rFonts w:eastAsia="Calibri"/>
          <w:sz w:val="28"/>
          <w:szCs w:val="28"/>
          <w:lang w:eastAsia="en-US"/>
        </w:rPr>
        <w:footnoteReference w:id="178"/>
      </w:r>
      <w:r>
        <w:rPr>
          <w:rFonts w:eastAsia="Calibri"/>
          <w:sz w:val="28"/>
          <w:szCs w:val="28"/>
          <w:lang w:eastAsia="en-US"/>
        </w:rPr>
        <w:t>:</w:t>
      </w:r>
    </w:p>
    <w:p w:rsidR="00C404B9" w:rsidRPr="00C404B9" w:rsidRDefault="00C404B9" w:rsidP="00C404B9">
      <w:pPr>
        <w:ind w:firstLine="709"/>
        <w:jc w:val="both"/>
        <w:rPr>
          <w:rFonts w:eastAsia="Calibri"/>
          <w:sz w:val="28"/>
          <w:szCs w:val="28"/>
          <w:lang w:eastAsia="en-US"/>
        </w:rPr>
      </w:pPr>
      <w:r w:rsidRPr="00366D91">
        <w:rPr>
          <w:rFonts w:eastAsia="Calibri"/>
          <w:sz w:val="28"/>
          <w:szCs w:val="28"/>
          <w:lang w:eastAsia="en-US"/>
        </w:rPr>
        <w:t xml:space="preserve">- наименования Муниципальной программы </w:t>
      </w:r>
      <w:r w:rsidRPr="00366D91">
        <w:rPr>
          <w:sz w:val="28"/>
          <w:szCs w:val="28"/>
        </w:rPr>
        <w:t xml:space="preserve">«Переселение граждан из аварийного жилищного фонда </w:t>
      </w:r>
      <w:proofErr w:type="spellStart"/>
      <w:r w:rsidRPr="00366D91">
        <w:rPr>
          <w:sz w:val="28"/>
          <w:szCs w:val="28"/>
        </w:rPr>
        <w:t>Провиденского</w:t>
      </w:r>
      <w:proofErr w:type="spellEnd"/>
      <w:r w:rsidRPr="00366D91">
        <w:rPr>
          <w:sz w:val="28"/>
          <w:szCs w:val="28"/>
        </w:rPr>
        <w:t xml:space="preserve"> городского округа в 2020-2023 годах» </w:t>
      </w:r>
      <w:r w:rsidRPr="00366D91">
        <w:rPr>
          <w:rFonts w:eastAsia="Calibri"/>
          <w:sz w:val="28"/>
          <w:szCs w:val="28"/>
          <w:lang w:eastAsia="en-US"/>
        </w:rPr>
        <w:t xml:space="preserve">и Основного мероприятия не соответствуют наименованиям, утвержденным в Решениях о бюджете </w:t>
      </w:r>
      <w:proofErr w:type="spellStart"/>
      <w:r w:rsidRPr="00366D91">
        <w:rPr>
          <w:rFonts w:eastAsia="Calibri"/>
          <w:sz w:val="28"/>
          <w:szCs w:val="28"/>
          <w:lang w:eastAsia="en-US"/>
        </w:rPr>
        <w:t>Провиденского</w:t>
      </w:r>
      <w:proofErr w:type="spellEnd"/>
      <w:r w:rsidRPr="00366D91">
        <w:rPr>
          <w:rFonts w:eastAsia="Calibri"/>
          <w:sz w:val="28"/>
          <w:szCs w:val="28"/>
          <w:lang w:eastAsia="en-US"/>
        </w:rPr>
        <w:t xml:space="preserve"> городского округа на 2020, 2021 и 2022 годы;</w:t>
      </w:r>
    </w:p>
    <w:p w:rsidR="00C404B9" w:rsidRDefault="00C404B9" w:rsidP="00C404B9">
      <w:pPr>
        <w:ind w:firstLine="709"/>
        <w:jc w:val="both"/>
        <w:rPr>
          <w:rFonts w:eastAsia="Calibri"/>
          <w:sz w:val="28"/>
          <w:szCs w:val="28"/>
          <w:lang w:eastAsia="en-US"/>
        </w:rPr>
      </w:pPr>
      <w:r>
        <w:rPr>
          <w:rFonts w:eastAsia="Calibri"/>
          <w:sz w:val="28"/>
          <w:szCs w:val="28"/>
          <w:lang w:eastAsia="en-US"/>
        </w:rPr>
        <w:lastRenderedPageBreak/>
        <w:t>- </w:t>
      </w:r>
      <w:r w:rsidRPr="0030340D">
        <w:rPr>
          <w:rFonts w:eastAsia="Calibri"/>
          <w:sz w:val="28"/>
          <w:szCs w:val="28"/>
          <w:lang w:eastAsia="en-US"/>
        </w:rPr>
        <w:t>целевые статьи расходов Решений о бюджет</w:t>
      </w:r>
      <w:r>
        <w:rPr>
          <w:rFonts w:eastAsia="Calibri"/>
          <w:sz w:val="28"/>
          <w:szCs w:val="28"/>
          <w:lang w:eastAsia="en-US"/>
        </w:rPr>
        <w:t xml:space="preserve">е городского округа </w:t>
      </w:r>
      <w:proofErr w:type="spellStart"/>
      <w:r>
        <w:rPr>
          <w:rFonts w:eastAsia="Calibri"/>
          <w:sz w:val="28"/>
          <w:szCs w:val="28"/>
          <w:lang w:eastAsia="en-US"/>
        </w:rPr>
        <w:t>Эгвекинот</w:t>
      </w:r>
      <w:proofErr w:type="spellEnd"/>
      <w:r>
        <w:rPr>
          <w:rFonts w:eastAsia="Calibri"/>
          <w:sz w:val="28"/>
          <w:szCs w:val="28"/>
          <w:lang w:eastAsia="en-US"/>
        </w:rPr>
        <w:t xml:space="preserve"> </w:t>
      </w:r>
      <w:r w:rsidRPr="0030340D">
        <w:rPr>
          <w:rFonts w:eastAsia="Calibri"/>
          <w:sz w:val="28"/>
          <w:szCs w:val="28"/>
          <w:lang w:eastAsia="en-US"/>
        </w:rPr>
        <w:t xml:space="preserve">на 2021, 2022 годы не обеспечивают привязку бюджетных ассигнований к Муниципальным программам </w:t>
      </w:r>
      <w:r w:rsidRPr="0030340D">
        <w:rPr>
          <w:sz w:val="28"/>
          <w:szCs w:val="28"/>
        </w:rPr>
        <w:t xml:space="preserve">«Содержание, развитие и ремонт инфраструктуры городского округа </w:t>
      </w:r>
      <w:proofErr w:type="spellStart"/>
      <w:r w:rsidRPr="0030340D">
        <w:rPr>
          <w:sz w:val="28"/>
          <w:szCs w:val="28"/>
        </w:rPr>
        <w:t>Эгвекинот</w:t>
      </w:r>
      <w:proofErr w:type="spellEnd"/>
      <w:r w:rsidRPr="0030340D">
        <w:rPr>
          <w:sz w:val="28"/>
          <w:szCs w:val="28"/>
        </w:rPr>
        <w:t xml:space="preserve"> на 2016-2021 годы»</w:t>
      </w:r>
      <w:r w:rsidRPr="0030340D">
        <w:rPr>
          <w:rStyle w:val="ab"/>
          <w:sz w:val="28"/>
          <w:szCs w:val="28"/>
        </w:rPr>
        <w:footnoteReference w:id="179"/>
      </w:r>
      <w:r w:rsidRPr="0030340D">
        <w:rPr>
          <w:sz w:val="28"/>
          <w:szCs w:val="28"/>
        </w:rPr>
        <w:t xml:space="preserve"> </w:t>
      </w:r>
      <w:r w:rsidRPr="0030340D">
        <w:rPr>
          <w:rFonts w:eastAsia="Calibri"/>
          <w:sz w:val="28"/>
          <w:szCs w:val="28"/>
          <w:lang w:eastAsia="en-US"/>
        </w:rPr>
        <w:t xml:space="preserve">и </w:t>
      </w:r>
      <w:r w:rsidRPr="0030340D">
        <w:rPr>
          <w:sz w:val="28"/>
          <w:szCs w:val="28"/>
        </w:rPr>
        <w:t xml:space="preserve">«Содержание, развитие и ремонт инфраструктуры городского округа </w:t>
      </w:r>
      <w:proofErr w:type="spellStart"/>
      <w:r w:rsidRPr="0030340D">
        <w:rPr>
          <w:sz w:val="28"/>
          <w:szCs w:val="28"/>
        </w:rPr>
        <w:t>Эгвекинот</w:t>
      </w:r>
      <w:proofErr w:type="spellEnd"/>
      <w:r w:rsidRPr="0030340D">
        <w:rPr>
          <w:sz w:val="28"/>
          <w:szCs w:val="28"/>
        </w:rPr>
        <w:t>»</w:t>
      </w:r>
      <w:r w:rsidRPr="0030340D">
        <w:rPr>
          <w:rStyle w:val="ab"/>
          <w:sz w:val="28"/>
          <w:szCs w:val="28"/>
        </w:rPr>
        <w:footnoteReference w:id="180"/>
      </w:r>
      <w:r w:rsidRPr="0030340D">
        <w:rPr>
          <w:sz w:val="28"/>
          <w:szCs w:val="28"/>
        </w:rPr>
        <w:t>.</w:t>
      </w:r>
    </w:p>
    <w:p w:rsidR="00C404B9" w:rsidRDefault="00C404B9" w:rsidP="00C404B9">
      <w:pPr>
        <w:spacing w:before="80"/>
        <w:ind w:firstLine="709"/>
        <w:jc w:val="both"/>
        <w:rPr>
          <w:rFonts w:eastAsia="Calibri"/>
          <w:sz w:val="28"/>
        </w:rPr>
      </w:pPr>
      <w:r>
        <w:rPr>
          <w:rFonts w:eastAsia="Calibri"/>
          <w:sz w:val="28"/>
        </w:rPr>
        <w:t xml:space="preserve">В проверяемом периоде Департаментом промышленности заключено 10 соглашений с участниками реализации мероприятия </w:t>
      </w:r>
      <w:r w:rsidRPr="00DF76D6">
        <w:rPr>
          <w:bCs/>
          <w:sz w:val="28"/>
          <w:szCs w:val="28"/>
        </w:rPr>
        <w:t>«</w:t>
      </w:r>
      <w:r w:rsidRPr="00DF76D6">
        <w:rPr>
          <w:color w:val="000000"/>
          <w:sz w:val="28"/>
          <w:szCs w:val="28"/>
        </w:rPr>
        <w:t>Субсидии на обеспечение мероприятий по развитию жилищного строительства»</w:t>
      </w:r>
      <w:r>
        <w:rPr>
          <w:color w:val="000000"/>
          <w:sz w:val="28"/>
          <w:szCs w:val="28"/>
        </w:rPr>
        <w:t xml:space="preserve"> </w:t>
      </w:r>
      <w:r>
        <w:rPr>
          <w:rFonts w:eastAsia="Calibri"/>
          <w:sz w:val="28"/>
        </w:rPr>
        <w:t xml:space="preserve">на общую сумму </w:t>
      </w:r>
      <w:r w:rsidRPr="0004568E">
        <w:rPr>
          <w:bCs/>
          <w:color w:val="000000"/>
          <w:sz w:val="28"/>
          <w:szCs w:val="28"/>
        </w:rPr>
        <w:t>1</w:t>
      </w:r>
      <w:r>
        <w:rPr>
          <w:bCs/>
          <w:color w:val="000000"/>
          <w:sz w:val="28"/>
          <w:szCs w:val="28"/>
        </w:rPr>
        <w:t> </w:t>
      </w:r>
      <w:r w:rsidRPr="0004568E">
        <w:rPr>
          <w:bCs/>
          <w:color w:val="000000"/>
          <w:sz w:val="28"/>
          <w:szCs w:val="28"/>
        </w:rPr>
        <w:t>237</w:t>
      </w:r>
      <w:r>
        <w:rPr>
          <w:bCs/>
          <w:color w:val="000000"/>
          <w:sz w:val="28"/>
          <w:szCs w:val="28"/>
        </w:rPr>
        <w:t> </w:t>
      </w:r>
      <w:r w:rsidRPr="0004568E">
        <w:rPr>
          <w:bCs/>
          <w:color w:val="000000"/>
          <w:sz w:val="28"/>
          <w:szCs w:val="28"/>
        </w:rPr>
        <w:t>072,0</w:t>
      </w:r>
      <w:r>
        <w:rPr>
          <w:b/>
          <w:bCs/>
          <w:color w:val="000000"/>
          <w:sz w:val="16"/>
          <w:szCs w:val="16"/>
        </w:rPr>
        <w:t xml:space="preserve"> </w:t>
      </w:r>
      <w:r>
        <w:rPr>
          <w:rFonts w:eastAsia="Calibri"/>
          <w:sz w:val="28"/>
        </w:rPr>
        <w:t xml:space="preserve">тыс. рублей (с учетом доли </w:t>
      </w:r>
      <w:proofErr w:type="spellStart"/>
      <w:r>
        <w:rPr>
          <w:rFonts w:eastAsia="Calibri"/>
          <w:sz w:val="28"/>
        </w:rPr>
        <w:t>софинансирования</w:t>
      </w:r>
      <w:proofErr w:type="spellEnd"/>
      <w:r>
        <w:rPr>
          <w:rFonts w:eastAsia="Calibri"/>
          <w:sz w:val="28"/>
        </w:rPr>
        <w:t xml:space="preserve"> за счет средств местных бюджетов 1 032,4 тыс. рублей) со сроками реализации в 2020-2023 годах, из них с использованием средств окружного бюджета в проверяемом периоде (2021-2022 годы) – 898 </w:t>
      </w:r>
      <w:r w:rsidRPr="00686394">
        <w:rPr>
          <w:rFonts w:eastAsia="Calibri"/>
          <w:sz w:val="28"/>
        </w:rPr>
        <w:t>100</w:t>
      </w:r>
      <w:r>
        <w:rPr>
          <w:rFonts w:eastAsia="Calibri"/>
          <w:sz w:val="28"/>
        </w:rPr>
        <w:t>,1 тыс. рублей. В рамках реализации мероприятия запланировано приобретение 182 жилых помещений общей площадью   9 023,2 кв. м, информация представлена в таблице №3.</w:t>
      </w:r>
    </w:p>
    <w:p w:rsidR="00C404B9" w:rsidRDefault="00C404B9" w:rsidP="00C404B9">
      <w:pPr>
        <w:shd w:val="clear" w:color="auto" w:fill="FFFFFF"/>
        <w:autoSpaceDE w:val="0"/>
        <w:autoSpaceDN w:val="0"/>
        <w:adjustRightInd w:val="0"/>
        <w:spacing w:line="218" w:lineRule="auto"/>
        <w:ind w:firstLine="709"/>
        <w:jc w:val="right"/>
        <w:rPr>
          <w:rFonts w:eastAsia="Calibri"/>
          <w:sz w:val="28"/>
        </w:rPr>
      </w:pPr>
      <w:r>
        <w:rPr>
          <w:rFonts w:eastAsia="Calibri"/>
          <w:sz w:val="28"/>
        </w:rPr>
        <w:t>Таблица №3</w:t>
      </w:r>
    </w:p>
    <w:p w:rsidR="00C404B9" w:rsidRDefault="00C404B9" w:rsidP="00C404B9">
      <w:pPr>
        <w:shd w:val="clear" w:color="auto" w:fill="FFFFFF"/>
        <w:autoSpaceDE w:val="0"/>
        <w:autoSpaceDN w:val="0"/>
        <w:adjustRightInd w:val="0"/>
        <w:spacing w:line="218" w:lineRule="auto"/>
        <w:ind w:firstLine="709"/>
        <w:jc w:val="right"/>
        <w:rPr>
          <w:rFonts w:eastAsia="Calibri"/>
          <w:sz w:val="28"/>
        </w:rPr>
      </w:pPr>
      <w:r>
        <w:rPr>
          <w:rFonts w:eastAsia="Calibri"/>
          <w:sz w:val="28"/>
        </w:rPr>
        <w:t>(тыс. рублей)</w:t>
      </w:r>
    </w:p>
    <w:tbl>
      <w:tblPr>
        <w:tblW w:w="9827" w:type="dxa"/>
        <w:tblInd w:w="-34" w:type="dxa"/>
        <w:tblLayout w:type="fixed"/>
        <w:tblLook w:val="04A0" w:firstRow="1" w:lastRow="0" w:firstColumn="1" w:lastColumn="0" w:noHBand="0" w:noVBand="1"/>
      </w:tblPr>
      <w:tblGrid>
        <w:gridCol w:w="428"/>
        <w:gridCol w:w="2421"/>
        <w:gridCol w:w="996"/>
        <w:gridCol w:w="427"/>
        <w:gridCol w:w="996"/>
        <w:gridCol w:w="855"/>
        <w:gridCol w:w="996"/>
        <w:gridCol w:w="848"/>
        <w:gridCol w:w="1004"/>
        <w:gridCol w:w="856"/>
      </w:tblGrid>
      <w:tr w:rsidR="00C404B9" w:rsidRPr="00511156" w:rsidTr="00A21C38">
        <w:trPr>
          <w:trHeight w:val="447"/>
          <w:tblHeader/>
        </w:trPr>
        <w:tc>
          <w:tcPr>
            <w:tcW w:w="4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4B9" w:rsidRDefault="00C404B9" w:rsidP="00000E53">
            <w:pPr>
              <w:shd w:val="clear" w:color="auto" w:fill="FFFFFF"/>
              <w:ind w:left="-115" w:right="-103"/>
              <w:jc w:val="center"/>
              <w:rPr>
                <w:bCs/>
                <w:color w:val="000000"/>
                <w:sz w:val="16"/>
                <w:szCs w:val="16"/>
              </w:rPr>
            </w:pPr>
            <w:r w:rsidRPr="00294B35">
              <w:rPr>
                <w:bCs/>
                <w:color w:val="000000"/>
                <w:sz w:val="16"/>
                <w:szCs w:val="16"/>
              </w:rPr>
              <w:t xml:space="preserve">№ </w:t>
            </w:r>
          </w:p>
          <w:p w:rsidR="00C404B9" w:rsidRPr="00294B35" w:rsidRDefault="00C404B9" w:rsidP="00000E53">
            <w:pPr>
              <w:shd w:val="clear" w:color="auto" w:fill="FFFFFF"/>
              <w:ind w:left="-115" w:right="-103"/>
              <w:jc w:val="center"/>
              <w:rPr>
                <w:bCs/>
                <w:color w:val="000000"/>
                <w:sz w:val="16"/>
                <w:szCs w:val="16"/>
              </w:rPr>
            </w:pPr>
            <w:r w:rsidRPr="00294B35">
              <w:rPr>
                <w:bCs/>
                <w:color w:val="000000"/>
                <w:sz w:val="16"/>
                <w:szCs w:val="16"/>
              </w:rPr>
              <w:t>п/п</w:t>
            </w:r>
          </w:p>
        </w:tc>
        <w:tc>
          <w:tcPr>
            <w:tcW w:w="2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ind w:left="-113" w:right="-59"/>
              <w:jc w:val="center"/>
              <w:rPr>
                <w:bCs/>
                <w:color w:val="000000"/>
                <w:sz w:val="16"/>
                <w:szCs w:val="16"/>
              </w:rPr>
            </w:pPr>
            <w:r>
              <w:rPr>
                <w:bCs/>
                <w:color w:val="000000"/>
                <w:sz w:val="16"/>
                <w:szCs w:val="16"/>
              </w:rPr>
              <w:t>н</w:t>
            </w:r>
            <w:r w:rsidRPr="00294B35">
              <w:rPr>
                <w:bCs/>
                <w:color w:val="000000"/>
                <w:sz w:val="16"/>
                <w:szCs w:val="16"/>
              </w:rPr>
              <w:t>аименование предмета соглашения</w:t>
            </w:r>
            <w:r>
              <w:rPr>
                <w:bCs/>
                <w:color w:val="000000"/>
                <w:sz w:val="16"/>
                <w:szCs w:val="16"/>
              </w:rPr>
              <w:t xml:space="preserve"> </w:t>
            </w:r>
            <w:r w:rsidRPr="00294B35">
              <w:rPr>
                <w:bCs/>
                <w:color w:val="000000"/>
                <w:sz w:val="16"/>
                <w:szCs w:val="16"/>
              </w:rPr>
              <w:t>/</w:t>
            </w:r>
            <w:r>
              <w:rPr>
                <w:bCs/>
                <w:color w:val="000000"/>
                <w:sz w:val="16"/>
                <w:szCs w:val="16"/>
              </w:rPr>
              <w:t xml:space="preserve"> </w:t>
            </w:r>
            <w:r w:rsidRPr="00294B35">
              <w:rPr>
                <w:bCs/>
                <w:color w:val="000000"/>
                <w:sz w:val="16"/>
                <w:szCs w:val="16"/>
              </w:rPr>
              <w:t xml:space="preserve">источника финансирования </w:t>
            </w:r>
          </w:p>
        </w:tc>
        <w:tc>
          <w:tcPr>
            <w:tcW w:w="1423" w:type="dxa"/>
            <w:gridSpan w:val="2"/>
            <w:tcBorders>
              <w:top w:val="single" w:sz="4" w:space="0" w:color="auto"/>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ind w:left="-113" w:right="-107"/>
              <w:jc w:val="center"/>
              <w:rPr>
                <w:bCs/>
                <w:color w:val="000000"/>
                <w:sz w:val="16"/>
                <w:szCs w:val="16"/>
              </w:rPr>
            </w:pPr>
            <w:r>
              <w:rPr>
                <w:bCs/>
                <w:color w:val="000000"/>
                <w:sz w:val="16"/>
                <w:szCs w:val="16"/>
              </w:rPr>
              <w:t>с</w:t>
            </w:r>
            <w:r w:rsidRPr="00294B35">
              <w:rPr>
                <w:bCs/>
                <w:color w:val="000000"/>
                <w:sz w:val="16"/>
                <w:szCs w:val="16"/>
              </w:rPr>
              <w:t>оглашение о предоставлении Субсидии</w:t>
            </w:r>
          </w:p>
        </w:tc>
        <w:tc>
          <w:tcPr>
            <w:tcW w:w="4699" w:type="dxa"/>
            <w:gridSpan w:val="5"/>
            <w:tcBorders>
              <w:top w:val="single" w:sz="4" w:space="0" w:color="auto"/>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Cs/>
                <w:color w:val="000000"/>
                <w:sz w:val="16"/>
                <w:szCs w:val="16"/>
              </w:rPr>
            </w:pPr>
            <w:r>
              <w:rPr>
                <w:bCs/>
                <w:color w:val="000000"/>
                <w:sz w:val="16"/>
                <w:szCs w:val="16"/>
              </w:rPr>
              <w:t>о</w:t>
            </w:r>
            <w:r w:rsidRPr="00294B35">
              <w:rPr>
                <w:bCs/>
                <w:color w:val="000000"/>
                <w:sz w:val="16"/>
                <w:szCs w:val="16"/>
              </w:rPr>
              <w:t>бъем бюджетных ассигнований, предусмотренных Соглашением</w:t>
            </w:r>
          </w:p>
        </w:tc>
        <w:tc>
          <w:tcPr>
            <w:tcW w:w="856" w:type="dxa"/>
            <w:vMerge w:val="restart"/>
            <w:tcBorders>
              <w:top w:val="single" w:sz="4" w:space="0" w:color="auto"/>
              <w:left w:val="single" w:sz="4" w:space="0" w:color="auto"/>
              <w:right w:val="single" w:sz="4" w:space="0" w:color="auto"/>
            </w:tcBorders>
            <w:shd w:val="clear" w:color="auto" w:fill="auto"/>
            <w:vAlign w:val="center"/>
            <w:hideMark/>
          </w:tcPr>
          <w:p w:rsidR="00C404B9" w:rsidRPr="00511156" w:rsidRDefault="00C404B9" w:rsidP="00000E53">
            <w:pPr>
              <w:shd w:val="clear" w:color="auto" w:fill="FFFFFF"/>
              <w:ind w:right="-63" w:hanging="12"/>
              <w:jc w:val="center"/>
              <w:rPr>
                <w:bCs/>
                <w:color w:val="000000"/>
                <w:sz w:val="16"/>
                <w:szCs w:val="16"/>
              </w:rPr>
            </w:pPr>
            <w:r>
              <w:rPr>
                <w:bCs/>
                <w:color w:val="000000"/>
                <w:sz w:val="16"/>
                <w:szCs w:val="16"/>
              </w:rPr>
              <w:t>п</w:t>
            </w:r>
            <w:r w:rsidRPr="00511156">
              <w:rPr>
                <w:bCs/>
                <w:color w:val="000000"/>
                <w:sz w:val="16"/>
                <w:szCs w:val="16"/>
              </w:rPr>
              <w:t>риобретаемая площадь</w:t>
            </w:r>
            <w:r>
              <w:rPr>
                <w:bCs/>
                <w:color w:val="000000"/>
                <w:sz w:val="16"/>
                <w:szCs w:val="16"/>
              </w:rPr>
              <w:t xml:space="preserve"> кв. м</w:t>
            </w:r>
          </w:p>
        </w:tc>
      </w:tr>
      <w:tr w:rsidR="00C404B9" w:rsidRPr="00294B35" w:rsidTr="00A21C38">
        <w:trPr>
          <w:trHeight w:val="167"/>
          <w:tblHeader/>
        </w:trPr>
        <w:tc>
          <w:tcPr>
            <w:tcW w:w="428" w:type="dxa"/>
            <w:vMerge/>
            <w:tcBorders>
              <w:top w:val="single" w:sz="4" w:space="0" w:color="auto"/>
              <w:left w:val="single" w:sz="4" w:space="0" w:color="auto"/>
              <w:bottom w:val="single" w:sz="4" w:space="0" w:color="auto"/>
              <w:right w:val="single" w:sz="4" w:space="0" w:color="auto"/>
            </w:tcBorders>
            <w:vAlign w:val="center"/>
            <w:hideMark/>
          </w:tcPr>
          <w:p w:rsidR="00C404B9" w:rsidRPr="00294B35" w:rsidRDefault="00C404B9" w:rsidP="00000E53">
            <w:pPr>
              <w:shd w:val="clear" w:color="auto" w:fill="FFFFFF"/>
              <w:rPr>
                <w:b/>
                <w:bCs/>
                <w:color w:val="000000"/>
                <w:sz w:val="16"/>
                <w:szCs w:val="16"/>
              </w:rPr>
            </w:pPr>
          </w:p>
        </w:tc>
        <w:tc>
          <w:tcPr>
            <w:tcW w:w="2421" w:type="dxa"/>
            <w:vMerge/>
            <w:tcBorders>
              <w:top w:val="single" w:sz="4" w:space="0" w:color="auto"/>
              <w:left w:val="single" w:sz="4" w:space="0" w:color="auto"/>
              <w:bottom w:val="single" w:sz="4" w:space="0" w:color="auto"/>
              <w:right w:val="single" w:sz="4" w:space="0" w:color="auto"/>
            </w:tcBorders>
            <w:vAlign w:val="center"/>
            <w:hideMark/>
          </w:tcPr>
          <w:p w:rsidR="00C404B9" w:rsidRPr="00294B35" w:rsidRDefault="00C404B9" w:rsidP="00000E53">
            <w:pPr>
              <w:shd w:val="clear" w:color="auto" w:fill="FFFFFF"/>
              <w:rPr>
                <w:b/>
                <w:bCs/>
                <w:color w:val="000000"/>
                <w:sz w:val="16"/>
                <w:szCs w:val="16"/>
              </w:rPr>
            </w:pPr>
          </w:p>
        </w:tc>
        <w:tc>
          <w:tcPr>
            <w:tcW w:w="996" w:type="dxa"/>
            <w:vMerge w:val="restart"/>
            <w:tcBorders>
              <w:top w:val="nil"/>
              <w:left w:val="single" w:sz="4" w:space="0" w:color="auto"/>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ind w:left="-161" w:right="-107"/>
              <w:jc w:val="center"/>
              <w:rPr>
                <w:bCs/>
                <w:color w:val="000000"/>
                <w:sz w:val="16"/>
                <w:szCs w:val="16"/>
              </w:rPr>
            </w:pPr>
            <w:r>
              <w:rPr>
                <w:bCs/>
                <w:color w:val="000000"/>
                <w:sz w:val="16"/>
                <w:szCs w:val="16"/>
              </w:rPr>
              <w:t>д</w:t>
            </w:r>
            <w:r w:rsidRPr="00294B35">
              <w:rPr>
                <w:bCs/>
                <w:color w:val="000000"/>
                <w:sz w:val="16"/>
                <w:szCs w:val="16"/>
              </w:rPr>
              <w:t>ата</w:t>
            </w:r>
          </w:p>
        </w:tc>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ind w:left="-52" w:right="-127"/>
              <w:jc w:val="center"/>
              <w:rPr>
                <w:bCs/>
                <w:color w:val="000000"/>
                <w:sz w:val="16"/>
                <w:szCs w:val="16"/>
              </w:rPr>
            </w:pPr>
            <w:r w:rsidRPr="00DD313C">
              <w:rPr>
                <w:bCs/>
                <w:color w:val="000000"/>
                <w:sz w:val="16"/>
                <w:szCs w:val="16"/>
              </w:rPr>
              <w:t>№</w:t>
            </w:r>
          </w:p>
        </w:tc>
        <w:tc>
          <w:tcPr>
            <w:tcW w:w="996" w:type="dxa"/>
            <w:vMerge w:val="restart"/>
            <w:tcBorders>
              <w:top w:val="nil"/>
              <w:left w:val="single" w:sz="4" w:space="0" w:color="auto"/>
              <w:bottom w:val="single" w:sz="4" w:space="0" w:color="auto"/>
              <w:right w:val="single" w:sz="4" w:space="0" w:color="auto"/>
            </w:tcBorders>
            <w:shd w:val="clear" w:color="auto" w:fill="auto"/>
            <w:vAlign w:val="center"/>
            <w:hideMark/>
          </w:tcPr>
          <w:p w:rsidR="00C404B9" w:rsidRDefault="00C404B9" w:rsidP="00000E53">
            <w:pPr>
              <w:shd w:val="clear" w:color="auto" w:fill="FFFFFF"/>
              <w:jc w:val="center"/>
            </w:pPr>
            <w:r>
              <w:rPr>
                <w:bCs/>
                <w:color w:val="000000"/>
                <w:sz w:val="16"/>
                <w:szCs w:val="16"/>
              </w:rPr>
              <w:t>всего</w:t>
            </w:r>
          </w:p>
        </w:tc>
        <w:tc>
          <w:tcPr>
            <w:tcW w:w="3703" w:type="dxa"/>
            <w:gridSpan w:val="4"/>
            <w:tcBorders>
              <w:top w:val="single" w:sz="4" w:space="0" w:color="auto"/>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в том числе по годам</w:t>
            </w:r>
          </w:p>
        </w:tc>
        <w:tc>
          <w:tcPr>
            <w:tcW w:w="856" w:type="dxa"/>
            <w:vMerge/>
            <w:tcBorders>
              <w:left w:val="single" w:sz="4" w:space="0" w:color="auto"/>
              <w:right w:val="single" w:sz="4" w:space="0" w:color="auto"/>
            </w:tcBorders>
            <w:vAlign w:val="center"/>
            <w:hideMark/>
          </w:tcPr>
          <w:p w:rsidR="00C404B9" w:rsidRPr="00294B35" w:rsidRDefault="00C404B9" w:rsidP="00000E53">
            <w:pPr>
              <w:shd w:val="clear" w:color="auto" w:fill="FFFFFF"/>
              <w:ind w:left="-92"/>
              <w:rPr>
                <w:b/>
                <w:bCs/>
                <w:color w:val="000000"/>
                <w:sz w:val="16"/>
                <w:szCs w:val="16"/>
              </w:rPr>
            </w:pPr>
          </w:p>
        </w:tc>
      </w:tr>
      <w:tr w:rsidR="00C404B9" w:rsidRPr="00294B35" w:rsidTr="00A21C38">
        <w:trPr>
          <w:trHeight w:val="113"/>
          <w:tblHeader/>
        </w:trPr>
        <w:tc>
          <w:tcPr>
            <w:tcW w:w="428" w:type="dxa"/>
            <w:vMerge/>
            <w:tcBorders>
              <w:top w:val="single" w:sz="4" w:space="0" w:color="auto"/>
              <w:left w:val="single" w:sz="4" w:space="0" w:color="auto"/>
              <w:bottom w:val="single" w:sz="4" w:space="0" w:color="auto"/>
              <w:right w:val="single" w:sz="4" w:space="0" w:color="auto"/>
            </w:tcBorders>
            <w:vAlign w:val="center"/>
            <w:hideMark/>
          </w:tcPr>
          <w:p w:rsidR="00C404B9" w:rsidRPr="00294B35" w:rsidRDefault="00C404B9" w:rsidP="00000E53">
            <w:pPr>
              <w:shd w:val="clear" w:color="auto" w:fill="FFFFFF"/>
              <w:rPr>
                <w:b/>
                <w:bCs/>
                <w:color w:val="000000"/>
                <w:sz w:val="16"/>
                <w:szCs w:val="16"/>
              </w:rPr>
            </w:pPr>
          </w:p>
        </w:tc>
        <w:tc>
          <w:tcPr>
            <w:tcW w:w="2421" w:type="dxa"/>
            <w:vMerge/>
            <w:tcBorders>
              <w:top w:val="single" w:sz="4" w:space="0" w:color="auto"/>
              <w:left w:val="single" w:sz="4" w:space="0" w:color="auto"/>
              <w:bottom w:val="single" w:sz="4" w:space="0" w:color="auto"/>
              <w:right w:val="single" w:sz="4" w:space="0" w:color="auto"/>
            </w:tcBorders>
            <w:vAlign w:val="center"/>
            <w:hideMark/>
          </w:tcPr>
          <w:p w:rsidR="00C404B9" w:rsidRPr="00294B35" w:rsidRDefault="00C404B9" w:rsidP="00000E53">
            <w:pPr>
              <w:shd w:val="clear" w:color="auto" w:fill="FFFFFF"/>
              <w:rPr>
                <w:b/>
                <w:bCs/>
                <w:color w:val="000000"/>
                <w:sz w:val="16"/>
                <w:szCs w:val="16"/>
              </w:rPr>
            </w:pPr>
          </w:p>
        </w:tc>
        <w:tc>
          <w:tcPr>
            <w:tcW w:w="996" w:type="dxa"/>
            <w:vMerge/>
            <w:tcBorders>
              <w:top w:val="nil"/>
              <w:left w:val="single" w:sz="4" w:space="0" w:color="auto"/>
              <w:bottom w:val="single" w:sz="4" w:space="0" w:color="auto"/>
              <w:right w:val="single" w:sz="4" w:space="0" w:color="auto"/>
            </w:tcBorders>
            <w:vAlign w:val="center"/>
            <w:hideMark/>
          </w:tcPr>
          <w:p w:rsidR="00C404B9" w:rsidRPr="00294B35" w:rsidRDefault="00C404B9" w:rsidP="00000E53">
            <w:pPr>
              <w:shd w:val="clear" w:color="auto" w:fill="FFFFFF"/>
              <w:rPr>
                <w:b/>
                <w:bCs/>
                <w:color w:val="000000"/>
                <w:sz w:val="16"/>
                <w:szCs w:val="16"/>
              </w:rPr>
            </w:pPr>
          </w:p>
        </w:tc>
        <w:tc>
          <w:tcPr>
            <w:tcW w:w="427" w:type="dxa"/>
            <w:vMerge/>
            <w:tcBorders>
              <w:top w:val="nil"/>
              <w:left w:val="single" w:sz="4" w:space="0" w:color="auto"/>
              <w:bottom w:val="single" w:sz="4" w:space="0" w:color="auto"/>
              <w:right w:val="single" w:sz="4" w:space="0" w:color="auto"/>
            </w:tcBorders>
            <w:vAlign w:val="center"/>
            <w:hideMark/>
          </w:tcPr>
          <w:p w:rsidR="00C404B9" w:rsidRPr="00294B35" w:rsidRDefault="00C404B9" w:rsidP="00000E53">
            <w:pPr>
              <w:shd w:val="clear" w:color="auto" w:fill="FFFFFF"/>
              <w:rPr>
                <w:b/>
                <w:bCs/>
                <w:color w:val="000000"/>
                <w:sz w:val="16"/>
                <w:szCs w:val="16"/>
              </w:rPr>
            </w:pPr>
          </w:p>
        </w:tc>
        <w:tc>
          <w:tcPr>
            <w:tcW w:w="996" w:type="dxa"/>
            <w:vMerge/>
            <w:tcBorders>
              <w:top w:val="nil"/>
              <w:left w:val="single" w:sz="4" w:space="0" w:color="auto"/>
              <w:bottom w:val="single" w:sz="4" w:space="0" w:color="auto"/>
              <w:right w:val="single" w:sz="4" w:space="0" w:color="auto"/>
            </w:tcBorders>
            <w:vAlign w:val="center"/>
            <w:hideMark/>
          </w:tcPr>
          <w:p w:rsidR="00C404B9" w:rsidRPr="00294B35" w:rsidRDefault="00C404B9" w:rsidP="00000E53">
            <w:pPr>
              <w:shd w:val="clear" w:color="auto" w:fill="FFFFFF"/>
              <w:rPr>
                <w:b/>
                <w:bCs/>
                <w:color w:val="000000"/>
                <w:sz w:val="16"/>
                <w:szCs w:val="16"/>
              </w:rPr>
            </w:pPr>
          </w:p>
        </w:tc>
        <w:tc>
          <w:tcPr>
            <w:tcW w:w="855"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ind w:left="-109"/>
              <w:jc w:val="center"/>
              <w:rPr>
                <w:bCs/>
                <w:color w:val="000000"/>
                <w:sz w:val="16"/>
                <w:szCs w:val="16"/>
              </w:rPr>
            </w:pPr>
            <w:r w:rsidRPr="00294B35">
              <w:rPr>
                <w:bCs/>
                <w:color w:val="000000"/>
                <w:sz w:val="16"/>
                <w:szCs w:val="16"/>
              </w:rPr>
              <w:t>2020</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ind w:left="-47" w:right="-166" w:hanging="11"/>
              <w:jc w:val="center"/>
              <w:rPr>
                <w:bCs/>
                <w:color w:val="000000"/>
                <w:sz w:val="16"/>
                <w:szCs w:val="16"/>
              </w:rPr>
            </w:pPr>
            <w:r w:rsidRPr="00294B35">
              <w:rPr>
                <w:bCs/>
                <w:color w:val="000000"/>
                <w:sz w:val="16"/>
                <w:szCs w:val="16"/>
              </w:rPr>
              <w:t>2021</w:t>
            </w:r>
          </w:p>
        </w:tc>
        <w:tc>
          <w:tcPr>
            <w:tcW w:w="848"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ind w:left="-54" w:right="-140"/>
              <w:jc w:val="center"/>
              <w:rPr>
                <w:bCs/>
                <w:color w:val="000000"/>
                <w:sz w:val="16"/>
                <w:szCs w:val="16"/>
              </w:rPr>
            </w:pPr>
            <w:r w:rsidRPr="00294B35">
              <w:rPr>
                <w:bCs/>
                <w:color w:val="000000"/>
                <w:sz w:val="16"/>
                <w:szCs w:val="16"/>
              </w:rPr>
              <w:t>2022</w:t>
            </w:r>
          </w:p>
        </w:tc>
        <w:tc>
          <w:tcPr>
            <w:tcW w:w="999"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ind w:left="-79" w:right="-128"/>
              <w:jc w:val="center"/>
              <w:rPr>
                <w:bCs/>
                <w:color w:val="000000"/>
                <w:sz w:val="16"/>
                <w:szCs w:val="16"/>
              </w:rPr>
            </w:pPr>
            <w:r w:rsidRPr="00294B35">
              <w:rPr>
                <w:bCs/>
                <w:color w:val="000000"/>
                <w:sz w:val="16"/>
                <w:szCs w:val="16"/>
              </w:rPr>
              <w:t>2023</w:t>
            </w:r>
          </w:p>
        </w:tc>
        <w:tc>
          <w:tcPr>
            <w:tcW w:w="856" w:type="dxa"/>
            <w:tcBorders>
              <w:left w:val="single" w:sz="4" w:space="0" w:color="auto"/>
              <w:bottom w:val="single" w:sz="4" w:space="0" w:color="auto"/>
              <w:right w:val="single" w:sz="4" w:space="0" w:color="auto"/>
            </w:tcBorders>
            <w:vAlign w:val="center"/>
            <w:hideMark/>
          </w:tcPr>
          <w:p w:rsidR="00C404B9" w:rsidRPr="00294B35" w:rsidRDefault="00C404B9" w:rsidP="00000E53">
            <w:pPr>
              <w:shd w:val="clear" w:color="auto" w:fill="FFFFFF"/>
              <w:rPr>
                <w:b/>
                <w:bCs/>
                <w:color w:val="000000"/>
                <w:sz w:val="16"/>
                <w:szCs w:val="16"/>
              </w:rPr>
            </w:pPr>
          </w:p>
        </w:tc>
      </w:tr>
      <w:tr w:rsidR="00C404B9" w:rsidRPr="00511156" w:rsidTr="00A21C38">
        <w:trPr>
          <w:trHeight w:val="216"/>
          <w:tblHeader/>
        </w:trPr>
        <w:tc>
          <w:tcPr>
            <w:tcW w:w="428" w:type="dxa"/>
            <w:tcBorders>
              <w:top w:val="nil"/>
              <w:left w:val="single" w:sz="4" w:space="0" w:color="auto"/>
              <w:bottom w:val="single" w:sz="4" w:space="0" w:color="auto"/>
              <w:right w:val="single" w:sz="4" w:space="0" w:color="auto"/>
            </w:tcBorders>
            <w:shd w:val="clear" w:color="auto" w:fill="auto"/>
            <w:noWrap/>
            <w:hideMark/>
          </w:tcPr>
          <w:p w:rsidR="00C404B9" w:rsidRPr="00294B35" w:rsidRDefault="00C404B9" w:rsidP="00000E53">
            <w:pPr>
              <w:shd w:val="clear" w:color="auto" w:fill="FFFFFF"/>
              <w:jc w:val="center"/>
              <w:rPr>
                <w:color w:val="000000"/>
                <w:sz w:val="16"/>
                <w:szCs w:val="16"/>
              </w:rPr>
            </w:pPr>
            <w:r w:rsidRPr="00294B35">
              <w:rPr>
                <w:color w:val="000000"/>
                <w:sz w:val="16"/>
                <w:szCs w:val="16"/>
              </w:rPr>
              <w:t>1</w:t>
            </w:r>
          </w:p>
        </w:tc>
        <w:tc>
          <w:tcPr>
            <w:tcW w:w="2421" w:type="dxa"/>
            <w:tcBorders>
              <w:top w:val="nil"/>
              <w:left w:val="nil"/>
              <w:bottom w:val="single" w:sz="4" w:space="0" w:color="auto"/>
              <w:right w:val="single" w:sz="4" w:space="0" w:color="auto"/>
            </w:tcBorders>
            <w:shd w:val="clear" w:color="auto" w:fill="auto"/>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2</w:t>
            </w:r>
          </w:p>
        </w:tc>
        <w:tc>
          <w:tcPr>
            <w:tcW w:w="996" w:type="dxa"/>
            <w:tcBorders>
              <w:top w:val="nil"/>
              <w:left w:val="nil"/>
              <w:bottom w:val="single" w:sz="4" w:space="0" w:color="auto"/>
              <w:right w:val="single" w:sz="4" w:space="0" w:color="auto"/>
            </w:tcBorders>
            <w:shd w:val="clear" w:color="auto" w:fill="auto"/>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3</w:t>
            </w:r>
          </w:p>
        </w:tc>
        <w:tc>
          <w:tcPr>
            <w:tcW w:w="427" w:type="dxa"/>
            <w:tcBorders>
              <w:top w:val="nil"/>
              <w:left w:val="nil"/>
              <w:bottom w:val="single" w:sz="4" w:space="0" w:color="auto"/>
              <w:right w:val="single" w:sz="4" w:space="0" w:color="auto"/>
            </w:tcBorders>
            <w:shd w:val="clear" w:color="auto" w:fill="auto"/>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4</w:t>
            </w:r>
          </w:p>
        </w:tc>
        <w:tc>
          <w:tcPr>
            <w:tcW w:w="996" w:type="dxa"/>
            <w:tcBorders>
              <w:top w:val="nil"/>
              <w:left w:val="nil"/>
              <w:bottom w:val="single" w:sz="4" w:space="0" w:color="auto"/>
              <w:right w:val="single" w:sz="4" w:space="0" w:color="auto"/>
            </w:tcBorders>
            <w:shd w:val="clear" w:color="auto" w:fill="auto"/>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5</w:t>
            </w:r>
          </w:p>
        </w:tc>
        <w:tc>
          <w:tcPr>
            <w:tcW w:w="855" w:type="dxa"/>
            <w:tcBorders>
              <w:top w:val="nil"/>
              <w:left w:val="nil"/>
              <w:bottom w:val="single" w:sz="4" w:space="0" w:color="auto"/>
              <w:right w:val="single" w:sz="4" w:space="0" w:color="auto"/>
            </w:tcBorders>
            <w:shd w:val="clear" w:color="auto" w:fill="auto"/>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6</w:t>
            </w:r>
          </w:p>
        </w:tc>
        <w:tc>
          <w:tcPr>
            <w:tcW w:w="996" w:type="dxa"/>
            <w:tcBorders>
              <w:top w:val="nil"/>
              <w:left w:val="nil"/>
              <w:bottom w:val="single" w:sz="4" w:space="0" w:color="auto"/>
              <w:right w:val="single" w:sz="4" w:space="0" w:color="auto"/>
            </w:tcBorders>
            <w:shd w:val="clear" w:color="auto" w:fill="auto"/>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7</w:t>
            </w:r>
          </w:p>
        </w:tc>
        <w:tc>
          <w:tcPr>
            <w:tcW w:w="848" w:type="dxa"/>
            <w:tcBorders>
              <w:top w:val="nil"/>
              <w:left w:val="nil"/>
              <w:bottom w:val="single" w:sz="4" w:space="0" w:color="auto"/>
              <w:right w:val="single" w:sz="4" w:space="0" w:color="auto"/>
            </w:tcBorders>
            <w:shd w:val="clear" w:color="auto" w:fill="auto"/>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8</w:t>
            </w:r>
          </w:p>
        </w:tc>
        <w:tc>
          <w:tcPr>
            <w:tcW w:w="999" w:type="dxa"/>
            <w:tcBorders>
              <w:top w:val="nil"/>
              <w:left w:val="nil"/>
              <w:bottom w:val="single" w:sz="4" w:space="0" w:color="auto"/>
              <w:right w:val="single" w:sz="4" w:space="0" w:color="auto"/>
            </w:tcBorders>
            <w:shd w:val="clear" w:color="auto" w:fill="auto"/>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9</w:t>
            </w:r>
          </w:p>
        </w:tc>
        <w:tc>
          <w:tcPr>
            <w:tcW w:w="856" w:type="dxa"/>
            <w:tcBorders>
              <w:top w:val="nil"/>
              <w:left w:val="nil"/>
              <w:bottom w:val="single" w:sz="4" w:space="0" w:color="auto"/>
              <w:right w:val="single" w:sz="4" w:space="0" w:color="auto"/>
            </w:tcBorders>
            <w:shd w:val="clear" w:color="auto" w:fill="auto"/>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10</w:t>
            </w:r>
          </w:p>
        </w:tc>
      </w:tr>
      <w:tr w:rsidR="00C404B9" w:rsidRPr="00294B35" w:rsidTr="00A21C38">
        <w:trPr>
          <w:trHeight w:val="237"/>
        </w:trPr>
        <w:tc>
          <w:tcPr>
            <w:tcW w:w="9827" w:type="dxa"/>
            <w:gridSpan w:val="10"/>
            <w:tcBorders>
              <w:top w:val="single" w:sz="4" w:space="0" w:color="auto"/>
              <w:left w:val="single" w:sz="4" w:space="0" w:color="auto"/>
              <w:bottom w:val="single" w:sz="4" w:space="0" w:color="auto"/>
              <w:right w:val="single" w:sz="4" w:space="0" w:color="auto"/>
            </w:tcBorders>
            <w:shd w:val="clear" w:color="auto" w:fill="FFFFFF"/>
            <w:hideMark/>
          </w:tcPr>
          <w:p w:rsidR="00C404B9" w:rsidRPr="00294B35" w:rsidRDefault="00C404B9" w:rsidP="00000E53">
            <w:pPr>
              <w:shd w:val="clear" w:color="auto" w:fill="FFFFFF"/>
              <w:jc w:val="center"/>
              <w:rPr>
                <w:b/>
                <w:bCs/>
                <w:color w:val="000000"/>
                <w:sz w:val="16"/>
                <w:szCs w:val="16"/>
              </w:rPr>
            </w:pPr>
            <w:proofErr w:type="spellStart"/>
            <w:r w:rsidRPr="00294B35">
              <w:rPr>
                <w:b/>
                <w:bCs/>
                <w:color w:val="000000"/>
                <w:sz w:val="16"/>
                <w:szCs w:val="16"/>
              </w:rPr>
              <w:t>Провиденский</w:t>
            </w:r>
            <w:proofErr w:type="spellEnd"/>
            <w:r w:rsidRPr="00294B35">
              <w:rPr>
                <w:b/>
                <w:bCs/>
                <w:color w:val="000000"/>
                <w:sz w:val="16"/>
                <w:szCs w:val="16"/>
              </w:rPr>
              <w:t xml:space="preserve"> городской округ</w:t>
            </w:r>
          </w:p>
        </w:tc>
      </w:tr>
      <w:tr w:rsidR="00C404B9" w:rsidRPr="00294B35" w:rsidTr="00A21C38">
        <w:trPr>
          <w:trHeight w:val="178"/>
        </w:trPr>
        <w:tc>
          <w:tcPr>
            <w:tcW w:w="428" w:type="dxa"/>
            <w:vMerge w:val="restart"/>
            <w:tcBorders>
              <w:top w:val="nil"/>
              <w:left w:val="single" w:sz="4" w:space="0" w:color="auto"/>
              <w:bottom w:val="single" w:sz="4" w:space="0" w:color="auto"/>
              <w:right w:val="single" w:sz="4" w:space="0" w:color="auto"/>
            </w:tcBorders>
            <w:shd w:val="clear" w:color="auto" w:fill="auto"/>
            <w:noWrap/>
            <w:hideMark/>
          </w:tcPr>
          <w:p w:rsidR="00C404B9" w:rsidRPr="00294B35" w:rsidRDefault="00C404B9" w:rsidP="00000E53">
            <w:pPr>
              <w:shd w:val="clear" w:color="auto" w:fill="FFFFFF"/>
              <w:jc w:val="center"/>
              <w:rPr>
                <w:color w:val="000000"/>
                <w:sz w:val="16"/>
                <w:szCs w:val="16"/>
              </w:rPr>
            </w:pPr>
            <w:r w:rsidRPr="00294B35">
              <w:rPr>
                <w:color w:val="000000"/>
                <w:sz w:val="16"/>
                <w:szCs w:val="16"/>
              </w:rPr>
              <w:t>1</w:t>
            </w:r>
          </w:p>
        </w:tc>
        <w:tc>
          <w:tcPr>
            <w:tcW w:w="2421" w:type="dxa"/>
            <w:tcBorders>
              <w:top w:val="nil"/>
              <w:left w:val="nil"/>
              <w:bottom w:val="single" w:sz="4" w:space="0" w:color="auto"/>
              <w:right w:val="single" w:sz="4" w:space="0" w:color="auto"/>
            </w:tcBorders>
            <w:shd w:val="clear" w:color="auto" w:fill="FFFFFF"/>
            <w:hideMark/>
          </w:tcPr>
          <w:p w:rsidR="00C404B9" w:rsidRPr="00294B35" w:rsidRDefault="00C404B9" w:rsidP="00000E53">
            <w:pPr>
              <w:shd w:val="clear" w:color="auto" w:fill="FFFFFF"/>
              <w:rPr>
                <w:b/>
                <w:bCs/>
                <w:color w:val="000000"/>
                <w:sz w:val="16"/>
                <w:szCs w:val="16"/>
              </w:rPr>
            </w:pPr>
            <w:r w:rsidRPr="00294B35">
              <w:rPr>
                <w:b/>
                <w:bCs/>
                <w:color w:val="000000"/>
                <w:sz w:val="16"/>
                <w:szCs w:val="16"/>
              </w:rPr>
              <w:t xml:space="preserve">Приобретение 13-ти квартир у застройщика в </w:t>
            </w:r>
            <w:proofErr w:type="spellStart"/>
            <w:r w:rsidRPr="00294B35">
              <w:rPr>
                <w:b/>
                <w:bCs/>
                <w:color w:val="000000"/>
                <w:sz w:val="16"/>
                <w:szCs w:val="16"/>
              </w:rPr>
              <w:t>с</w:t>
            </w:r>
            <w:r>
              <w:rPr>
                <w:b/>
                <w:bCs/>
                <w:color w:val="000000"/>
                <w:sz w:val="16"/>
                <w:szCs w:val="16"/>
              </w:rPr>
              <w:t>.</w:t>
            </w:r>
            <w:r w:rsidRPr="00294B35">
              <w:rPr>
                <w:b/>
                <w:bCs/>
                <w:color w:val="000000"/>
                <w:sz w:val="16"/>
                <w:szCs w:val="16"/>
              </w:rPr>
              <w:t>Сиреники</w:t>
            </w:r>
            <w:proofErr w:type="spellEnd"/>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05.10.2020</w:t>
            </w:r>
          </w:p>
        </w:tc>
        <w:tc>
          <w:tcPr>
            <w:tcW w:w="427"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69</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106 738,3</w:t>
            </w:r>
          </w:p>
        </w:tc>
        <w:tc>
          <w:tcPr>
            <w:tcW w:w="855"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32 021,5</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74 716,8</w:t>
            </w:r>
          </w:p>
        </w:tc>
        <w:tc>
          <w:tcPr>
            <w:tcW w:w="848"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A21C38">
            <w:pPr>
              <w:shd w:val="clear" w:color="auto" w:fill="FFFFFF"/>
              <w:ind w:right="-117"/>
              <w:jc w:val="center"/>
              <w:rPr>
                <w:b/>
                <w:bCs/>
                <w:color w:val="000000"/>
                <w:sz w:val="16"/>
                <w:szCs w:val="16"/>
              </w:rPr>
            </w:pPr>
            <w:r w:rsidRPr="00294B35">
              <w:rPr>
                <w:b/>
                <w:bCs/>
                <w:color w:val="000000"/>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0,0</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692,0</w:t>
            </w:r>
          </w:p>
        </w:tc>
      </w:tr>
      <w:tr w:rsidR="00C404B9" w:rsidRPr="00294B35" w:rsidTr="00A21C38">
        <w:trPr>
          <w:trHeight w:val="178"/>
        </w:trPr>
        <w:tc>
          <w:tcPr>
            <w:tcW w:w="428" w:type="dxa"/>
            <w:vMerge/>
            <w:tcBorders>
              <w:top w:val="nil"/>
              <w:left w:val="single" w:sz="4" w:space="0" w:color="auto"/>
              <w:bottom w:val="single" w:sz="4" w:space="0" w:color="auto"/>
              <w:right w:val="single" w:sz="4" w:space="0" w:color="auto"/>
            </w:tcBorders>
            <w:vAlign w:val="center"/>
            <w:hideMark/>
          </w:tcPr>
          <w:p w:rsidR="00C404B9" w:rsidRPr="00294B35" w:rsidRDefault="00C404B9" w:rsidP="00000E53">
            <w:pPr>
              <w:shd w:val="clear" w:color="auto" w:fill="FFFFFF"/>
              <w:rPr>
                <w:color w:val="000000"/>
                <w:sz w:val="16"/>
                <w:szCs w:val="16"/>
              </w:rPr>
            </w:pPr>
          </w:p>
        </w:tc>
        <w:tc>
          <w:tcPr>
            <w:tcW w:w="2421" w:type="dxa"/>
            <w:tcBorders>
              <w:top w:val="nil"/>
              <w:left w:val="nil"/>
              <w:bottom w:val="single" w:sz="4" w:space="0" w:color="auto"/>
              <w:right w:val="single" w:sz="4" w:space="0" w:color="auto"/>
            </w:tcBorders>
            <w:shd w:val="clear" w:color="auto" w:fill="FFFFFF"/>
            <w:hideMark/>
          </w:tcPr>
          <w:p w:rsidR="00C404B9" w:rsidRPr="00294B35" w:rsidRDefault="00C404B9" w:rsidP="00000E53">
            <w:pPr>
              <w:shd w:val="clear" w:color="auto" w:fill="FFFFFF"/>
              <w:rPr>
                <w:color w:val="000000"/>
                <w:sz w:val="16"/>
                <w:szCs w:val="16"/>
              </w:rPr>
            </w:pPr>
            <w:r w:rsidRPr="00294B35">
              <w:rPr>
                <w:color w:val="000000"/>
                <w:sz w:val="16"/>
                <w:szCs w:val="16"/>
              </w:rPr>
              <w:t>окружной бюджет</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427"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106 624,0</w:t>
            </w:r>
          </w:p>
        </w:tc>
        <w:tc>
          <w:tcPr>
            <w:tcW w:w="855"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31 981,9</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74 642,1</w:t>
            </w:r>
          </w:p>
        </w:tc>
        <w:tc>
          <w:tcPr>
            <w:tcW w:w="848"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A21C38">
            <w:pPr>
              <w:shd w:val="clear" w:color="auto" w:fill="FFFFFF"/>
              <w:ind w:right="-117"/>
              <w:jc w:val="center"/>
              <w:rPr>
                <w:color w:val="000000"/>
                <w:sz w:val="16"/>
                <w:szCs w:val="16"/>
              </w:rPr>
            </w:pPr>
            <w:r w:rsidRPr="00294B35">
              <w:rPr>
                <w:color w:val="000000"/>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r>
      <w:tr w:rsidR="00C404B9" w:rsidRPr="00294B35" w:rsidTr="00A21C38">
        <w:trPr>
          <w:trHeight w:val="178"/>
        </w:trPr>
        <w:tc>
          <w:tcPr>
            <w:tcW w:w="428" w:type="dxa"/>
            <w:vMerge/>
            <w:tcBorders>
              <w:top w:val="nil"/>
              <w:left w:val="single" w:sz="4" w:space="0" w:color="auto"/>
              <w:bottom w:val="single" w:sz="4" w:space="0" w:color="auto"/>
              <w:right w:val="single" w:sz="4" w:space="0" w:color="auto"/>
            </w:tcBorders>
            <w:vAlign w:val="center"/>
            <w:hideMark/>
          </w:tcPr>
          <w:p w:rsidR="00C404B9" w:rsidRPr="00294B35" w:rsidRDefault="00C404B9" w:rsidP="00000E53">
            <w:pPr>
              <w:shd w:val="clear" w:color="auto" w:fill="FFFFFF"/>
              <w:rPr>
                <w:color w:val="000000"/>
                <w:sz w:val="16"/>
                <w:szCs w:val="16"/>
              </w:rPr>
            </w:pPr>
          </w:p>
        </w:tc>
        <w:tc>
          <w:tcPr>
            <w:tcW w:w="2421" w:type="dxa"/>
            <w:tcBorders>
              <w:top w:val="nil"/>
              <w:left w:val="nil"/>
              <w:bottom w:val="single" w:sz="4" w:space="0" w:color="auto"/>
              <w:right w:val="single" w:sz="4" w:space="0" w:color="auto"/>
            </w:tcBorders>
            <w:shd w:val="clear" w:color="auto" w:fill="FFFFFF"/>
            <w:hideMark/>
          </w:tcPr>
          <w:p w:rsidR="00C404B9" w:rsidRPr="00294B35" w:rsidRDefault="00C404B9" w:rsidP="00000E53">
            <w:pPr>
              <w:shd w:val="clear" w:color="auto" w:fill="FFFFFF"/>
              <w:rPr>
                <w:color w:val="000000"/>
                <w:sz w:val="16"/>
                <w:szCs w:val="16"/>
              </w:rPr>
            </w:pPr>
            <w:r w:rsidRPr="00294B35">
              <w:rPr>
                <w:color w:val="000000"/>
                <w:sz w:val="16"/>
                <w:szCs w:val="16"/>
              </w:rPr>
              <w:t>местный бюджет</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427"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114,3</w:t>
            </w:r>
          </w:p>
        </w:tc>
        <w:tc>
          <w:tcPr>
            <w:tcW w:w="855" w:type="dxa"/>
            <w:tcBorders>
              <w:top w:val="nil"/>
              <w:left w:val="nil"/>
              <w:bottom w:val="single" w:sz="4" w:space="0" w:color="auto"/>
              <w:right w:val="single" w:sz="4" w:space="0" w:color="auto"/>
            </w:tcBorders>
            <w:shd w:val="clear" w:color="000000"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39,6</w:t>
            </w:r>
          </w:p>
        </w:tc>
        <w:tc>
          <w:tcPr>
            <w:tcW w:w="996" w:type="dxa"/>
            <w:tcBorders>
              <w:top w:val="nil"/>
              <w:left w:val="nil"/>
              <w:bottom w:val="single" w:sz="4" w:space="0" w:color="auto"/>
              <w:right w:val="single" w:sz="4" w:space="0" w:color="auto"/>
            </w:tcBorders>
            <w:shd w:val="clear" w:color="000000"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74,7</w:t>
            </w:r>
          </w:p>
        </w:tc>
        <w:tc>
          <w:tcPr>
            <w:tcW w:w="848"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A21C38">
            <w:pPr>
              <w:shd w:val="clear" w:color="auto" w:fill="FFFFFF"/>
              <w:ind w:right="-117"/>
              <w:jc w:val="center"/>
              <w:rPr>
                <w:color w:val="000000"/>
                <w:sz w:val="16"/>
                <w:szCs w:val="16"/>
              </w:rPr>
            </w:pPr>
            <w:r w:rsidRPr="00294B35">
              <w:rPr>
                <w:color w:val="000000"/>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r>
      <w:tr w:rsidR="00C404B9" w:rsidRPr="00294B35" w:rsidTr="00A21C38">
        <w:trPr>
          <w:trHeight w:val="178"/>
        </w:trPr>
        <w:tc>
          <w:tcPr>
            <w:tcW w:w="428" w:type="dxa"/>
            <w:vMerge w:val="restart"/>
            <w:tcBorders>
              <w:top w:val="nil"/>
              <w:left w:val="single" w:sz="4" w:space="0" w:color="auto"/>
              <w:bottom w:val="single" w:sz="4" w:space="0" w:color="auto"/>
              <w:right w:val="single" w:sz="4" w:space="0" w:color="auto"/>
            </w:tcBorders>
            <w:shd w:val="clear" w:color="auto" w:fill="auto"/>
            <w:noWrap/>
            <w:hideMark/>
          </w:tcPr>
          <w:p w:rsidR="00C404B9" w:rsidRPr="00294B35" w:rsidRDefault="00C404B9" w:rsidP="00000E53">
            <w:pPr>
              <w:shd w:val="clear" w:color="auto" w:fill="FFFFFF"/>
              <w:jc w:val="center"/>
              <w:rPr>
                <w:color w:val="000000"/>
                <w:sz w:val="16"/>
                <w:szCs w:val="16"/>
              </w:rPr>
            </w:pPr>
            <w:r w:rsidRPr="00294B35">
              <w:rPr>
                <w:color w:val="000000"/>
                <w:sz w:val="16"/>
                <w:szCs w:val="16"/>
              </w:rPr>
              <w:t>2</w:t>
            </w:r>
          </w:p>
        </w:tc>
        <w:tc>
          <w:tcPr>
            <w:tcW w:w="2421" w:type="dxa"/>
            <w:tcBorders>
              <w:top w:val="nil"/>
              <w:left w:val="nil"/>
              <w:bottom w:val="single" w:sz="4" w:space="0" w:color="auto"/>
              <w:right w:val="single" w:sz="4" w:space="0" w:color="auto"/>
            </w:tcBorders>
            <w:shd w:val="clear" w:color="auto" w:fill="FFFFFF"/>
            <w:hideMark/>
          </w:tcPr>
          <w:p w:rsidR="00C404B9" w:rsidRPr="00294B35" w:rsidRDefault="00C404B9" w:rsidP="00000E53">
            <w:pPr>
              <w:shd w:val="clear" w:color="auto" w:fill="FFFFFF"/>
              <w:rPr>
                <w:b/>
                <w:bCs/>
                <w:color w:val="000000"/>
                <w:sz w:val="16"/>
                <w:szCs w:val="16"/>
              </w:rPr>
            </w:pPr>
            <w:r w:rsidRPr="00294B35">
              <w:rPr>
                <w:b/>
                <w:bCs/>
                <w:color w:val="000000"/>
                <w:sz w:val="16"/>
                <w:szCs w:val="16"/>
              </w:rPr>
              <w:t xml:space="preserve">Приобретение 13-ти квартир у застройщика в </w:t>
            </w:r>
            <w:proofErr w:type="spellStart"/>
            <w:r w:rsidRPr="00294B35">
              <w:rPr>
                <w:b/>
                <w:bCs/>
                <w:color w:val="000000"/>
                <w:sz w:val="16"/>
                <w:szCs w:val="16"/>
              </w:rPr>
              <w:t>с</w:t>
            </w:r>
            <w:r>
              <w:rPr>
                <w:b/>
                <w:bCs/>
                <w:color w:val="000000"/>
                <w:sz w:val="16"/>
                <w:szCs w:val="16"/>
              </w:rPr>
              <w:t>.</w:t>
            </w:r>
            <w:r w:rsidRPr="00294B35">
              <w:rPr>
                <w:b/>
                <w:bCs/>
                <w:color w:val="000000"/>
                <w:sz w:val="16"/>
                <w:szCs w:val="16"/>
              </w:rPr>
              <w:t>Сиреники</w:t>
            </w:r>
            <w:proofErr w:type="spellEnd"/>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12.02.2021</w:t>
            </w:r>
          </w:p>
        </w:tc>
        <w:tc>
          <w:tcPr>
            <w:tcW w:w="427"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13</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117 055,2</w:t>
            </w:r>
          </w:p>
        </w:tc>
        <w:tc>
          <w:tcPr>
            <w:tcW w:w="855"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0,0</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117 055,2</w:t>
            </w:r>
          </w:p>
        </w:tc>
        <w:tc>
          <w:tcPr>
            <w:tcW w:w="848"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A21C38">
            <w:pPr>
              <w:shd w:val="clear" w:color="auto" w:fill="FFFFFF"/>
              <w:ind w:right="-117"/>
              <w:jc w:val="center"/>
              <w:rPr>
                <w:b/>
                <w:bCs/>
                <w:color w:val="000000"/>
                <w:sz w:val="16"/>
                <w:szCs w:val="16"/>
              </w:rPr>
            </w:pPr>
            <w:r w:rsidRPr="00294B35">
              <w:rPr>
                <w:b/>
                <w:bCs/>
                <w:color w:val="000000"/>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0,0</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604,0</w:t>
            </w:r>
          </w:p>
        </w:tc>
      </w:tr>
      <w:tr w:rsidR="00C404B9" w:rsidRPr="00294B35" w:rsidTr="00A21C38">
        <w:trPr>
          <w:trHeight w:val="178"/>
        </w:trPr>
        <w:tc>
          <w:tcPr>
            <w:tcW w:w="428" w:type="dxa"/>
            <w:vMerge/>
            <w:tcBorders>
              <w:top w:val="nil"/>
              <w:left w:val="single" w:sz="4" w:space="0" w:color="auto"/>
              <w:bottom w:val="single" w:sz="4" w:space="0" w:color="auto"/>
              <w:right w:val="single" w:sz="4" w:space="0" w:color="auto"/>
            </w:tcBorders>
            <w:vAlign w:val="center"/>
            <w:hideMark/>
          </w:tcPr>
          <w:p w:rsidR="00C404B9" w:rsidRPr="00294B35" w:rsidRDefault="00C404B9" w:rsidP="00000E53">
            <w:pPr>
              <w:shd w:val="clear" w:color="auto" w:fill="FFFFFF"/>
              <w:rPr>
                <w:color w:val="000000"/>
                <w:sz w:val="16"/>
                <w:szCs w:val="16"/>
              </w:rPr>
            </w:pPr>
          </w:p>
        </w:tc>
        <w:tc>
          <w:tcPr>
            <w:tcW w:w="2421" w:type="dxa"/>
            <w:tcBorders>
              <w:top w:val="nil"/>
              <w:left w:val="nil"/>
              <w:bottom w:val="single" w:sz="4" w:space="0" w:color="auto"/>
              <w:right w:val="single" w:sz="4" w:space="0" w:color="auto"/>
            </w:tcBorders>
            <w:shd w:val="clear" w:color="auto" w:fill="FFFFFF"/>
            <w:hideMark/>
          </w:tcPr>
          <w:p w:rsidR="00C404B9" w:rsidRPr="00294B35" w:rsidRDefault="00C404B9" w:rsidP="00000E53">
            <w:pPr>
              <w:shd w:val="clear" w:color="auto" w:fill="FFFFFF"/>
              <w:rPr>
                <w:color w:val="000000"/>
                <w:sz w:val="16"/>
                <w:szCs w:val="16"/>
              </w:rPr>
            </w:pPr>
            <w:r w:rsidRPr="00294B35">
              <w:rPr>
                <w:color w:val="000000"/>
                <w:sz w:val="16"/>
                <w:szCs w:val="16"/>
              </w:rPr>
              <w:t>окружной бюджет</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427"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116 938,1</w:t>
            </w:r>
          </w:p>
        </w:tc>
        <w:tc>
          <w:tcPr>
            <w:tcW w:w="855"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116 938,1</w:t>
            </w:r>
          </w:p>
        </w:tc>
        <w:tc>
          <w:tcPr>
            <w:tcW w:w="848"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A21C38">
            <w:pPr>
              <w:shd w:val="clear" w:color="auto" w:fill="FFFFFF"/>
              <w:ind w:right="-117"/>
              <w:jc w:val="center"/>
              <w:rPr>
                <w:color w:val="000000"/>
                <w:sz w:val="16"/>
                <w:szCs w:val="16"/>
              </w:rPr>
            </w:pPr>
            <w:r w:rsidRPr="00294B35">
              <w:rPr>
                <w:color w:val="000000"/>
                <w:sz w:val="16"/>
                <w:szCs w:val="16"/>
              </w:rPr>
              <w:t>0,0</w:t>
            </w:r>
          </w:p>
        </w:tc>
        <w:tc>
          <w:tcPr>
            <w:tcW w:w="999"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r>
      <w:tr w:rsidR="00C404B9" w:rsidRPr="00294B35" w:rsidTr="00A21C38">
        <w:trPr>
          <w:trHeight w:val="178"/>
        </w:trPr>
        <w:tc>
          <w:tcPr>
            <w:tcW w:w="428" w:type="dxa"/>
            <w:vMerge/>
            <w:tcBorders>
              <w:top w:val="nil"/>
              <w:left w:val="single" w:sz="4" w:space="0" w:color="auto"/>
              <w:bottom w:val="single" w:sz="4" w:space="0" w:color="auto"/>
              <w:right w:val="single" w:sz="4" w:space="0" w:color="auto"/>
            </w:tcBorders>
            <w:vAlign w:val="center"/>
            <w:hideMark/>
          </w:tcPr>
          <w:p w:rsidR="00C404B9" w:rsidRPr="00294B35" w:rsidRDefault="00C404B9" w:rsidP="00000E53">
            <w:pPr>
              <w:shd w:val="clear" w:color="auto" w:fill="FFFFFF"/>
              <w:rPr>
                <w:color w:val="000000"/>
                <w:sz w:val="16"/>
                <w:szCs w:val="16"/>
              </w:rPr>
            </w:pPr>
          </w:p>
        </w:tc>
        <w:tc>
          <w:tcPr>
            <w:tcW w:w="2421" w:type="dxa"/>
            <w:tcBorders>
              <w:top w:val="nil"/>
              <w:left w:val="nil"/>
              <w:bottom w:val="single" w:sz="4" w:space="0" w:color="auto"/>
              <w:right w:val="single" w:sz="4" w:space="0" w:color="auto"/>
            </w:tcBorders>
            <w:shd w:val="clear" w:color="auto" w:fill="FFFFFF"/>
            <w:hideMark/>
          </w:tcPr>
          <w:p w:rsidR="00C404B9" w:rsidRPr="00294B35" w:rsidRDefault="00C404B9" w:rsidP="00000E53">
            <w:pPr>
              <w:shd w:val="clear" w:color="auto" w:fill="FFFFFF"/>
              <w:rPr>
                <w:color w:val="000000"/>
                <w:sz w:val="16"/>
                <w:szCs w:val="16"/>
              </w:rPr>
            </w:pPr>
            <w:r w:rsidRPr="00294B35">
              <w:rPr>
                <w:color w:val="000000"/>
                <w:sz w:val="16"/>
                <w:szCs w:val="16"/>
              </w:rPr>
              <w:t>местный бюджет</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427"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117,1</w:t>
            </w:r>
          </w:p>
        </w:tc>
        <w:tc>
          <w:tcPr>
            <w:tcW w:w="855"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117,1</w:t>
            </w:r>
          </w:p>
        </w:tc>
        <w:tc>
          <w:tcPr>
            <w:tcW w:w="848"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A21C38">
            <w:pPr>
              <w:shd w:val="clear" w:color="auto" w:fill="FFFFFF"/>
              <w:ind w:right="-117"/>
              <w:jc w:val="center"/>
              <w:rPr>
                <w:color w:val="000000"/>
                <w:sz w:val="16"/>
                <w:szCs w:val="16"/>
              </w:rPr>
            </w:pPr>
            <w:r w:rsidRPr="00294B35">
              <w:rPr>
                <w:color w:val="000000"/>
                <w:sz w:val="16"/>
                <w:szCs w:val="16"/>
              </w:rPr>
              <w:t>0,0</w:t>
            </w:r>
          </w:p>
        </w:tc>
        <w:tc>
          <w:tcPr>
            <w:tcW w:w="999"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r>
      <w:tr w:rsidR="00C404B9" w:rsidRPr="00294B35" w:rsidTr="00A21C38">
        <w:trPr>
          <w:trHeight w:val="178"/>
        </w:trPr>
        <w:tc>
          <w:tcPr>
            <w:tcW w:w="428" w:type="dxa"/>
            <w:vMerge w:val="restart"/>
            <w:tcBorders>
              <w:top w:val="nil"/>
              <w:left w:val="single" w:sz="4" w:space="0" w:color="auto"/>
              <w:bottom w:val="single" w:sz="4" w:space="0" w:color="auto"/>
              <w:right w:val="single" w:sz="4" w:space="0" w:color="auto"/>
            </w:tcBorders>
            <w:shd w:val="clear" w:color="auto" w:fill="auto"/>
            <w:noWrap/>
            <w:hideMark/>
          </w:tcPr>
          <w:p w:rsidR="00C404B9" w:rsidRPr="00294B35" w:rsidRDefault="00C404B9" w:rsidP="00000E53">
            <w:pPr>
              <w:shd w:val="clear" w:color="auto" w:fill="FFFFFF"/>
              <w:jc w:val="center"/>
              <w:rPr>
                <w:color w:val="000000"/>
                <w:sz w:val="16"/>
                <w:szCs w:val="16"/>
              </w:rPr>
            </w:pPr>
            <w:r w:rsidRPr="00294B35">
              <w:rPr>
                <w:color w:val="000000"/>
                <w:sz w:val="16"/>
                <w:szCs w:val="16"/>
              </w:rPr>
              <w:t>3</w:t>
            </w:r>
          </w:p>
        </w:tc>
        <w:tc>
          <w:tcPr>
            <w:tcW w:w="2421" w:type="dxa"/>
            <w:tcBorders>
              <w:top w:val="nil"/>
              <w:left w:val="nil"/>
              <w:bottom w:val="single" w:sz="4" w:space="0" w:color="auto"/>
              <w:right w:val="single" w:sz="4" w:space="0" w:color="auto"/>
            </w:tcBorders>
            <w:shd w:val="clear" w:color="auto" w:fill="FFFFFF"/>
            <w:hideMark/>
          </w:tcPr>
          <w:p w:rsidR="00C404B9" w:rsidRPr="00294B35" w:rsidRDefault="00C404B9" w:rsidP="00000E53">
            <w:pPr>
              <w:shd w:val="clear" w:color="auto" w:fill="FFFFFF"/>
              <w:rPr>
                <w:b/>
                <w:bCs/>
                <w:color w:val="000000"/>
                <w:sz w:val="16"/>
                <w:szCs w:val="16"/>
              </w:rPr>
            </w:pPr>
            <w:r w:rsidRPr="00294B35">
              <w:rPr>
                <w:b/>
                <w:bCs/>
                <w:color w:val="000000"/>
                <w:sz w:val="16"/>
                <w:szCs w:val="16"/>
              </w:rPr>
              <w:t>Приобретение 27-</w:t>
            </w:r>
            <w:r>
              <w:rPr>
                <w:b/>
                <w:bCs/>
                <w:color w:val="000000"/>
                <w:sz w:val="16"/>
                <w:szCs w:val="16"/>
              </w:rPr>
              <w:t>м</w:t>
            </w:r>
            <w:r w:rsidRPr="00294B35">
              <w:rPr>
                <w:b/>
                <w:bCs/>
                <w:color w:val="000000"/>
                <w:sz w:val="16"/>
                <w:szCs w:val="16"/>
              </w:rPr>
              <w:t xml:space="preserve">и квартир у застройщика в </w:t>
            </w:r>
            <w:proofErr w:type="spellStart"/>
            <w:r w:rsidRPr="00294B35">
              <w:rPr>
                <w:b/>
                <w:bCs/>
                <w:color w:val="000000"/>
                <w:sz w:val="16"/>
                <w:szCs w:val="16"/>
              </w:rPr>
              <w:t>с</w:t>
            </w:r>
            <w:r>
              <w:rPr>
                <w:b/>
                <w:bCs/>
                <w:color w:val="000000"/>
                <w:sz w:val="16"/>
                <w:szCs w:val="16"/>
              </w:rPr>
              <w:t>.</w:t>
            </w:r>
            <w:r w:rsidRPr="00294B35">
              <w:rPr>
                <w:b/>
                <w:bCs/>
                <w:color w:val="000000"/>
                <w:sz w:val="16"/>
                <w:szCs w:val="16"/>
              </w:rPr>
              <w:t>Сиреники</w:t>
            </w:r>
            <w:proofErr w:type="spellEnd"/>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26.03.2021</w:t>
            </w:r>
          </w:p>
        </w:tc>
        <w:tc>
          <w:tcPr>
            <w:tcW w:w="427"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39</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229 545,7</w:t>
            </w:r>
          </w:p>
        </w:tc>
        <w:tc>
          <w:tcPr>
            <w:tcW w:w="855"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0,0</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68 863,7</w:t>
            </w:r>
          </w:p>
        </w:tc>
        <w:tc>
          <w:tcPr>
            <w:tcW w:w="848"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A21C38">
            <w:pPr>
              <w:shd w:val="clear" w:color="auto" w:fill="FFFFFF"/>
              <w:ind w:right="-117"/>
              <w:jc w:val="center"/>
              <w:rPr>
                <w:b/>
                <w:bCs/>
                <w:color w:val="000000"/>
                <w:sz w:val="16"/>
                <w:szCs w:val="16"/>
              </w:rPr>
            </w:pPr>
            <w:r w:rsidRPr="00294B35">
              <w:rPr>
                <w:b/>
                <w:bCs/>
                <w:color w:val="000000"/>
                <w:sz w:val="16"/>
                <w:szCs w:val="16"/>
              </w:rPr>
              <w:t>160 682,0</w:t>
            </w:r>
          </w:p>
        </w:tc>
        <w:tc>
          <w:tcPr>
            <w:tcW w:w="999"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0,0</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1 191,0</w:t>
            </w:r>
          </w:p>
        </w:tc>
      </w:tr>
      <w:tr w:rsidR="00C404B9" w:rsidRPr="00294B35" w:rsidTr="00A21C38">
        <w:trPr>
          <w:trHeight w:val="178"/>
        </w:trPr>
        <w:tc>
          <w:tcPr>
            <w:tcW w:w="428" w:type="dxa"/>
            <w:vMerge/>
            <w:tcBorders>
              <w:top w:val="nil"/>
              <w:left w:val="single" w:sz="4" w:space="0" w:color="auto"/>
              <w:bottom w:val="single" w:sz="4" w:space="0" w:color="auto"/>
              <w:right w:val="single" w:sz="4" w:space="0" w:color="auto"/>
            </w:tcBorders>
            <w:vAlign w:val="center"/>
            <w:hideMark/>
          </w:tcPr>
          <w:p w:rsidR="00C404B9" w:rsidRPr="00294B35" w:rsidRDefault="00C404B9" w:rsidP="00000E53">
            <w:pPr>
              <w:shd w:val="clear" w:color="auto" w:fill="FFFFFF"/>
              <w:rPr>
                <w:color w:val="000000"/>
                <w:sz w:val="16"/>
                <w:szCs w:val="16"/>
              </w:rPr>
            </w:pPr>
          </w:p>
        </w:tc>
        <w:tc>
          <w:tcPr>
            <w:tcW w:w="2421" w:type="dxa"/>
            <w:tcBorders>
              <w:top w:val="nil"/>
              <w:left w:val="nil"/>
              <w:bottom w:val="single" w:sz="4" w:space="0" w:color="auto"/>
              <w:right w:val="single" w:sz="4" w:space="0" w:color="auto"/>
            </w:tcBorders>
            <w:shd w:val="clear" w:color="auto" w:fill="FFFFFF"/>
            <w:hideMark/>
          </w:tcPr>
          <w:p w:rsidR="00C404B9" w:rsidRPr="00294B35" w:rsidRDefault="00C404B9" w:rsidP="00000E53">
            <w:pPr>
              <w:shd w:val="clear" w:color="auto" w:fill="FFFFFF"/>
              <w:rPr>
                <w:color w:val="000000"/>
                <w:sz w:val="16"/>
                <w:szCs w:val="16"/>
              </w:rPr>
            </w:pPr>
            <w:r w:rsidRPr="00294B35">
              <w:rPr>
                <w:color w:val="000000"/>
                <w:sz w:val="16"/>
                <w:szCs w:val="16"/>
              </w:rPr>
              <w:t>окружной бюджет</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427"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229 316,2</w:t>
            </w:r>
          </w:p>
        </w:tc>
        <w:tc>
          <w:tcPr>
            <w:tcW w:w="855"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68 794,9</w:t>
            </w:r>
          </w:p>
        </w:tc>
        <w:tc>
          <w:tcPr>
            <w:tcW w:w="848"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A21C38">
            <w:pPr>
              <w:shd w:val="clear" w:color="auto" w:fill="FFFFFF"/>
              <w:ind w:right="-117"/>
              <w:jc w:val="center"/>
              <w:rPr>
                <w:color w:val="000000"/>
                <w:sz w:val="16"/>
                <w:szCs w:val="16"/>
              </w:rPr>
            </w:pPr>
            <w:r w:rsidRPr="00294B35">
              <w:rPr>
                <w:color w:val="000000"/>
                <w:sz w:val="16"/>
                <w:szCs w:val="16"/>
              </w:rPr>
              <w:t>160 521,3</w:t>
            </w:r>
          </w:p>
        </w:tc>
        <w:tc>
          <w:tcPr>
            <w:tcW w:w="999"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r>
      <w:tr w:rsidR="00C404B9" w:rsidRPr="00294B35" w:rsidTr="00A21C38">
        <w:trPr>
          <w:trHeight w:val="178"/>
        </w:trPr>
        <w:tc>
          <w:tcPr>
            <w:tcW w:w="428" w:type="dxa"/>
            <w:vMerge/>
            <w:tcBorders>
              <w:top w:val="nil"/>
              <w:left w:val="single" w:sz="4" w:space="0" w:color="auto"/>
              <w:bottom w:val="single" w:sz="4" w:space="0" w:color="auto"/>
              <w:right w:val="single" w:sz="4" w:space="0" w:color="auto"/>
            </w:tcBorders>
            <w:vAlign w:val="center"/>
            <w:hideMark/>
          </w:tcPr>
          <w:p w:rsidR="00C404B9" w:rsidRPr="00294B35" w:rsidRDefault="00C404B9" w:rsidP="00000E53">
            <w:pPr>
              <w:shd w:val="clear" w:color="auto" w:fill="FFFFFF"/>
              <w:rPr>
                <w:color w:val="000000"/>
                <w:sz w:val="16"/>
                <w:szCs w:val="16"/>
              </w:rPr>
            </w:pPr>
          </w:p>
        </w:tc>
        <w:tc>
          <w:tcPr>
            <w:tcW w:w="2421" w:type="dxa"/>
            <w:tcBorders>
              <w:top w:val="nil"/>
              <w:left w:val="nil"/>
              <w:bottom w:val="single" w:sz="4" w:space="0" w:color="auto"/>
              <w:right w:val="single" w:sz="4" w:space="0" w:color="auto"/>
            </w:tcBorders>
            <w:shd w:val="clear" w:color="auto" w:fill="FFFFFF"/>
            <w:hideMark/>
          </w:tcPr>
          <w:p w:rsidR="00C404B9" w:rsidRPr="00294B35" w:rsidRDefault="00C404B9" w:rsidP="00000E53">
            <w:pPr>
              <w:shd w:val="clear" w:color="auto" w:fill="FFFFFF"/>
              <w:rPr>
                <w:color w:val="000000"/>
                <w:sz w:val="16"/>
                <w:szCs w:val="16"/>
              </w:rPr>
            </w:pPr>
            <w:r w:rsidRPr="00294B35">
              <w:rPr>
                <w:color w:val="000000"/>
                <w:sz w:val="16"/>
                <w:szCs w:val="16"/>
              </w:rPr>
              <w:t>местный бюджет</w:t>
            </w:r>
          </w:p>
        </w:tc>
        <w:tc>
          <w:tcPr>
            <w:tcW w:w="996" w:type="dxa"/>
            <w:tcBorders>
              <w:top w:val="nil"/>
              <w:left w:val="nil"/>
              <w:bottom w:val="single" w:sz="4" w:space="0" w:color="auto"/>
              <w:right w:val="single" w:sz="4" w:space="0" w:color="auto"/>
            </w:tcBorders>
            <w:shd w:val="clear" w:color="auto" w:fill="FFFFFF"/>
            <w:noWrap/>
            <w:vAlign w:val="center"/>
            <w:hideMark/>
          </w:tcPr>
          <w:p w:rsidR="00C404B9" w:rsidRPr="00294B35" w:rsidRDefault="00C404B9" w:rsidP="00000E53">
            <w:pPr>
              <w:shd w:val="clear" w:color="auto" w:fill="FFFFFF"/>
              <w:jc w:val="center"/>
              <w:rPr>
                <w:rFonts w:cs="Calibri"/>
                <w:color w:val="000000"/>
                <w:sz w:val="16"/>
                <w:szCs w:val="16"/>
              </w:rPr>
            </w:pPr>
            <w:r w:rsidRPr="00294B35">
              <w:rPr>
                <w:rFonts w:cs="Calibri"/>
                <w:color w:val="000000"/>
                <w:sz w:val="16"/>
                <w:szCs w:val="16"/>
              </w:rPr>
              <w:t> </w:t>
            </w:r>
          </w:p>
        </w:tc>
        <w:tc>
          <w:tcPr>
            <w:tcW w:w="427" w:type="dxa"/>
            <w:tcBorders>
              <w:top w:val="nil"/>
              <w:left w:val="nil"/>
              <w:bottom w:val="single" w:sz="4" w:space="0" w:color="auto"/>
              <w:right w:val="single" w:sz="4" w:space="0" w:color="auto"/>
            </w:tcBorders>
            <w:shd w:val="clear" w:color="auto" w:fill="FFFFFF"/>
            <w:noWrap/>
            <w:vAlign w:val="center"/>
            <w:hideMark/>
          </w:tcPr>
          <w:p w:rsidR="00C404B9" w:rsidRPr="00294B35" w:rsidRDefault="00C404B9" w:rsidP="00000E53">
            <w:pPr>
              <w:shd w:val="clear" w:color="auto" w:fill="FFFFFF"/>
              <w:jc w:val="center"/>
              <w:rPr>
                <w:rFonts w:cs="Calibri"/>
                <w:color w:val="000000"/>
                <w:sz w:val="16"/>
                <w:szCs w:val="16"/>
              </w:rPr>
            </w:pPr>
            <w:r w:rsidRPr="00294B35">
              <w:rPr>
                <w:rFonts w:cs="Calibri"/>
                <w:color w:val="000000"/>
                <w:sz w:val="16"/>
                <w:szCs w:val="16"/>
              </w:rPr>
              <w:t> </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229,5</w:t>
            </w:r>
          </w:p>
        </w:tc>
        <w:tc>
          <w:tcPr>
            <w:tcW w:w="855"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68,8</w:t>
            </w:r>
          </w:p>
        </w:tc>
        <w:tc>
          <w:tcPr>
            <w:tcW w:w="848"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A21C38">
            <w:pPr>
              <w:shd w:val="clear" w:color="auto" w:fill="FFFFFF"/>
              <w:ind w:right="-117"/>
              <w:jc w:val="center"/>
              <w:rPr>
                <w:color w:val="000000"/>
                <w:sz w:val="16"/>
                <w:szCs w:val="16"/>
              </w:rPr>
            </w:pPr>
            <w:r w:rsidRPr="00294B35">
              <w:rPr>
                <w:color w:val="000000"/>
                <w:sz w:val="16"/>
                <w:szCs w:val="16"/>
              </w:rPr>
              <w:t>160,7</w:t>
            </w:r>
          </w:p>
        </w:tc>
        <w:tc>
          <w:tcPr>
            <w:tcW w:w="999"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r>
      <w:tr w:rsidR="00C404B9" w:rsidRPr="00294B35" w:rsidTr="00A21C38">
        <w:trPr>
          <w:trHeight w:val="178"/>
        </w:trPr>
        <w:tc>
          <w:tcPr>
            <w:tcW w:w="428" w:type="dxa"/>
            <w:vMerge w:val="restart"/>
            <w:tcBorders>
              <w:top w:val="nil"/>
              <w:left w:val="single" w:sz="4" w:space="0" w:color="auto"/>
              <w:bottom w:val="single" w:sz="4" w:space="0" w:color="auto"/>
              <w:right w:val="single" w:sz="4" w:space="0" w:color="auto"/>
            </w:tcBorders>
            <w:shd w:val="clear" w:color="auto" w:fill="auto"/>
            <w:noWrap/>
            <w:hideMark/>
          </w:tcPr>
          <w:p w:rsidR="00C404B9" w:rsidRPr="00294B35" w:rsidRDefault="00C404B9" w:rsidP="00000E53">
            <w:pPr>
              <w:shd w:val="clear" w:color="auto" w:fill="FFFFFF"/>
              <w:jc w:val="center"/>
              <w:rPr>
                <w:color w:val="000000"/>
                <w:sz w:val="16"/>
                <w:szCs w:val="16"/>
              </w:rPr>
            </w:pPr>
            <w:r w:rsidRPr="00294B35">
              <w:rPr>
                <w:color w:val="000000"/>
                <w:sz w:val="16"/>
                <w:szCs w:val="16"/>
              </w:rPr>
              <w:t>4</w:t>
            </w:r>
          </w:p>
        </w:tc>
        <w:tc>
          <w:tcPr>
            <w:tcW w:w="2421" w:type="dxa"/>
            <w:tcBorders>
              <w:top w:val="nil"/>
              <w:left w:val="nil"/>
              <w:bottom w:val="single" w:sz="4" w:space="0" w:color="auto"/>
              <w:right w:val="single" w:sz="4" w:space="0" w:color="auto"/>
            </w:tcBorders>
            <w:shd w:val="clear" w:color="auto" w:fill="FFFFFF"/>
            <w:hideMark/>
          </w:tcPr>
          <w:p w:rsidR="00C404B9" w:rsidRPr="00294B35" w:rsidRDefault="00C404B9" w:rsidP="00000E53">
            <w:pPr>
              <w:shd w:val="clear" w:color="auto" w:fill="FFFFFF"/>
              <w:rPr>
                <w:b/>
                <w:bCs/>
                <w:color w:val="000000"/>
                <w:sz w:val="16"/>
                <w:szCs w:val="16"/>
              </w:rPr>
            </w:pPr>
            <w:r w:rsidRPr="00294B35">
              <w:rPr>
                <w:b/>
                <w:bCs/>
                <w:color w:val="000000"/>
                <w:sz w:val="16"/>
                <w:szCs w:val="16"/>
              </w:rPr>
              <w:t xml:space="preserve">Приобретение 7-ми квартир у застройщика в </w:t>
            </w:r>
            <w:proofErr w:type="spellStart"/>
            <w:r w:rsidRPr="00294B35">
              <w:rPr>
                <w:b/>
                <w:bCs/>
                <w:color w:val="000000"/>
                <w:sz w:val="16"/>
                <w:szCs w:val="16"/>
              </w:rPr>
              <w:t>с</w:t>
            </w:r>
            <w:r>
              <w:rPr>
                <w:b/>
                <w:bCs/>
                <w:color w:val="000000"/>
                <w:sz w:val="16"/>
                <w:szCs w:val="16"/>
              </w:rPr>
              <w:t>.</w:t>
            </w:r>
            <w:r w:rsidRPr="00294B35">
              <w:rPr>
                <w:b/>
                <w:bCs/>
                <w:color w:val="000000"/>
                <w:sz w:val="16"/>
                <w:szCs w:val="16"/>
              </w:rPr>
              <w:t>Янракыннот</w:t>
            </w:r>
            <w:proofErr w:type="spellEnd"/>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20.07.2021</w:t>
            </w:r>
          </w:p>
        </w:tc>
        <w:tc>
          <w:tcPr>
            <w:tcW w:w="427"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73</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58 585,5</w:t>
            </w:r>
          </w:p>
        </w:tc>
        <w:tc>
          <w:tcPr>
            <w:tcW w:w="855"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0,0</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58 585,5</w:t>
            </w:r>
          </w:p>
        </w:tc>
        <w:tc>
          <w:tcPr>
            <w:tcW w:w="848"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A21C38">
            <w:pPr>
              <w:shd w:val="clear" w:color="auto" w:fill="FFFFFF"/>
              <w:ind w:right="-117"/>
              <w:jc w:val="center"/>
              <w:rPr>
                <w:b/>
                <w:bCs/>
                <w:color w:val="000000"/>
                <w:sz w:val="16"/>
                <w:szCs w:val="16"/>
              </w:rPr>
            </w:pPr>
            <w:r w:rsidRPr="00294B35">
              <w:rPr>
                <w:b/>
                <w:bCs/>
                <w:color w:val="000000"/>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0,0</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314,0</w:t>
            </w:r>
          </w:p>
        </w:tc>
      </w:tr>
      <w:tr w:rsidR="00C404B9" w:rsidRPr="00294B35" w:rsidTr="00A21C38">
        <w:trPr>
          <w:trHeight w:val="178"/>
        </w:trPr>
        <w:tc>
          <w:tcPr>
            <w:tcW w:w="428" w:type="dxa"/>
            <w:vMerge/>
            <w:tcBorders>
              <w:top w:val="nil"/>
              <w:left w:val="single" w:sz="4" w:space="0" w:color="auto"/>
              <w:bottom w:val="single" w:sz="4" w:space="0" w:color="auto"/>
              <w:right w:val="single" w:sz="4" w:space="0" w:color="auto"/>
            </w:tcBorders>
            <w:vAlign w:val="center"/>
            <w:hideMark/>
          </w:tcPr>
          <w:p w:rsidR="00C404B9" w:rsidRPr="00294B35" w:rsidRDefault="00C404B9" w:rsidP="00000E53">
            <w:pPr>
              <w:shd w:val="clear" w:color="auto" w:fill="FFFFFF"/>
              <w:rPr>
                <w:color w:val="000000"/>
                <w:sz w:val="16"/>
                <w:szCs w:val="16"/>
              </w:rPr>
            </w:pPr>
          </w:p>
        </w:tc>
        <w:tc>
          <w:tcPr>
            <w:tcW w:w="2421" w:type="dxa"/>
            <w:tcBorders>
              <w:top w:val="nil"/>
              <w:left w:val="nil"/>
              <w:bottom w:val="single" w:sz="4" w:space="0" w:color="auto"/>
              <w:right w:val="single" w:sz="4" w:space="0" w:color="auto"/>
            </w:tcBorders>
            <w:shd w:val="clear" w:color="auto" w:fill="FFFFFF"/>
            <w:hideMark/>
          </w:tcPr>
          <w:p w:rsidR="00C404B9" w:rsidRPr="00294B35" w:rsidRDefault="00C404B9" w:rsidP="00000E53">
            <w:pPr>
              <w:shd w:val="clear" w:color="auto" w:fill="FFFFFF"/>
              <w:rPr>
                <w:color w:val="000000"/>
                <w:sz w:val="16"/>
                <w:szCs w:val="16"/>
              </w:rPr>
            </w:pPr>
            <w:r w:rsidRPr="00294B35">
              <w:rPr>
                <w:color w:val="000000"/>
                <w:sz w:val="16"/>
                <w:szCs w:val="16"/>
              </w:rPr>
              <w:t>окружной бюджет</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427"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58 526,9</w:t>
            </w:r>
          </w:p>
        </w:tc>
        <w:tc>
          <w:tcPr>
            <w:tcW w:w="855"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58 526,9</w:t>
            </w:r>
          </w:p>
        </w:tc>
        <w:tc>
          <w:tcPr>
            <w:tcW w:w="848"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A21C38">
            <w:pPr>
              <w:shd w:val="clear" w:color="auto" w:fill="FFFFFF"/>
              <w:ind w:right="-117"/>
              <w:jc w:val="center"/>
              <w:rPr>
                <w:color w:val="000000"/>
                <w:sz w:val="16"/>
                <w:szCs w:val="16"/>
              </w:rPr>
            </w:pPr>
            <w:r w:rsidRPr="00294B35">
              <w:rPr>
                <w:color w:val="000000"/>
                <w:sz w:val="16"/>
                <w:szCs w:val="16"/>
              </w:rPr>
              <w:t>0,0</w:t>
            </w:r>
          </w:p>
        </w:tc>
        <w:tc>
          <w:tcPr>
            <w:tcW w:w="999"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r>
      <w:tr w:rsidR="00C404B9" w:rsidRPr="00294B35" w:rsidTr="00A21C38">
        <w:trPr>
          <w:trHeight w:val="178"/>
        </w:trPr>
        <w:tc>
          <w:tcPr>
            <w:tcW w:w="428" w:type="dxa"/>
            <w:vMerge/>
            <w:tcBorders>
              <w:top w:val="nil"/>
              <w:left w:val="single" w:sz="4" w:space="0" w:color="auto"/>
              <w:bottom w:val="single" w:sz="4" w:space="0" w:color="auto"/>
              <w:right w:val="single" w:sz="4" w:space="0" w:color="auto"/>
            </w:tcBorders>
            <w:vAlign w:val="center"/>
            <w:hideMark/>
          </w:tcPr>
          <w:p w:rsidR="00C404B9" w:rsidRPr="00294B35" w:rsidRDefault="00C404B9" w:rsidP="00000E53">
            <w:pPr>
              <w:shd w:val="clear" w:color="auto" w:fill="FFFFFF"/>
              <w:rPr>
                <w:color w:val="000000"/>
                <w:sz w:val="16"/>
                <w:szCs w:val="16"/>
              </w:rPr>
            </w:pPr>
          </w:p>
        </w:tc>
        <w:tc>
          <w:tcPr>
            <w:tcW w:w="2421" w:type="dxa"/>
            <w:tcBorders>
              <w:top w:val="nil"/>
              <w:left w:val="nil"/>
              <w:bottom w:val="single" w:sz="4" w:space="0" w:color="auto"/>
              <w:right w:val="single" w:sz="4" w:space="0" w:color="auto"/>
            </w:tcBorders>
            <w:shd w:val="clear" w:color="auto" w:fill="FFFFFF"/>
            <w:hideMark/>
          </w:tcPr>
          <w:p w:rsidR="00C404B9" w:rsidRPr="00294B35" w:rsidRDefault="00C404B9" w:rsidP="00000E53">
            <w:pPr>
              <w:shd w:val="clear" w:color="auto" w:fill="FFFFFF"/>
              <w:rPr>
                <w:color w:val="000000"/>
                <w:sz w:val="16"/>
                <w:szCs w:val="16"/>
              </w:rPr>
            </w:pPr>
            <w:r w:rsidRPr="00294B35">
              <w:rPr>
                <w:color w:val="000000"/>
                <w:sz w:val="16"/>
                <w:szCs w:val="16"/>
              </w:rPr>
              <w:t>местный бюджет</w:t>
            </w:r>
          </w:p>
        </w:tc>
        <w:tc>
          <w:tcPr>
            <w:tcW w:w="996" w:type="dxa"/>
            <w:tcBorders>
              <w:top w:val="nil"/>
              <w:left w:val="nil"/>
              <w:bottom w:val="single" w:sz="4" w:space="0" w:color="auto"/>
              <w:right w:val="single" w:sz="4" w:space="0" w:color="auto"/>
            </w:tcBorders>
            <w:shd w:val="clear" w:color="auto" w:fill="FFFFFF"/>
            <w:noWrap/>
            <w:vAlign w:val="center"/>
            <w:hideMark/>
          </w:tcPr>
          <w:p w:rsidR="00C404B9" w:rsidRPr="00294B35" w:rsidRDefault="00C404B9" w:rsidP="00000E53">
            <w:pPr>
              <w:shd w:val="clear" w:color="auto" w:fill="FFFFFF"/>
              <w:jc w:val="center"/>
              <w:rPr>
                <w:rFonts w:cs="Calibri"/>
                <w:color w:val="000000"/>
                <w:sz w:val="16"/>
                <w:szCs w:val="16"/>
              </w:rPr>
            </w:pPr>
            <w:r w:rsidRPr="00294B35">
              <w:rPr>
                <w:rFonts w:cs="Calibri"/>
                <w:color w:val="000000"/>
                <w:sz w:val="16"/>
                <w:szCs w:val="16"/>
              </w:rPr>
              <w:t> </w:t>
            </w:r>
          </w:p>
        </w:tc>
        <w:tc>
          <w:tcPr>
            <w:tcW w:w="427" w:type="dxa"/>
            <w:tcBorders>
              <w:top w:val="nil"/>
              <w:left w:val="nil"/>
              <w:bottom w:val="single" w:sz="4" w:space="0" w:color="auto"/>
              <w:right w:val="single" w:sz="4" w:space="0" w:color="auto"/>
            </w:tcBorders>
            <w:shd w:val="clear" w:color="auto" w:fill="FFFFFF"/>
            <w:noWrap/>
            <w:vAlign w:val="center"/>
            <w:hideMark/>
          </w:tcPr>
          <w:p w:rsidR="00C404B9" w:rsidRPr="00294B35" w:rsidRDefault="00C404B9" w:rsidP="00000E53">
            <w:pPr>
              <w:shd w:val="clear" w:color="auto" w:fill="FFFFFF"/>
              <w:jc w:val="center"/>
              <w:rPr>
                <w:rFonts w:cs="Calibri"/>
                <w:color w:val="000000"/>
                <w:sz w:val="16"/>
                <w:szCs w:val="16"/>
              </w:rPr>
            </w:pPr>
            <w:r w:rsidRPr="00294B35">
              <w:rPr>
                <w:rFonts w:cs="Calibri"/>
                <w:color w:val="000000"/>
                <w:sz w:val="16"/>
                <w:szCs w:val="16"/>
              </w:rPr>
              <w:t> </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58,6</w:t>
            </w:r>
          </w:p>
        </w:tc>
        <w:tc>
          <w:tcPr>
            <w:tcW w:w="855"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58,6</w:t>
            </w:r>
          </w:p>
        </w:tc>
        <w:tc>
          <w:tcPr>
            <w:tcW w:w="848"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A21C38">
            <w:pPr>
              <w:shd w:val="clear" w:color="auto" w:fill="FFFFFF"/>
              <w:ind w:right="-117"/>
              <w:jc w:val="center"/>
              <w:rPr>
                <w:color w:val="000000"/>
                <w:sz w:val="16"/>
                <w:szCs w:val="16"/>
              </w:rPr>
            </w:pPr>
            <w:r w:rsidRPr="00294B35">
              <w:rPr>
                <w:color w:val="000000"/>
                <w:sz w:val="16"/>
                <w:szCs w:val="16"/>
              </w:rPr>
              <w:t>0,0</w:t>
            </w:r>
          </w:p>
        </w:tc>
        <w:tc>
          <w:tcPr>
            <w:tcW w:w="999"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r>
      <w:tr w:rsidR="00C404B9" w:rsidRPr="00294B35" w:rsidTr="00A21C38">
        <w:trPr>
          <w:trHeight w:val="178"/>
        </w:trPr>
        <w:tc>
          <w:tcPr>
            <w:tcW w:w="428" w:type="dxa"/>
            <w:vMerge w:val="restart"/>
            <w:tcBorders>
              <w:top w:val="nil"/>
              <w:left w:val="single" w:sz="4" w:space="0" w:color="auto"/>
              <w:bottom w:val="single" w:sz="4" w:space="0" w:color="auto"/>
              <w:right w:val="single" w:sz="4" w:space="0" w:color="auto"/>
            </w:tcBorders>
            <w:shd w:val="clear" w:color="auto" w:fill="auto"/>
            <w:noWrap/>
            <w:hideMark/>
          </w:tcPr>
          <w:p w:rsidR="00C404B9" w:rsidRPr="00294B35" w:rsidRDefault="00C404B9" w:rsidP="00000E53">
            <w:pPr>
              <w:shd w:val="clear" w:color="auto" w:fill="FFFFFF"/>
              <w:jc w:val="center"/>
              <w:rPr>
                <w:color w:val="000000"/>
                <w:sz w:val="16"/>
                <w:szCs w:val="16"/>
              </w:rPr>
            </w:pPr>
            <w:r w:rsidRPr="00294B35">
              <w:rPr>
                <w:color w:val="000000"/>
                <w:sz w:val="16"/>
                <w:szCs w:val="16"/>
              </w:rPr>
              <w:t>5</w:t>
            </w:r>
          </w:p>
        </w:tc>
        <w:tc>
          <w:tcPr>
            <w:tcW w:w="2421" w:type="dxa"/>
            <w:tcBorders>
              <w:top w:val="nil"/>
              <w:left w:val="nil"/>
              <w:bottom w:val="single" w:sz="4" w:space="0" w:color="auto"/>
              <w:right w:val="single" w:sz="4" w:space="0" w:color="auto"/>
            </w:tcBorders>
            <w:shd w:val="clear" w:color="auto" w:fill="auto"/>
            <w:hideMark/>
          </w:tcPr>
          <w:p w:rsidR="00C404B9" w:rsidRPr="00294B35" w:rsidRDefault="00C404B9" w:rsidP="00000E53">
            <w:pPr>
              <w:shd w:val="clear" w:color="auto" w:fill="FFFFFF"/>
              <w:rPr>
                <w:b/>
                <w:bCs/>
                <w:color w:val="000000"/>
                <w:sz w:val="16"/>
                <w:szCs w:val="16"/>
              </w:rPr>
            </w:pPr>
            <w:r w:rsidRPr="00294B35">
              <w:rPr>
                <w:b/>
                <w:bCs/>
                <w:color w:val="000000"/>
                <w:sz w:val="16"/>
                <w:szCs w:val="16"/>
              </w:rPr>
              <w:t>Строительство жилых домов в с</w:t>
            </w:r>
            <w:r>
              <w:rPr>
                <w:b/>
                <w:bCs/>
                <w:color w:val="000000"/>
                <w:sz w:val="16"/>
                <w:szCs w:val="16"/>
              </w:rPr>
              <w:t>.</w:t>
            </w:r>
            <w:r w:rsidRPr="00294B35">
              <w:rPr>
                <w:b/>
                <w:bCs/>
                <w:color w:val="000000"/>
                <w:sz w:val="16"/>
                <w:szCs w:val="16"/>
              </w:rPr>
              <w:t xml:space="preserve"> </w:t>
            </w:r>
            <w:proofErr w:type="spellStart"/>
            <w:r w:rsidRPr="00294B35">
              <w:rPr>
                <w:b/>
                <w:bCs/>
                <w:color w:val="000000"/>
                <w:sz w:val="16"/>
                <w:szCs w:val="16"/>
              </w:rPr>
              <w:t>Нунлигран</w:t>
            </w:r>
            <w:proofErr w:type="spellEnd"/>
          </w:p>
        </w:tc>
        <w:tc>
          <w:tcPr>
            <w:tcW w:w="996" w:type="dxa"/>
            <w:tcBorders>
              <w:top w:val="nil"/>
              <w:left w:val="nil"/>
              <w:bottom w:val="single" w:sz="4" w:space="0" w:color="auto"/>
              <w:right w:val="single" w:sz="4" w:space="0" w:color="auto"/>
            </w:tcBorders>
            <w:shd w:val="clear" w:color="000000" w:fill="FFFFFF"/>
            <w:vAlign w:val="center"/>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01.02.2022</w:t>
            </w:r>
          </w:p>
        </w:tc>
        <w:tc>
          <w:tcPr>
            <w:tcW w:w="427"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20</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279 645,6</w:t>
            </w:r>
          </w:p>
        </w:tc>
        <w:tc>
          <w:tcPr>
            <w:tcW w:w="855"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0,0</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0,0</w:t>
            </w:r>
          </w:p>
        </w:tc>
        <w:tc>
          <w:tcPr>
            <w:tcW w:w="848"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A21C38">
            <w:pPr>
              <w:shd w:val="clear" w:color="auto" w:fill="FFFFFF"/>
              <w:ind w:right="-117"/>
              <w:jc w:val="center"/>
              <w:rPr>
                <w:b/>
                <w:bCs/>
                <w:color w:val="000000"/>
                <w:sz w:val="16"/>
                <w:szCs w:val="16"/>
              </w:rPr>
            </w:pPr>
            <w:r w:rsidRPr="00294B35">
              <w:rPr>
                <w:b/>
                <w:bCs/>
                <w:color w:val="000000"/>
                <w:sz w:val="16"/>
                <w:szCs w:val="16"/>
              </w:rPr>
              <w:t>46 141,5</w:t>
            </w:r>
          </w:p>
        </w:tc>
        <w:tc>
          <w:tcPr>
            <w:tcW w:w="999"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233 504,1</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1 163,6</w:t>
            </w:r>
          </w:p>
        </w:tc>
      </w:tr>
      <w:tr w:rsidR="00C404B9" w:rsidRPr="00294B35" w:rsidTr="00A21C38">
        <w:trPr>
          <w:trHeight w:val="178"/>
        </w:trPr>
        <w:tc>
          <w:tcPr>
            <w:tcW w:w="428" w:type="dxa"/>
            <w:vMerge/>
            <w:tcBorders>
              <w:top w:val="nil"/>
              <w:left w:val="single" w:sz="4" w:space="0" w:color="auto"/>
              <w:bottom w:val="single" w:sz="4" w:space="0" w:color="auto"/>
              <w:right w:val="single" w:sz="4" w:space="0" w:color="auto"/>
            </w:tcBorders>
            <w:vAlign w:val="center"/>
            <w:hideMark/>
          </w:tcPr>
          <w:p w:rsidR="00C404B9" w:rsidRPr="00294B35" w:rsidRDefault="00C404B9" w:rsidP="00000E53">
            <w:pPr>
              <w:shd w:val="clear" w:color="auto" w:fill="FFFFFF"/>
              <w:rPr>
                <w:color w:val="000000"/>
                <w:sz w:val="16"/>
                <w:szCs w:val="16"/>
              </w:rPr>
            </w:pPr>
          </w:p>
        </w:tc>
        <w:tc>
          <w:tcPr>
            <w:tcW w:w="2421" w:type="dxa"/>
            <w:tcBorders>
              <w:top w:val="nil"/>
              <w:left w:val="nil"/>
              <w:bottom w:val="single" w:sz="4" w:space="0" w:color="auto"/>
              <w:right w:val="single" w:sz="4" w:space="0" w:color="auto"/>
            </w:tcBorders>
            <w:shd w:val="clear" w:color="auto" w:fill="auto"/>
            <w:hideMark/>
          </w:tcPr>
          <w:p w:rsidR="00C404B9" w:rsidRPr="00294B35" w:rsidRDefault="00C404B9" w:rsidP="00000E53">
            <w:pPr>
              <w:shd w:val="clear" w:color="auto" w:fill="FFFFFF"/>
              <w:rPr>
                <w:color w:val="000000"/>
                <w:sz w:val="16"/>
                <w:szCs w:val="16"/>
              </w:rPr>
            </w:pPr>
            <w:r w:rsidRPr="00294B35">
              <w:rPr>
                <w:color w:val="000000"/>
                <w:sz w:val="16"/>
                <w:szCs w:val="16"/>
              </w:rPr>
              <w:t>окружной бюджет</w:t>
            </w:r>
          </w:p>
        </w:tc>
        <w:tc>
          <w:tcPr>
            <w:tcW w:w="996" w:type="dxa"/>
            <w:tcBorders>
              <w:top w:val="nil"/>
              <w:left w:val="nil"/>
              <w:bottom w:val="single" w:sz="4" w:space="0" w:color="auto"/>
              <w:right w:val="single" w:sz="4" w:space="0" w:color="auto"/>
            </w:tcBorders>
            <w:shd w:val="clear" w:color="000000" w:fill="FFFFFF"/>
            <w:noWrap/>
            <w:vAlign w:val="center"/>
            <w:hideMark/>
          </w:tcPr>
          <w:p w:rsidR="00C404B9" w:rsidRPr="00294B35" w:rsidRDefault="00C404B9" w:rsidP="00000E53">
            <w:pPr>
              <w:shd w:val="clear" w:color="auto" w:fill="FFFFFF"/>
              <w:jc w:val="center"/>
              <w:rPr>
                <w:rFonts w:cs="Calibri"/>
                <w:color w:val="000000"/>
                <w:sz w:val="16"/>
                <w:szCs w:val="16"/>
              </w:rPr>
            </w:pPr>
            <w:r w:rsidRPr="00294B35">
              <w:rPr>
                <w:rFonts w:cs="Calibri"/>
                <w:color w:val="000000"/>
                <w:sz w:val="16"/>
                <w:szCs w:val="16"/>
              </w:rPr>
              <w:t> </w:t>
            </w:r>
          </w:p>
        </w:tc>
        <w:tc>
          <w:tcPr>
            <w:tcW w:w="427"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rFonts w:cs="Calibri"/>
                <w:color w:val="000000"/>
                <w:sz w:val="16"/>
                <w:szCs w:val="16"/>
              </w:rPr>
            </w:pPr>
            <w:r w:rsidRPr="00294B35">
              <w:rPr>
                <w:rFonts w:cs="Calibri"/>
                <w:color w:val="000000"/>
                <w:sz w:val="16"/>
                <w:szCs w:val="16"/>
              </w:rPr>
              <w:t> </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279 365,4</w:t>
            </w:r>
          </w:p>
        </w:tc>
        <w:tc>
          <w:tcPr>
            <w:tcW w:w="855"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848"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A21C38">
            <w:pPr>
              <w:shd w:val="clear" w:color="auto" w:fill="FFFFFF"/>
              <w:ind w:right="-117"/>
              <w:jc w:val="center"/>
              <w:rPr>
                <w:color w:val="000000"/>
                <w:sz w:val="16"/>
                <w:szCs w:val="16"/>
              </w:rPr>
            </w:pPr>
            <w:r w:rsidRPr="00294B35">
              <w:rPr>
                <w:color w:val="000000"/>
                <w:sz w:val="16"/>
                <w:szCs w:val="16"/>
              </w:rPr>
              <w:t>46 095,4</w:t>
            </w:r>
          </w:p>
        </w:tc>
        <w:tc>
          <w:tcPr>
            <w:tcW w:w="999"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233 270,0</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r>
      <w:tr w:rsidR="00C404B9" w:rsidRPr="00294B35" w:rsidTr="00A21C38">
        <w:trPr>
          <w:trHeight w:val="178"/>
        </w:trPr>
        <w:tc>
          <w:tcPr>
            <w:tcW w:w="428" w:type="dxa"/>
            <w:vMerge/>
            <w:tcBorders>
              <w:top w:val="nil"/>
              <w:left w:val="single" w:sz="4" w:space="0" w:color="auto"/>
              <w:bottom w:val="single" w:sz="4" w:space="0" w:color="auto"/>
              <w:right w:val="single" w:sz="4" w:space="0" w:color="auto"/>
            </w:tcBorders>
            <w:vAlign w:val="center"/>
            <w:hideMark/>
          </w:tcPr>
          <w:p w:rsidR="00C404B9" w:rsidRPr="00294B35" w:rsidRDefault="00C404B9" w:rsidP="00000E53">
            <w:pPr>
              <w:shd w:val="clear" w:color="auto" w:fill="FFFFFF"/>
              <w:rPr>
                <w:color w:val="000000"/>
                <w:sz w:val="16"/>
                <w:szCs w:val="16"/>
              </w:rPr>
            </w:pPr>
          </w:p>
        </w:tc>
        <w:tc>
          <w:tcPr>
            <w:tcW w:w="2421" w:type="dxa"/>
            <w:tcBorders>
              <w:top w:val="nil"/>
              <w:left w:val="nil"/>
              <w:bottom w:val="single" w:sz="4" w:space="0" w:color="auto"/>
              <w:right w:val="single" w:sz="4" w:space="0" w:color="auto"/>
            </w:tcBorders>
            <w:shd w:val="clear" w:color="auto" w:fill="auto"/>
            <w:hideMark/>
          </w:tcPr>
          <w:p w:rsidR="00C404B9" w:rsidRPr="00294B35" w:rsidRDefault="00C404B9" w:rsidP="00000E53">
            <w:pPr>
              <w:shd w:val="clear" w:color="auto" w:fill="FFFFFF"/>
              <w:rPr>
                <w:color w:val="000000"/>
                <w:sz w:val="16"/>
                <w:szCs w:val="16"/>
              </w:rPr>
            </w:pPr>
            <w:r w:rsidRPr="00294B35">
              <w:rPr>
                <w:color w:val="000000"/>
                <w:sz w:val="16"/>
                <w:szCs w:val="16"/>
              </w:rPr>
              <w:t>местный бюджет</w:t>
            </w:r>
          </w:p>
        </w:tc>
        <w:tc>
          <w:tcPr>
            <w:tcW w:w="996" w:type="dxa"/>
            <w:tcBorders>
              <w:top w:val="nil"/>
              <w:left w:val="nil"/>
              <w:bottom w:val="single" w:sz="4" w:space="0" w:color="auto"/>
              <w:right w:val="single" w:sz="4" w:space="0" w:color="auto"/>
            </w:tcBorders>
            <w:shd w:val="clear" w:color="000000" w:fill="FFFFFF"/>
            <w:noWrap/>
            <w:vAlign w:val="center"/>
            <w:hideMark/>
          </w:tcPr>
          <w:p w:rsidR="00C404B9" w:rsidRPr="00294B35" w:rsidRDefault="00C404B9" w:rsidP="00000E53">
            <w:pPr>
              <w:shd w:val="clear" w:color="auto" w:fill="FFFFFF"/>
              <w:jc w:val="center"/>
              <w:rPr>
                <w:rFonts w:cs="Calibri"/>
                <w:color w:val="000000"/>
                <w:sz w:val="16"/>
                <w:szCs w:val="16"/>
              </w:rPr>
            </w:pPr>
            <w:r w:rsidRPr="00294B35">
              <w:rPr>
                <w:rFonts w:cs="Calibri"/>
                <w:color w:val="000000"/>
                <w:sz w:val="16"/>
                <w:szCs w:val="16"/>
              </w:rPr>
              <w:t> </w:t>
            </w:r>
          </w:p>
        </w:tc>
        <w:tc>
          <w:tcPr>
            <w:tcW w:w="427"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rFonts w:cs="Calibri"/>
                <w:color w:val="000000"/>
                <w:sz w:val="16"/>
                <w:szCs w:val="16"/>
              </w:rPr>
            </w:pPr>
            <w:r w:rsidRPr="00294B35">
              <w:rPr>
                <w:rFonts w:cs="Calibri"/>
                <w:color w:val="000000"/>
                <w:sz w:val="16"/>
                <w:szCs w:val="16"/>
              </w:rPr>
              <w:t> </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280,2</w:t>
            </w:r>
          </w:p>
        </w:tc>
        <w:tc>
          <w:tcPr>
            <w:tcW w:w="855"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848"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A21C38">
            <w:pPr>
              <w:shd w:val="clear" w:color="auto" w:fill="FFFFFF"/>
              <w:ind w:right="-117"/>
              <w:jc w:val="center"/>
              <w:rPr>
                <w:color w:val="000000"/>
                <w:sz w:val="16"/>
                <w:szCs w:val="16"/>
              </w:rPr>
            </w:pPr>
            <w:r w:rsidRPr="00294B35">
              <w:rPr>
                <w:color w:val="000000"/>
                <w:sz w:val="16"/>
                <w:szCs w:val="16"/>
              </w:rPr>
              <w:t>46,1</w:t>
            </w:r>
          </w:p>
        </w:tc>
        <w:tc>
          <w:tcPr>
            <w:tcW w:w="999"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234,1</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r>
      <w:tr w:rsidR="00C404B9" w:rsidRPr="00294B35" w:rsidTr="00A21C38">
        <w:trPr>
          <w:trHeight w:val="178"/>
        </w:trPr>
        <w:tc>
          <w:tcPr>
            <w:tcW w:w="428" w:type="dxa"/>
            <w:vMerge w:val="restart"/>
            <w:tcBorders>
              <w:top w:val="nil"/>
              <w:left w:val="single" w:sz="4" w:space="0" w:color="auto"/>
              <w:bottom w:val="single" w:sz="4" w:space="0" w:color="auto"/>
              <w:right w:val="single" w:sz="4" w:space="0" w:color="auto"/>
            </w:tcBorders>
            <w:shd w:val="clear" w:color="auto" w:fill="auto"/>
            <w:noWrap/>
            <w:hideMark/>
          </w:tcPr>
          <w:p w:rsidR="00C404B9" w:rsidRPr="00294B35" w:rsidRDefault="00C404B9" w:rsidP="00000E53">
            <w:pPr>
              <w:shd w:val="clear" w:color="auto" w:fill="FFFFFF"/>
              <w:jc w:val="center"/>
              <w:rPr>
                <w:color w:val="000000"/>
                <w:sz w:val="16"/>
                <w:szCs w:val="16"/>
              </w:rPr>
            </w:pPr>
            <w:r w:rsidRPr="00294B35">
              <w:rPr>
                <w:color w:val="000000"/>
                <w:sz w:val="16"/>
                <w:szCs w:val="16"/>
              </w:rPr>
              <w:t>6</w:t>
            </w:r>
          </w:p>
        </w:tc>
        <w:tc>
          <w:tcPr>
            <w:tcW w:w="2421" w:type="dxa"/>
            <w:tcBorders>
              <w:top w:val="nil"/>
              <w:left w:val="nil"/>
              <w:bottom w:val="single" w:sz="4" w:space="0" w:color="auto"/>
              <w:right w:val="single" w:sz="4" w:space="0" w:color="auto"/>
            </w:tcBorders>
            <w:shd w:val="clear" w:color="auto" w:fill="auto"/>
            <w:hideMark/>
          </w:tcPr>
          <w:p w:rsidR="00C404B9" w:rsidRPr="00294B35" w:rsidRDefault="00C404B9" w:rsidP="00000E53">
            <w:pPr>
              <w:shd w:val="clear" w:color="auto" w:fill="FFFFFF"/>
              <w:rPr>
                <w:b/>
                <w:bCs/>
                <w:color w:val="000000"/>
                <w:sz w:val="16"/>
                <w:szCs w:val="16"/>
              </w:rPr>
            </w:pPr>
            <w:r w:rsidRPr="00294B35">
              <w:rPr>
                <w:b/>
                <w:bCs/>
                <w:color w:val="000000"/>
                <w:sz w:val="16"/>
                <w:szCs w:val="16"/>
              </w:rPr>
              <w:t>Строительство жилых домов в с</w:t>
            </w:r>
            <w:r>
              <w:rPr>
                <w:b/>
                <w:bCs/>
                <w:color w:val="000000"/>
                <w:sz w:val="16"/>
                <w:szCs w:val="16"/>
              </w:rPr>
              <w:t>.</w:t>
            </w:r>
            <w:r w:rsidRPr="00294B35">
              <w:rPr>
                <w:b/>
                <w:bCs/>
                <w:color w:val="000000"/>
                <w:sz w:val="16"/>
                <w:szCs w:val="16"/>
              </w:rPr>
              <w:t xml:space="preserve"> </w:t>
            </w:r>
            <w:proofErr w:type="spellStart"/>
            <w:r w:rsidRPr="00294B35">
              <w:rPr>
                <w:b/>
                <w:bCs/>
                <w:color w:val="000000"/>
                <w:sz w:val="16"/>
                <w:szCs w:val="16"/>
              </w:rPr>
              <w:t>Сиреники</w:t>
            </w:r>
            <w:proofErr w:type="spellEnd"/>
          </w:p>
        </w:tc>
        <w:tc>
          <w:tcPr>
            <w:tcW w:w="996" w:type="dxa"/>
            <w:tcBorders>
              <w:top w:val="nil"/>
              <w:left w:val="nil"/>
              <w:bottom w:val="single" w:sz="4" w:space="0" w:color="auto"/>
              <w:right w:val="single" w:sz="4" w:space="0" w:color="auto"/>
            </w:tcBorders>
            <w:shd w:val="clear" w:color="000000" w:fill="FFFFFF"/>
            <w:vAlign w:val="center"/>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10.02.2022</w:t>
            </w:r>
          </w:p>
        </w:tc>
        <w:tc>
          <w:tcPr>
            <w:tcW w:w="427"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24</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118 061,1</w:t>
            </w:r>
          </w:p>
        </w:tc>
        <w:tc>
          <w:tcPr>
            <w:tcW w:w="855"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0,0</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0,0</w:t>
            </w:r>
          </w:p>
        </w:tc>
        <w:tc>
          <w:tcPr>
            <w:tcW w:w="848"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A21C38">
            <w:pPr>
              <w:shd w:val="clear" w:color="auto" w:fill="FFFFFF"/>
              <w:ind w:right="-117"/>
              <w:jc w:val="center"/>
              <w:rPr>
                <w:b/>
                <w:bCs/>
                <w:color w:val="000000"/>
                <w:sz w:val="16"/>
                <w:szCs w:val="16"/>
              </w:rPr>
            </w:pPr>
            <w:r w:rsidRPr="00294B35">
              <w:rPr>
                <w:b/>
                <w:bCs/>
                <w:color w:val="000000"/>
                <w:sz w:val="16"/>
                <w:szCs w:val="16"/>
              </w:rPr>
              <w:t>118 061,1</w:t>
            </w:r>
          </w:p>
        </w:tc>
        <w:tc>
          <w:tcPr>
            <w:tcW w:w="999"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0,0</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2 074,6</w:t>
            </w:r>
          </w:p>
        </w:tc>
      </w:tr>
      <w:tr w:rsidR="00C404B9" w:rsidRPr="00294B35" w:rsidTr="00A21C38">
        <w:trPr>
          <w:trHeight w:val="178"/>
        </w:trPr>
        <w:tc>
          <w:tcPr>
            <w:tcW w:w="428" w:type="dxa"/>
            <w:vMerge/>
            <w:tcBorders>
              <w:top w:val="nil"/>
              <w:left w:val="single" w:sz="4" w:space="0" w:color="auto"/>
              <w:bottom w:val="single" w:sz="4" w:space="0" w:color="auto"/>
              <w:right w:val="single" w:sz="4" w:space="0" w:color="auto"/>
            </w:tcBorders>
            <w:vAlign w:val="center"/>
            <w:hideMark/>
          </w:tcPr>
          <w:p w:rsidR="00C404B9" w:rsidRPr="00294B35" w:rsidRDefault="00C404B9" w:rsidP="00000E53">
            <w:pPr>
              <w:shd w:val="clear" w:color="auto" w:fill="FFFFFF"/>
              <w:rPr>
                <w:color w:val="000000"/>
                <w:sz w:val="16"/>
                <w:szCs w:val="16"/>
              </w:rPr>
            </w:pPr>
          </w:p>
        </w:tc>
        <w:tc>
          <w:tcPr>
            <w:tcW w:w="2421" w:type="dxa"/>
            <w:tcBorders>
              <w:top w:val="nil"/>
              <w:left w:val="nil"/>
              <w:bottom w:val="single" w:sz="4" w:space="0" w:color="auto"/>
              <w:right w:val="single" w:sz="4" w:space="0" w:color="auto"/>
            </w:tcBorders>
            <w:shd w:val="clear" w:color="auto" w:fill="auto"/>
            <w:hideMark/>
          </w:tcPr>
          <w:p w:rsidR="00C404B9" w:rsidRPr="00294B35" w:rsidRDefault="00C404B9" w:rsidP="00000E53">
            <w:pPr>
              <w:shd w:val="clear" w:color="auto" w:fill="FFFFFF"/>
              <w:rPr>
                <w:color w:val="000000"/>
                <w:sz w:val="16"/>
                <w:szCs w:val="16"/>
              </w:rPr>
            </w:pPr>
            <w:r w:rsidRPr="00294B35">
              <w:rPr>
                <w:color w:val="000000"/>
                <w:sz w:val="16"/>
                <w:szCs w:val="16"/>
              </w:rPr>
              <w:t>окружной бюджет</w:t>
            </w:r>
          </w:p>
        </w:tc>
        <w:tc>
          <w:tcPr>
            <w:tcW w:w="99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rFonts w:cs="Calibri"/>
                <w:color w:val="000000"/>
                <w:sz w:val="16"/>
                <w:szCs w:val="16"/>
              </w:rPr>
            </w:pPr>
            <w:r w:rsidRPr="00294B35">
              <w:rPr>
                <w:rFonts w:cs="Calibri"/>
                <w:color w:val="000000"/>
                <w:sz w:val="16"/>
                <w:szCs w:val="16"/>
              </w:rPr>
              <w:t> </w:t>
            </w:r>
          </w:p>
        </w:tc>
        <w:tc>
          <w:tcPr>
            <w:tcW w:w="427"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rFonts w:cs="Calibri"/>
                <w:color w:val="000000"/>
                <w:sz w:val="16"/>
                <w:szCs w:val="16"/>
              </w:rPr>
            </w:pPr>
            <w:r w:rsidRPr="00294B35">
              <w:rPr>
                <w:rFonts w:cs="Calibri"/>
                <w:color w:val="000000"/>
                <w:sz w:val="16"/>
                <w:szCs w:val="16"/>
              </w:rPr>
              <w:t> </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117 943,1</w:t>
            </w:r>
          </w:p>
        </w:tc>
        <w:tc>
          <w:tcPr>
            <w:tcW w:w="855"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848"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A21C38">
            <w:pPr>
              <w:shd w:val="clear" w:color="auto" w:fill="FFFFFF"/>
              <w:ind w:right="-117"/>
              <w:jc w:val="center"/>
              <w:rPr>
                <w:color w:val="000000"/>
                <w:sz w:val="16"/>
                <w:szCs w:val="16"/>
              </w:rPr>
            </w:pPr>
            <w:r w:rsidRPr="00294B35">
              <w:rPr>
                <w:color w:val="000000"/>
                <w:sz w:val="16"/>
                <w:szCs w:val="16"/>
              </w:rPr>
              <w:t>117 943,1</w:t>
            </w:r>
          </w:p>
        </w:tc>
        <w:tc>
          <w:tcPr>
            <w:tcW w:w="999"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r>
      <w:tr w:rsidR="00C404B9" w:rsidRPr="00294B35" w:rsidTr="00A21C38">
        <w:trPr>
          <w:trHeight w:val="178"/>
        </w:trPr>
        <w:tc>
          <w:tcPr>
            <w:tcW w:w="428" w:type="dxa"/>
            <w:vMerge/>
            <w:tcBorders>
              <w:top w:val="nil"/>
              <w:left w:val="single" w:sz="4" w:space="0" w:color="auto"/>
              <w:bottom w:val="single" w:sz="4" w:space="0" w:color="auto"/>
              <w:right w:val="single" w:sz="4" w:space="0" w:color="auto"/>
            </w:tcBorders>
            <w:vAlign w:val="center"/>
            <w:hideMark/>
          </w:tcPr>
          <w:p w:rsidR="00C404B9" w:rsidRPr="00294B35" w:rsidRDefault="00C404B9" w:rsidP="00000E53">
            <w:pPr>
              <w:shd w:val="clear" w:color="auto" w:fill="FFFFFF"/>
              <w:rPr>
                <w:color w:val="000000"/>
                <w:sz w:val="16"/>
                <w:szCs w:val="16"/>
              </w:rPr>
            </w:pPr>
          </w:p>
        </w:tc>
        <w:tc>
          <w:tcPr>
            <w:tcW w:w="2421" w:type="dxa"/>
            <w:tcBorders>
              <w:top w:val="nil"/>
              <w:left w:val="nil"/>
              <w:bottom w:val="single" w:sz="4" w:space="0" w:color="auto"/>
              <w:right w:val="single" w:sz="4" w:space="0" w:color="auto"/>
            </w:tcBorders>
            <w:shd w:val="clear" w:color="auto" w:fill="auto"/>
            <w:hideMark/>
          </w:tcPr>
          <w:p w:rsidR="00C404B9" w:rsidRPr="00294B35" w:rsidRDefault="00C404B9" w:rsidP="00000E53">
            <w:pPr>
              <w:shd w:val="clear" w:color="auto" w:fill="FFFFFF"/>
              <w:rPr>
                <w:color w:val="000000"/>
                <w:sz w:val="16"/>
                <w:szCs w:val="16"/>
              </w:rPr>
            </w:pPr>
            <w:r w:rsidRPr="00294B35">
              <w:rPr>
                <w:color w:val="000000"/>
                <w:sz w:val="16"/>
                <w:szCs w:val="16"/>
              </w:rPr>
              <w:t>местный бюджет</w:t>
            </w:r>
          </w:p>
        </w:tc>
        <w:tc>
          <w:tcPr>
            <w:tcW w:w="99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rFonts w:cs="Calibri"/>
                <w:color w:val="000000"/>
                <w:sz w:val="16"/>
                <w:szCs w:val="16"/>
              </w:rPr>
            </w:pPr>
            <w:r w:rsidRPr="00294B35">
              <w:rPr>
                <w:rFonts w:cs="Calibri"/>
                <w:color w:val="000000"/>
                <w:sz w:val="16"/>
                <w:szCs w:val="16"/>
              </w:rPr>
              <w:t> </w:t>
            </w:r>
          </w:p>
        </w:tc>
        <w:tc>
          <w:tcPr>
            <w:tcW w:w="427"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rFonts w:cs="Calibri"/>
                <w:color w:val="000000"/>
                <w:sz w:val="16"/>
                <w:szCs w:val="16"/>
              </w:rPr>
            </w:pPr>
            <w:r w:rsidRPr="00294B35">
              <w:rPr>
                <w:rFonts w:cs="Calibri"/>
                <w:color w:val="000000"/>
                <w:sz w:val="16"/>
                <w:szCs w:val="16"/>
              </w:rPr>
              <w:t> </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118,0</w:t>
            </w:r>
          </w:p>
        </w:tc>
        <w:tc>
          <w:tcPr>
            <w:tcW w:w="855"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848"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A21C38">
            <w:pPr>
              <w:shd w:val="clear" w:color="auto" w:fill="FFFFFF"/>
              <w:ind w:right="-117"/>
              <w:jc w:val="center"/>
              <w:rPr>
                <w:color w:val="000000"/>
                <w:sz w:val="16"/>
                <w:szCs w:val="16"/>
              </w:rPr>
            </w:pPr>
            <w:r w:rsidRPr="00294B35">
              <w:rPr>
                <w:color w:val="000000"/>
                <w:sz w:val="16"/>
                <w:szCs w:val="16"/>
              </w:rPr>
              <w:t>118,0</w:t>
            </w:r>
          </w:p>
        </w:tc>
        <w:tc>
          <w:tcPr>
            <w:tcW w:w="999"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r>
      <w:tr w:rsidR="00C404B9" w:rsidRPr="00294B35" w:rsidTr="00A21C38">
        <w:trPr>
          <w:trHeight w:val="151"/>
        </w:trPr>
        <w:tc>
          <w:tcPr>
            <w:tcW w:w="9827" w:type="dxa"/>
            <w:gridSpan w:val="10"/>
            <w:tcBorders>
              <w:top w:val="single" w:sz="4" w:space="0" w:color="auto"/>
              <w:left w:val="single" w:sz="4" w:space="0" w:color="auto"/>
              <w:bottom w:val="single" w:sz="4" w:space="0" w:color="auto"/>
              <w:right w:val="single" w:sz="4" w:space="0" w:color="auto"/>
            </w:tcBorders>
            <w:shd w:val="clear" w:color="auto" w:fill="FFFFFF"/>
            <w:noWrap/>
            <w:hideMark/>
          </w:tcPr>
          <w:p w:rsidR="00C404B9" w:rsidRPr="00294B35" w:rsidRDefault="00C404B9" w:rsidP="00A21C38">
            <w:pPr>
              <w:shd w:val="clear" w:color="auto" w:fill="FFFFFF"/>
              <w:ind w:right="-117"/>
              <w:jc w:val="center"/>
              <w:rPr>
                <w:b/>
                <w:bCs/>
                <w:color w:val="000000"/>
                <w:sz w:val="16"/>
                <w:szCs w:val="16"/>
              </w:rPr>
            </w:pPr>
            <w:r w:rsidRPr="00294B35">
              <w:rPr>
                <w:b/>
                <w:bCs/>
                <w:color w:val="000000"/>
                <w:sz w:val="16"/>
                <w:szCs w:val="16"/>
              </w:rPr>
              <w:t xml:space="preserve">Городской округ </w:t>
            </w:r>
            <w:proofErr w:type="spellStart"/>
            <w:r w:rsidRPr="00294B35">
              <w:rPr>
                <w:b/>
                <w:bCs/>
                <w:color w:val="000000"/>
                <w:sz w:val="16"/>
                <w:szCs w:val="16"/>
              </w:rPr>
              <w:t>Эгвекинот</w:t>
            </w:r>
            <w:proofErr w:type="spellEnd"/>
          </w:p>
        </w:tc>
      </w:tr>
      <w:tr w:rsidR="00C404B9" w:rsidRPr="00294B35" w:rsidTr="00A21C38">
        <w:trPr>
          <w:trHeight w:val="178"/>
        </w:trPr>
        <w:tc>
          <w:tcPr>
            <w:tcW w:w="428" w:type="dxa"/>
            <w:vMerge w:val="restart"/>
            <w:tcBorders>
              <w:top w:val="nil"/>
              <w:left w:val="single" w:sz="4" w:space="0" w:color="auto"/>
              <w:bottom w:val="single" w:sz="4" w:space="0" w:color="auto"/>
              <w:right w:val="single" w:sz="4" w:space="0" w:color="auto"/>
            </w:tcBorders>
            <w:shd w:val="clear" w:color="auto" w:fill="FFFFFF"/>
            <w:noWrap/>
            <w:hideMark/>
          </w:tcPr>
          <w:p w:rsidR="00C404B9" w:rsidRPr="00294B35" w:rsidRDefault="00C404B9" w:rsidP="00000E53">
            <w:pPr>
              <w:shd w:val="clear" w:color="auto" w:fill="FFFFFF"/>
              <w:jc w:val="center"/>
              <w:rPr>
                <w:color w:val="000000"/>
                <w:sz w:val="16"/>
                <w:szCs w:val="16"/>
              </w:rPr>
            </w:pPr>
            <w:r w:rsidRPr="00294B35">
              <w:rPr>
                <w:color w:val="000000"/>
                <w:sz w:val="16"/>
                <w:szCs w:val="16"/>
              </w:rPr>
              <w:t>7</w:t>
            </w:r>
          </w:p>
        </w:tc>
        <w:tc>
          <w:tcPr>
            <w:tcW w:w="2421" w:type="dxa"/>
            <w:tcBorders>
              <w:top w:val="nil"/>
              <w:left w:val="nil"/>
              <w:bottom w:val="single" w:sz="4" w:space="0" w:color="auto"/>
              <w:right w:val="single" w:sz="4" w:space="0" w:color="auto"/>
            </w:tcBorders>
            <w:shd w:val="clear" w:color="auto" w:fill="FFFFFF"/>
            <w:hideMark/>
          </w:tcPr>
          <w:p w:rsidR="00C404B9" w:rsidRPr="00294B35" w:rsidRDefault="00C404B9" w:rsidP="00000E53">
            <w:pPr>
              <w:shd w:val="clear" w:color="auto" w:fill="FFFFFF"/>
              <w:rPr>
                <w:b/>
                <w:bCs/>
                <w:color w:val="000000"/>
                <w:sz w:val="16"/>
                <w:szCs w:val="16"/>
              </w:rPr>
            </w:pPr>
            <w:r w:rsidRPr="00294B35">
              <w:rPr>
                <w:b/>
                <w:bCs/>
                <w:color w:val="000000"/>
                <w:sz w:val="16"/>
                <w:szCs w:val="16"/>
              </w:rPr>
              <w:t>Приобретение 8 жилых помещений у застройщика в с</w:t>
            </w:r>
            <w:r>
              <w:rPr>
                <w:b/>
                <w:bCs/>
                <w:color w:val="000000"/>
                <w:sz w:val="16"/>
                <w:szCs w:val="16"/>
              </w:rPr>
              <w:t xml:space="preserve">. </w:t>
            </w:r>
            <w:proofErr w:type="spellStart"/>
            <w:r w:rsidRPr="00294B35">
              <w:rPr>
                <w:b/>
                <w:bCs/>
                <w:color w:val="000000"/>
                <w:sz w:val="16"/>
                <w:szCs w:val="16"/>
              </w:rPr>
              <w:t>Конергино</w:t>
            </w:r>
            <w:proofErr w:type="spellEnd"/>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30.04.2021</w:t>
            </w:r>
          </w:p>
        </w:tc>
        <w:tc>
          <w:tcPr>
            <w:tcW w:w="427"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47</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61 884,0</w:t>
            </w:r>
          </w:p>
        </w:tc>
        <w:tc>
          <w:tcPr>
            <w:tcW w:w="855"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0,0</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18 565,2</w:t>
            </w:r>
          </w:p>
        </w:tc>
        <w:tc>
          <w:tcPr>
            <w:tcW w:w="848"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A21C38">
            <w:pPr>
              <w:shd w:val="clear" w:color="auto" w:fill="FFFFFF"/>
              <w:ind w:right="-117"/>
              <w:jc w:val="center"/>
              <w:rPr>
                <w:b/>
                <w:bCs/>
                <w:color w:val="000000"/>
                <w:sz w:val="16"/>
                <w:szCs w:val="16"/>
              </w:rPr>
            </w:pPr>
            <w:r w:rsidRPr="00294B35">
              <w:rPr>
                <w:b/>
                <w:bCs/>
                <w:color w:val="000000"/>
                <w:sz w:val="16"/>
                <w:szCs w:val="16"/>
              </w:rPr>
              <w:t>43 318,8</w:t>
            </w:r>
          </w:p>
        </w:tc>
        <w:tc>
          <w:tcPr>
            <w:tcW w:w="999"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0,0</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304,0</w:t>
            </w:r>
          </w:p>
        </w:tc>
      </w:tr>
      <w:tr w:rsidR="00C404B9" w:rsidRPr="00294B35" w:rsidTr="00A21C38">
        <w:trPr>
          <w:trHeight w:val="178"/>
        </w:trPr>
        <w:tc>
          <w:tcPr>
            <w:tcW w:w="428" w:type="dxa"/>
            <w:vMerge/>
            <w:tcBorders>
              <w:top w:val="nil"/>
              <w:left w:val="single" w:sz="4" w:space="0" w:color="auto"/>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rPr>
                <w:color w:val="000000"/>
                <w:sz w:val="16"/>
                <w:szCs w:val="16"/>
              </w:rPr>
            </w:pPr>
          </w:p>
        </w:tc>
        <w:tc>
          <w:tcPr>
            <w:tcW w:w="2421" w:type="dxa"/>
            <w:tcBorders>
              <w:top w:val="nil"/>
              <w:left w:val="nil"/>
              <w:bottom w:val="single" w:sz="4" w:space="0" w:color="auto"/>
              <w:right w:val="single" w:sz="4" w:space="0" w:color="auto"/>
            </w:tcBorders>
            <w:shd w:val="clear" w:color="auto" w:fill="FFFFFF"/>
            <w:hideMark/>
          </w:tcPr>
          <w:p w:rsidR="00C404B9" w:rsidRPr="00294B35" w:rsidRDefault="00C404B9" w:rsidP="00000E53">
            <w:pPr>
              <w:shd w:val="clear" w:color="auto" w:fill="FFFFFF"/>
              <w:rPr>
                <w:color w:val="000000"/>
                <w:sz w:val="16"/>
                <w:szCs w:val="16"/>
              </w:rPr>
            </w:pPr>
            <w:r w:rsidRPr="00294B35">
              <w:rPr>
                <w:color w:val="000000"/>
                <w:sz w:val="16"/>
                <w:szCs w:val="16"/>
              </w:rPr>
              <w:t>окружной бюджет</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427"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61 821,2</w:t>
            </w:r>
          </w:p>
        </w:tc>
        <w:tc>
          <w:tcPr>
            <w:tcW w:w="855"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xml:space="preserve">18 </w:t>
            </w:r>
            <w:r w:rsidRPr="008A48AC">
              <w:rPr>
                <w:color w:val="000000"/>
                <w:sz w:val="16"/>
                <w:szCs w:val="16"/>
              </w:rPr>
              <w:t>545,</w:t>
            </w:r>
            <w:r w:rsidRPr="00294B35">
              <w:rPr>
                <w:color w:val="000000"/>
                <w:sz w:val="16"/>
                <w:szCs w:val="16"/>
              </w:rPr>
              <w:t>6</w:t>
            </w:r>
          </w:p>
        </w:tc>
        <w:tc>
          <w:tcPr>
            <w:tcW w:w="848"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A21C38">
            <w:pPr>
              <w:shd w:val="clear" w:color="auto" w:fill="FFFFFF"/>
              <w:ind w:right="-117"/>
              <w:jc w:val="center"/>
              <w:rPr>
                <w:color w:val="000000"/>
                <w:sz w:val="16"/>
                <w:szCs w:val="16"/>
              </w:rPr>
            </w:pPr>
            <w:r w:rsidRPr="00294B35">
              <w:rPr>
                <w:color w:val="000000"/>
                <w:sz w:val="16"/>
                <w:szCs w:val="16"/>
              </w:rPr>
              <w:t>43 275,6</w:t>
            </w:r>
          </w:p>
        </w:tc>
        <w:tc>
          <w:tcPr>
            <w:tcW w:w="999"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r>
      <w:tr w:rsidR="00C404B9" w:rsidRPr="00294B35" w:rsidTr="00A21C38">
        <w:trPr>
          <w:trHeight w:val="178"/>
        </w:trPr>
        <w:tc>
          <w:tcPr>
            <w:tcW w:w="428" w:type="dxa"/>
            <w:vMerge/>
            <w:tcBorders>
              <w:top w:val="nil"/>
              <w:left w:val="single" w:sz="4" w:space="0" w:color="auto"/>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rPr>
                <w:color w:val="000000"/>
                <w:sz w:val="16"/>
                <w:szCs w:val="16"/>
              </w:rPr>
            </w:pPr>
          </w:p>
        </w:tc>
        <w:tc>
          <w:tcPr>
            <w:tcW w:w="2421" w:type="dxa"/>
            <w:tcBorders>
              <w:top w:val="nil"/>
              <w:left w:val="nil"/>
              <w:bottom w:val="single" w:sz="4" w:space="0" w:color="auto"/>
              <w:right w:val="single" w:sz="4" w:space="0" w:color="auto"/>
            </w:tcBorders>
            <w:shd w:val="clear" w:color="auto" w:fill="FFFFFF"/>
            <w:hideMark/>
          </w:tcPr>
          <w:p w:rsidR="00C404B9" w:rsidRPr="00294B35" w:rsidRDefault="00C404B9" w:rsidP="00000E53">
            <w:pPr>
              <w:shd w:val="clear" w:color="auto" w:fill="FFFFFF"/>
              <w:rPr>
                <w:color w:val="000000"/>
                <w:sz w:val="16"/>
                <w:szCs w:val="16"/>
              </w:rPr>
            </w:pPr>
            <w:r w:rsidRPr="00294B35">
              <w:rPr>
                <w:color w:val="000000"/>
                <w:sz w:val="16"/>
                <w:szCs w:val="16"/>
              </w:rPr>
              <w:t>местный бюджет</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427"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62,8</w:t>
            </w:r>
          </w:p>
        </w:tc>
        <w:tc>
          <w:tcPr>
            <w:tcW w:w="855" w:type="dxa"/>
            <w:tcBorders>
              <w:top w:val="nil"/>
              <w:left w:val="nil"/>
              <w:bottom w:val="single" w:sz="4" w:space="0" w:color="auto"/>
              <w:right w:val="single" w:sz="4" w:space="0" w:color="auto"/>
            </w:tcBorders>
            <w:shd w:val="clear" w:color="000000"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996" w:type="dxa"/>
            <w:tcBorders>
              <w:top w:val="nil"/>
              <w:left w:val="nil"/>
              <w:bottom w:val="single" w:sz="4" w:space="0" w:color="auto"/>
              <w:right w:val="single" w:sz="4" w:space="0" w:color="auto"/>
            </w:tcBorders>
            <w:shd w:val="clear" w:color="000000"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19,6</w:t>
            </w:r>
          </w:p>
        </w:tc>
        <w:tc>
          <w:tcPr>
            <w:tcW w:w="848"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A21C38">
            <w:pPr>
              <w:shd w:val="clear" w:color="auto" w:fill="FFFFFF"/>
              <w:ind w:right="-117"/>
              <w:jc w:val="center"/>
              <w:rPr>
                <w:color w:val="000000"/>
                <w:sz w:val="16"/>
                <w:szCs w:val="16"/>
              </w:rPr>
            </w:pPr>
            <w:r w:rsidRPr="00294B35">
              <w:rPr>
                <w:color w:val="000000"/>
                <w:sz w:val="16"/>
                <w:szCs w:val="16"/>
              </w:rPr>
              <w:t>43,2</w:t>
            </w:r>
          </w:p>
        </w:tc>
        <w:tc>
          <w:tcPr>
            <w:tcW w:w="999"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r>
      <w:tr w:rsidR="00C404B9" w:rsidRPr="00294B35" w:rsidTr="00A21C38">
        <w:trPr>
          <w:trHeight w:val="178"/>
        </w:trPr>
        <w:tc>
          <w:tcPr>
            <w:tcW w:w="428" w:type="dxa"/>
            <w:vMerge w:val="restart"/>
            <w:tcBorders>
              <w:top w:val="nil"/>
              <w:left w:val="single" w:sz="4" w:space="0" w:color="auto"/>
              <w:bottom w:val="single" w:sz="4" w:space="0" w:color="auto"/>
              <w:right w:val="single" w:sz="4" w:space="0" w:color="auto"/>
            </w:tcBorders>
            <w:shd w:val="clear" w:color="auto" w:fill="FFFFFF"/>
            <w:noWrap/>
            <w:hideMark/>
          </w:tcPr>
          <w:p w:rsidR="00C404B9" w:rsidRPr="00294B35" w:rsidRDefault="00C404B9" w:rsidP="00000E53">
            <w:pPr>
              <w:shd w:val="clear" w:color="auto" w:fill="FFFFFF"/>
              <w:jc w:val="center"/>
              <w:rPr>
                <w:color w:val="000000"/>
                <w:sz w:val="16"/>
                <w:szCs w:val="16"/>
              </w:rPr>
            </w:pPr>
            <w:r w:rsidRPr="00294B35">
              <w:rPr>
                <w:color w:val="000000"/>
                <w:sz w:val="16"/>
                <w:szCs w:val="16"/>
              </w:rPr>
              <w:t>8</w:t>
            </w:r>
          </w:p>
        </w:tc>
        <w:tc>
          <w:tcPr>
            <w:tcW w:w="2421" w:type="dxa"/>
            <w:tcBorders>
              <w:top w:val="nil"/>
              <w:left w:val="nil"/>
              <w:bottom w:val="single" w:sz="4" w:space="0" w:color="auto"/>
              <w:right w:val="single" w:sz="4" w:space="0" w:color="auto"/>
            </w:tcBorders>
            <w:shd w:val="clear" w:color="auto" w:fill="FFFFFF"/>
            <w:hideMark/>
          </w:tcPr>
          <w:p w:rsidR="00C404B9" w:rsidRPr="00294B35" w:rsidRDefault="00C404B9" w:rsidP="00000E53">
            <w:pPr>
              <w:shd w:val="clear" w:color="auto" w:fill="FFFFFF"/>
              <w:rPr>
                <w:b/>
                <w:bCs/>
                <w:color w:val="000000"/>
                <w:sz w:val="16"/>
                <w:szCs w:val="16"/>
              </w:rPr>
            </w:pPr>
            <w:r w:rsidRPr="00294B35">
              <w:rPr>
                <w:b/>
                <w:bCs/>
                <w:color w:val="000000"/>
                <w:sz w:val="16"/>
                <w:szCs w:val="16"/>
              </w:rPr>
              <w:t>Строительство жилых домов в с</w:t>
            </w:r>
            <w:r>
              <w:rPr>
                <w:b/>
                <w:bCs/>
                <w:color w:val="000000"/>
                <w:sz w:val="16"/>
                <w:szCs w:val="16"/>
              </w:rPr>
              <w:t>.</w:t>
            </w:r>
            <w:r w:rsidRPr="00294B35">
              <w:rPr>
                <w:b/>
                <w:bCs/>
                <w:color w:val="000000"/>
                <w:sz w:val="16"/>
                <w:szCs w:val="16"/>
              </w:rPr>
              <w:t xml:space="preserve"> </w:t>
            </w:r>
            <w:proofErr w:type="spellStart"/>
            <w:r w:rsidRPr="00294B35">
              <w:rPr>
                <w:b/>
                <w:bCs/>
                <w:color w:val="000000"/>
                <w:sz w:val="16"/>
                <w:szCs w:val="16"/>
              </w:rPr>
              <w:t>Уэлькаль</w:t>
            </w:r>
            <w:proofErr w:type="spellEnd"/>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14.02.2022</w:t>
            </w:r>
          </w:p>
        </w:tc>
        <w:tc>
          <w:tcPr>
            <w:tcW w:w="427"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28</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51 821,5</w:t>
            </w:r>
          </w:p>
        </w:tc>
        <w:tc>
          <w:tcPr>
            <w:tcW w:w="855"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0,0</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0,0</w:t>
            </w:r>
          </w:p>
        </w:tc>
        <w:tc>
          <w:tcPr>
            <w:tcW w:w="848"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A21C38">
            <w:pPr>
              <w:shd w:val="clear" w:color="auto" w:fill="FFFFFF"/>
              <w:ind w:right="-117"/>
              <w:jc w:val="center"/>
              <w:rPr>
                <w:b/>
                <w:bCs/>
                <w:color w:val="000000"/>
                <w:sz w:val="16"/>
                <w:szCs w:val="16"/>
              </w:rPr>
            </w:pPr>
            <w:r w:rsidRPr="00294B35">
              <w:rPr>
                <w:b/>
                <w:bCs/>
                <w:color w:val="000000"/>
                <w:sz w:val="16"/>
                <w:szCs w:val="16"/>
              </w:rPr>
              <w:t>51 821,5</w:t>
            </w:r>
          </w:p>
        </w:tc>
        <w:tc>
          <w:tcPr>
            <w:tcW w:w="999"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0,0</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736,0</w:t>
            </w:r>
          </w:p>
        </w:tc>
      </w:tr>
      <w:tr w:rsidR="00C404B9" w:rsidRPr="00294B35" w:rsidTr="00A21C38">
        <w:trPr>
          <w:trHeight w:val="178"/>
        </w:trPr>
        <w:tc>
          <w:tcPr>
            <w:tcW w:w="428" w:type="dxa"/>
            <w:vMerge/>
            <w:tcBorders>
              <w:top w:val="nil"/>
              <w:left w:val="single" w:sz="4" w:space="0" w:color="auto"/>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rPr>
                <w:color w:val="000000"/>
                <w:sz w:val="16"/>
                <w:szCs w:val="16"/>
              </w:rPr>
            </w:pPr>
          </w:p>
        </w:tc>
        <w:tc>
          <w:tcPr>
            <w:tcW w:w="2421" w:type="dxa"/>
            <w:tcBorders>
              <w:top w:val="nil"/>
              <w:left w:val="nil"/>
              <w:bottom w:val="single" w:sz="4" w:space="0" w:color="auto"/>
              <w:right w:val="single" w:sz="4" w:space="0" w:color="auto"/>
            </w:tcBorders>
            <w:shd w:val="clear" w:color="auto" w:fill="FFFFFF"/>
            <w:hideMark/>
          </w:tcPr>
          <w:p w:rsidR="00C404B9" w:rsidRPr="00294B35" w:rsidRDefault="00C404B9" w:rsidP="00000E53">
            <w:pPr>
              <w:shd w:val="clear" w:color="auto" w:fill="FFFFFF"/>
              <w:rPr>
                <w:color w:val="000000"/>
                <w:sz w:val="16"/>
                <w:szCs w:val="16"/>
              </w:rPr>
            </w:pPr>
            <w:r w:rsidRPr="00294B35">
              <w:rPr>
                <w:color w:val="000000"/>
                <w:sz w:val="16"/>
                <w:szCs w:val="16"/>
              </w:rPr>
              <w:t>окружной бюджет</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427"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51 769,6</w:t>
            </w:r>
          </w:p>
        </w:tc>
        <w:tc>
          <w:tcPr>
            <w:tcW w:w="855" w:type="dxa"/>
            <w:tcBorders>
              <w:top w:val="nil"/>
              <w:left w:val="nil"/>
              <w:bottom w:val="single" w:sz="4" w:space="0" w:color="auto"/>
              <w:right w:val="single" w:sz="4" w:space="0" w:color="auto"/>
            </w:tcBorders>
            <w:shd w:val="clear" w:color="000000"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996" w:type="dxa"/>
            <w:tcBorders>
              <w:top w:val="nil"/>
              <w:left w:val="nil"/>
              <w:bottom w:val="single" w:sz="4" w:space="0" w:color="auto"/>
              <w:right w:val="single" w:sz="4" w:space="0" w:color="auto"/>
            </w:tcBorders>
            <w:shd w:val="clear" w:color="000000"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848" w:type="dxa"/>
            <w:tcBorders>
              <w:top w:val="nil"/>
              <w:left w:val="nil"/>
              <w:bottom w:val="single" w:sz="4" w:space="0" w:color="auto"/>
              <w:right w:val="single" w:sz="4" w:space="0" w:color="auto"/>
            </w:tcBorders>
            <w:shd w:val="clear" w:color="000000" w:fill="FFFFFF"/>
            <w:vAlign w:val="center"/>
            <w:hideMark/>
          </w:tcPr>
          <w:p w:rsidR="00C404B9" w:rsidRPr="00294B35" w:rsidRDefault="00C404B9" w:rsidP="00A21C38">
            <w:pPr>
              <w:shd w:val="clear" w:color="auto" w:fill="FFFFFF"/>
              <w:ind w:right="-117"/>
              <w:jc w:val="center"/>
              <w:rPr>
                <w:color w:val="000000"/>
                <w:sz w:val="16"/>
                <w:szCs w:val="16"/>
              </w:rPr>
            </w:pPr>
            <w:r w:rsidRPr="00294B35">
              <w:rPr>
                <w:color w:val="000000"/>
                <w:sz w:val="16"/>
                <w:szCs w:val="16"/>
              </w:rPr>
              <w:t>51 769,6</w:t>
            </w:r>
          </w:p>
        </w:tc>
        <w:tc>
          <w:tcPr>
            <w:tcW w:w="999"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r>
      <w:tr w:rsidR="00C404B9" w:rsidRPr="00294B35" w:rsidTr="00A21C38">
        <w:trPr>
          <w:trHeight w:val="178"/>
        </w:trPr>
        <w:tc>
          <w:tcPr>
            <w:tcW w:w="428" w:type="dxa"/>
            <w:vMerge/>
            <w:tcBorders>
              <w:top w:val="nil"/>
              <w:left w:val="single" w:sz="4" w:space="0" w:color="auto"/>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rPr>
                <w:color w:val="000000"/>
                <w:sz w:val="16"/>
                <w:szCs w:val="16"/>
              </w:rPr>
            </w:pPr>
          </w:p>
        </w:tc>
        <w:tc>
          <w:tcPr>
            <w:tcW w:w="2421" w:type="dxa"/>
            <w:tcBorders>
              <w:top w:val="nil"/>
              <w:left w:val="nil"/>
              <w:bottom w:val="single" w:sz="4" w:space="0" w:color="auto"/>
              <w:right w:val="single" w:sz="4" w:space="0" w:color="auto"/>
            </w:tcBorders>
            <w:shd w:val="clear" w:color="auto" w:fill="FFFFFF"/>
            <w:hideMark/>
          </w:tcPr>
          <w:p w:rsidR="00C404B9" w:rsidRPr="00294B35" w:rsidRDefault="00C404B9" w:rsidP="00000E53">
            <w:pPr>
              <w:shd w:val="clear" w:color="auto" w:fill="FFFFFF"/>
              <w:rPr>
                <w:color w:val="000000"/>
                <w:sz w:val="16"/>
                <w:szCs w:val="16"/>
              </w:rPr>
            </w:pPr>
            <w:r w:rsidRPr="00294B35">
              <w:rPr>
                <w:color w:val="000000"/>
                <w:sz w:val="16"/>
                <w:szCs w:val="16"/>
              </w:rPr>
              <w:t>местный бюджет</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427"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51,9</w:t>
            </w:r>
          </w:p>
        </w:tc>
        <w:tc>
          <w:tcPr>
            <w:tcW w:w="855" w:type="dxa"/>
            <w:tcBorders>
              <w:top w:val="nil"/>
              <w:left w:val="nil"/>
              <w:bottom w:val="single" w:sz="4" w:space="0" w:color="auto"/>
              <w:right w:val="single" w:sz="4" w:space="0" w:color="auto"/>
            </w:tcBorders>
            <w:shd w:val="clear" w:color="000000"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996" w:type="dxa"/>
            <w:tcBorders>
              <w:top w:val="nil"/>
              <w:left w:val="nil"/>
              <w:bottom w:val="single" w:sz="4" w:space="0" w:color="auto"/>
              <w:right w:val="single" w:sz="4" w:space="0" w:color="auto"/>
            </w:tcBorders>
            <w:shd w:val="clear" w:color="000000"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848" w:type="dxa"/>
            <w:tcBorders>
              <w:top w:val="nil"/>
              <w:left w:val="nil"/>
              <w:bottom w:val="single" w:sz="4" w:space="0" w:color="auto"/>
              <w:right w:val="single" w:sz="4" w:space="0" w:color="auto"/>
            </w:tcBorders>
            <w:shd w:val="clear" w:color="000000" w:fill="FFFFFF"/>
            <w:vAlign w:val="center"/>
            <w:hideMark/>
          </w:tcPr>
          <w:p w:rsidR="00C404B9" w:rsidRPr="00294B35" w:rsidRDefault="00C404B9" w:rsidP="00A21C38">
            <w:pPr>
              <w:shd w:val="clear" w:color="auto" w:fill="FFFFFF"/>
              <w:ind w:right="-117"/>
              <w:jc w:val="center"/>
              <w:rPr>
                <w:color w:val="000000"/>
                <w:sz w:val="16"/>
                <w:szCs w:val="16"/>
              </w:rPr>
            </w:pPr>
            <w:r w:rsidRPr="00294B35">
              <w:rPr>
                <w:color w:val="000000"/>
                <w:sz w:val="16"/>
                <w:szCs w:val="16"/>
              </w:rPr>
              <w:t>51,9</w:t>
            </w:r>
          </w:p>
        </w:tc>
        <w:tc>
          <w:tcPr>
            <w:tcW w:w="999"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r>
      <w:tr w:rsidR="00C404B9" w:rsidRPr="00294B35" w:rsidTr="00A21C38">
        <w:trPr>
          <w:trHeight w:val="197"/>
        </w:trPr>
        <w:tc>
          <w:tcPr>
            <w:tcW w:w="428" w:type="dxa"/>
            <w:vMerge/>
            <w:tcBorders>
              <w:top w:val="nil"/>
              <w:left w:val="single" w:sz="4" w:space="0" w:color="auto"/>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rPr>
                <w:color w:val="000000"/>
                <w:sz w:val="16"/>
                <w:szCs w:val="16"/>
              </w:rPr>
            </w:pPr>
          </w:p>
        </w:tc>
        <w:tc>
          <w:tcPr>
            <w:tcW w:w="9399" w:type="dxa"/>
            <w:gridSpan w:val="9"/>
            <w:tcBorders>
              <w:top w:val="single" w:sz="4" w:space="0" w:color="auto"/>
              <w:left w:val="nil"/>
              <w:bottom w:val="single" w:sz="4" w:space="0" w:color="auto"/>
              <w:right w:val="single" w:sz="4" w:space="0" w:color="auto"/>
            </w:tcBorders>
            <w:shd w:val="clear" w:color="auto" w:fill="FFFFFF"/>
            <w:noWrap/>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Сельское поселение Уэлен</w:t>
            </w:r>
          </w:p>
        </w:tc>
      </w:tr>
      <w:tr w:rsidR="00C404B9" w:rsidRPr="00294B35" w:rsidTr="00A21C38">
        <w:trPr>
          <w:trHeight w:val="178"/>
        </w:trPr>
        <w:tc>
          <w:tcPr>
            <w:tcW w:w="428" w:type="dxa"/>
            <w:vMerge w:val="restart"/>
            <w:tcBorders>
              <w:top w:val="nil"/>
              <w:left w:val="single" w:sz="4" w:space="0" w:color="auto"/>
              <w:bottom w:val="single" w:sz="4" w:space="0" w:color="auto"/>
              <w:right w:val="single" w:sz="4" w:space="0" w:color="auto"/>
            </w:tcBorders>
            <w:shd w:val="clear" w:color="auto" w:fill="FFFFFF"/>
            <w:noWrap/>
            <w:hideMark/>
          </w:tcPr>
          <w:p w:rsidR="00C404B9" w:rsidRPr="00294B35" w:rsidRDefault="00C404B9" w:rsidP="00000E53">
            <w:pPr>
              <w:shd w:val="clear" w:color="auto" w:fill="FFFFFF"/>
              <w:jc w:val="center"/>
              <w:rPr>
                <w:color w:val="000000"/>
                <w:sz w:val="16"/>
                <w:szCs w:val="16"/>
              </w:rPr>
            </w:pPr>
            <w:r w:rsidRPr="00294B35">
              <w:rPr>
                <w:color w:val="000000"/>
                <w:sz w:val="16"/>
                <w:szCs w:val="16"/>
              </w:rPr>
              <w:t>9</w:t>
            </w:r>
          </w:p>
        </w:tc>
        <w:tc>
          <w:tcPr>
            <w:tcW w:w="2421" w:type="dxa"/>
            <w:tcBorders>
              <w:top w:val="nil"/>
              <w:left w:val="nil"/>
              <w:bottom w:val="single" w:sz="4" w:space="0" w:color="auto"/>
              <w:right w:val="single" w:sz="4" w:space="0" w:color="auto"/>
            </w:tcBorders>
            <w:shd w:val="clear" w:color="auto" w:fill="FFFFFF"/>
            <w:hideMark/>
          </w:tcPr>
          <w:p w:rsidR="00C404B9" w:rsidRPr="00294B35" w:rsidRDefault="00C404B9" w:rsidP="00000E53">
            <w:pPr>
              <w:shd w:val="clear" w:color="auto" w:fill="FFFFFF"/>
              <w:rPr>
                <w:b/>
                <w:bCs/>
                <w:color w:val="000000"/>
                <w:sz w:val="16"/>
                <w:szCs w:val="16"/>
              </w:rPr>
            </w:pPr>
            <w:r w:rsidRPr="00294B35">
              <w:rPr>
                <w:b/>
                <w:bCs/>
                <w:color w:val="000000"/>
                <w:sz w:val="16"/>
                <w:szCs w:val="16"/>
              </w:rPr>
              <w:t xml:space="preserve">Приобретение 16-ти квартир у застройщика </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31.05.2021</w:t>
            </w:r>
          </w:p>
        </w:tc>
        <w:tc>
          <w:tcPr>
            <w:tcW w:w="427"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50</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141 695,6</w:t>
            </w:r>
          </w:p>
        </w:tc>
        <w:tc>
          <w:tcPr>
            <w:tcW w:w="855"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0,0</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37 026,1</w:t>
            </w:r>
          </w:p>
        </w:tc>
        <w:tc>
          <w:tcPr>
            <w:tcW w:w="848"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104 669,5</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752,0</w:t>
            </w:r>
          </w:p>
        </w:tc>
      </w:tr>
      <w:tr w:rsidR="00C404B9" w:rsidRPr="00294B35" w:rsidTr="00A21C38">
        <w:trPr>
          <w:trHeight w:val="178"/>
        </w:trPr>
        <w:tc>
          <w:tcPr>
            <w:tcW w:w="428" w:type="dxa"/>
            <w:vMerge/>
            <w:tcBorders>
              <w:top w:val="nil"/>
              <w:left w:val="single" w:sz="4" w:space="0" w:color="auto"/>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rPr>
                <w:color w:val="000000"/>
                <w:sz w:val="16"/>
                <w:szCs w:val="16"/>
              </w:rPr>
            </w:pPr>
          </w:p>
        </w:tc>
        <w:tc>
          <w:tcPr>
            <w:tcW w:w="2421" w:type="dxa"/>
            <w:tcBorders>
              <w:top w:val="nil"/>
              <w:left w:val="nil"/>
              <w:bottom w:val="single" w:sz="4" w:space="0" w:color="auto"/>
              <w:right w:val="single" w:sz="4" w:space="0" w:color="auto"/>
            </w:tcBorders>
            <w:shd w:val="clear" w:color="auto" w:fill="FFFFFF"/>
            <w:hideMark/>
          </w:tcPr>
          <w:p w:rsidR="00C404B9" w:rsidRPr="00294B35" w:rsidRDefault="00C404B9" w:rsidP="00000E53">
            <w:pPr>
              <w:shd w:val="clear" w:color="auto" w:fill="FFFFFF"/>
              <w:rPr>
                <w:color w:val="000000"/>
                <w:sz w:val="16"/>
                <w:szCs w:val="16"/>
              </w:rPr>
            </w:pPr>
            <w:r w:rsidRPr="00294B35">
              <w:rPr>
                <w:color w:val="000000"/>
                <w:sz w:val="16"/>
                <w:szCs w:val="16"/>
              </w:rPr>
              <w:t>окружной бюджет</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427"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141 695,6</w:t>
            </w:r>
          </w:p>
        </w:tc>
        <w:tc>
          <w:tcPr>
            <w:tcW w:w="855"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37 026,1</w:t>
            </w:r>
          </w:p>
        </w:tc>
        <w:tc>
          <w:tcPr>
            <w:tcW w:w="848"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104 669,5</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r>
      <w:tr w:rsidR="00C404B9" w:rsidRPr="00294B35" w:rsidTr="00A21C38">
        <w:trPr>
          <w:trHeight w:val="178"/>
        </w:trPr>
        <w:tc>
          <w:tcPr>
            <w:tcW w:w="428" w:type="dxa"/>
            <w:vMerge/>
            <w:tcBorders>
              <w:top w:val="nil"/>
              <w:left w:val="single" w:sz="4" w:space="0" w:color="auto"/>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rPr>
                <w:color w:val="000000"/>
                <w:sz w:val="16"/>
                <w:szCs w:val="16"/>
              </w:rPr>
            </w:pPr>
          </w:p>
        </w:tc>
        <w:tc>
          <w:tcPr>
            <w:tcW w:w="2421" w:type="dxa"/>
            <w:tcBorders>
              <w:top w:val="nil"/>
              <w:left w:val="nil"/>
              <w:bottom w:val="single" w:sz="4" w:space="0" w:color="auto"/>
              <w:right w:val="single" w:sz="4" w:space="0" w:color="auto"/>
            </w:tcBorders>
            <w:shd w:val="clear" w:color="auto" w:fill="FFFFFF"/>
            <w:hideMark/>
          </w:tcPr>
          <w:p w:rsidR="00C404B9" w:rsidRPr="00294B35" w:rsidRDefault="00C404B9" w:rsidP="00000E53">
            <w:pPr>
              <w:shd w:val="clear" w:color="auto" w:fill="FFFFFF"/>
              <w:rPr>
                <w:color w:val="000000"/>
                <w:sz w:val="16"/>
                <w:szCs w:val="16"/>
              </w:rPr>
            </w:pPr>
            <w:r w:rsidRPr="00294B35">
              <w:rPr>
                <w:color w:val="000000"/>
                <w:sz w:val="16"/>
                <w:szCs w:val="16"/>
              </w:rPr>
              <w:t>местный бюджет</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427"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855" w:type="dxa"/>
            <w:tcBorders>
              <w:top w:val="nil"/>
              <w:left w:val="nil"/>
              <w:bottom w:val="single" w:sz="4" w:space="0" w:color="auto"/>
              <w:right w:val="single" w:sz="4" w:space="0" w:color="auto"/>
            </w:tcBorders>
            <w:shd w:val="clear" w:color="000000"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996" w:type="dxa"/>
            <w:tcBorders>
              <w:top w:val="nil"/>
              <w:left w:val="nil"/>
              <w:bottom w:val="single" w:sz="4" w:space="0" w:color="auto"/>
              <w:right w:val="single" w:sz="4" w:space="0" w:color="auto"/>
            </w:tcBorders>
            <w:shd w:val="clear" w:color="000000"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848"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r>
      <w:tr w:rsidR="00C404B9" w:rsidRPr="00294B35" w:rsidTr="00A21C38">
        <w:trPr>
          <w:trHeight w:val="210"/>
        </w:trPr>
        <w:tc>
          <w:tcPr>
            <w:tcW w:w="9827" w:type="dxa"/>
            <w:gridSpan w:val="10"/>
            <w:tcBorders>
              <w:top w:val="single" w:sz="4" w:space="0" w:color="auto"/>
              <w:left w:val="single" w:sz="4" w:space="0" w:color="auto"/>
              <w:bottom w:val="single" w:sz="4" w:space="0" w:color="auto"/>
              <w:right w:val="single" w:sz="4" w:space="0" w:color="auto"/>
            </w:tcBorders>
            <w:shd w:val="clear" w:color="auto" w:fill="FFFFFF"/>
            <w:noWrap/>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 xml:space="preserve">Сельское поселение </w:t>
            </w:r>
            <w:proofErr w:type="spellStart"/>
            <w:r w:rsidRPr="00294B35">
              <w:rPr>
                <w:b/>
                <w:bCs/>
                <w:color w:val="000000"/>
                <w:sz w:val="16"/>
                <w:szCs w:val="16"/>
              </w:rPr>
              <w:t>Лорино</w:t>
            </w:r>
            <w:proofErr w:type="spellEnd"/>
          </w:p>
        </w:tc>
      </w:tr>
      <w:tr w:rsidR="00C404B9" w:rsidRPr="00294B35" w:rsidTr="00A21C38">
        <w:trPr>
          <w:trHeight w:val="178"/>
        </w:trPr>
        <w:tc>
          <w:tcPr>
            <w:tcW w:w="428" w:type="dxa"/>
            <w:vMerge w:val="restart"/>
            <w:tcBorders>
              <w:top w:val="nil"/>
              <w:left w:val="single" w:sz="4" w:space="0" w:color="auto"/>
              <w:bottom w:val="single" w:sz="4" w:space="0" w:color="auto"/>
              <w:right w:val="single" w:sz="4" w:space="0" w:color="auto"/>
            </w:tcBorders>
            <w:shd w:val="clear" w:color="auto" w:fill="FFFFFF"/>
            <w:noWrap/>
            <w:hideMark/>
          </w:tcPr>
          <w:p w:rsidR="00C404B9" w:rsidRPr="00294B35" w:rsidRDefault="00C404B9" w:rsidP="00000E53">
            <w:pPr>
              <w:shd w:val="clear" w:color="auto" w:fill="FFFFFF"/>
              <w:jc w:val="center"/>
              <w:rPr>
                <w:color w:val="000000"/>
                <w:sz w:val="16"/>
                <w:szCs w:val="16"/>
              </w:rPr>
            </w:pPr>
            <w:r w:rsidRPr="00294B35">
              <w:rPr>
                <w:color w:val="000000"/>
                <w:sz w:val="16"/>
                <w:szCs w:val="16"/>
              </w:rPr>
              <w:t>10</w:t>
            </w:r>
          </w:p>
        </w:tc>
        <w:tc>
          <w:tcPr>
            <w:tcW w:w="2421" w:type="dxa"/>
            <w:tcBorders>
              <w:top w:val="nil"/>
              <w:left w:val="nil"/>
              <w:bottom w:val="single" w:sz="4" w:space="0" w:color="auto"/>
              <w:right w:val="single" w:sz="4" w:space="0" w:color="auto"/>
            </w:tcBorders>
            <w:shd w:val="clear" w:color="auto" w:fill="FFFFFF"/>
            <w:hideMark/>
          </w:tcPr>
          <w:p w:rsidR="00C404B9" w:rsidRPr="00294B35" w:rsidRDefault="00C404B9" w:rsidP="00000E53">
            <w:pPr>
              <w:shd w:val="clear" w:color="auto" w:fill="FFFFFF"/>
              <w:rPr>
                <w:b/>
                <w:bCs/>
                <w:color w:val="000000"/>
                <w:sz w:val="16"/>
                <w:szCs w:val="16"/>
              </w:rPr>
            </w:pPr>
            <w:r w:rsidRPr="00294B35">
              <w:rPr>
                <w:b/>
                <w:bCs/>
                <w:color w:val="000000"/>
                <w:sz w:val="16"/>
                <w:szCs w:val="16"/>
              </w:rPr>
              <w:t xml:space="preserve">Строительство жилых домов </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10.02.2022</w:t>
            </w:r>
          </w:p>
        </w:tc>
        <w:tc>
          <w:tcPr>
            <w:tcW w:w="427"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25</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72 039,5</w:t>
            </w:r>
          </w:p>
        </w:tc>
        <w:tc>
          <w:tcPr>
            <w:tcW w:w="855"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0,0</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0,0</w:t>
            </w:r>
          </w:p>
        </w:tc>
        <w:tc>
          <w:tcPr>
            <w:tcW w:w="848"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72 039,5</w:t>
            </w:r>
          </w:p>
        </w:tc>
        <w:tc>
          <w:tcPr>
            <w:tcW w:w="999"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0,0</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1 192,0</w:t>
            </w:r>
          </w:p>
        </w:tc>
      </w:tr>
      <w:tr w:rsidR="00C404B9" w:rsidRPr="00294B35" w:rsidTr="00A21C38">
        <w:trPr>
          <w:trHeight w:val="178"/>
        </w:trPr>
        <w:tc>
          <w:tcPr>
            <w:tcW w:w="428" w:type="dxa"/>
            <w:vMerge/>
            <w:tcBorders>
              <w:top w:val="nil"/>
              <w:left w:val="single" w:sz="4" w:space="0" w:color="auto"/>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rPr>
                <w:color w:val="000000"/>
                <w:sz w:val="16"/>
                <w:szCs w:val="16"/>
              </w:rPr>
            </w:pPr>
          </w:p>
        </w:tc>
        <w:tc>
          <w:tcPr>
            <w:tcW w:w="2421" w:type="dxa"/>
            <w:tcBorders>
              <w:top w:val="nil"/>
              <w:left w:val="nil"/>
              <w:bottom w:val="single" w:sz="4" w:space="0" w:color="auto"/>
              <w:right w:val="single" w:sz="4" w:space="0" w:color="auto"/>
            </w:tcBorders>
            <w:shd w:val="clear" w:color="auto" w:fill="FFFFFF"/>
            <w:hideMark/>
          </w:tcPr>
          <w:p w:rsidR="00C404B9" w:rsidRPr="00294B35" w:rsidRDefault="00C404B9" w:rsidP="00000E53">
            <w:pPr>
              <w:shd w:val="clear" w:color="auto" w:fill="FFFFFF"/>
              <w:rPr>
                <w:color w:val="000000"/>
                <w:sz w:val="16"/>
                <w:szCs w:val="16"/>
              </w:rPr>
            </w:pPr>
            <w:r w:rsidRPr="00294B35">
              <w:rPr>
                <w:color w:val="000000"/>
                <w:sz w:val="16"/>
                <w:szCs w:val="16"/>
              </w:rPr>
              <w:t>окружной бюджет</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427"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72 039,5</w:t>
            </w:r>
          </w:p>
        </w:tc>
        <w:tc>
          <w:tcPr>
            <w:tcW w:w="855"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848"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72 039,5</w:t>
            </w:r>
          </w:p>
        </w:tc>
        <w:tc>
          <w:tcPr>
            <w:tcW w:w="999"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r>
      <w:tr w:rsidR="00C404B9" w:rsidRPr="00294B35" w:rsidTr="00A21C38">
        <w:trPr>
          <w:trHeight w:val="178"/>
        </w:trPr>
        <w:tc>
          <w:tcPr>
            <w:tcW w:w="428" w:type="dxa"/>
            <w:vMerge/>
            <w:tcBorders>
              <w:top w:val="nil"/>
              <w:left w:val="single" w:sz="4" w:space="0" w:color="auto"/>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rPr>
                <w:color w:val="000000"/>
                <w:sz w:val="16"/>
                <w:szCs w:val="16"/>
              </w:rPr>
            </w:pPr>
          </w:p>
        </w:tc>
        <w:tc>
          <w:tcPr>
            <w:tcW w:w="2421" w:type="dxa"/>
            <w:tcBorders>
              <w:top w:val="nil"/>
              <w:left w:val="nil"/>
              <w:bottom w:val="single" w:sz="4" w:space="0" w:color="auto"/>
              <w:right w:val="single" w:sz="4" w:space="0" w:color="auto"/>
            </w:tcBorders>
            <w:shd w:val="clear" w:color="auto" w:fill="FFFFFF"/>
            <w:hideMark/>
          </w:tcPr>
          <w:p w:rsidR="00C404B9" w:rsidRPr="00294B35" w:rsidRDefault="00C404B9" w:rsidP="00000E53">
            <w:pPr>
              <w:shd w:val="clear" w:color="auto" w:fill="FFFFFF"/>
              <w:rPr>
                <w:color w:val="000000"/>
                <w:sz w:val="16"/>
                <w:szCs w:val="16"/>
              </w:rPr>
            </w:pPr>
            <w:r w:rsidRPr="00294B35">
              <w:rPr>
                <w:color w:val="000000"/>
                <w:sz w:val="16"/>
                <w:szCs w:val="16"/>
              </w:rPr>
              <w:t>местный бюджет</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427"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855"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848"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999"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0,0</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r>
      <w:tr w:rsidR="00C404B9" w:rsidRPr="00294B35" w:rsidTr="00A21C38">
        <w:trPr>
          <w:trHeight w:val="135"/>
        </w:trPr>
        <w:tc>
          <w:tcPr>
            <w:tcW w:w="284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404B9" w:rsidRPr="00294B35" w:rsidRDefault="00C404B9" w:rsidP="00000E53">
            <w:pPr>
              <w:shd w:val="clear" w:color="auto" w:fill="FFFFFF"/>
              <w:jc w:val="right"/>
              <w:rPr>
                <w:b/>
                <w:bCs/>
                <w:color w:val="000000"/>
                <w:sz w:val="16"/>
                <w:szCs w:val="16"/>
              </w:rPr>
            </w:pPr>
            <w:r w:rsidRPr="00294B35">
              <w:rPr>
                <w:b/>
                <w:bCs/>
                <w:color w:val="000000"/>
                <w:sz w:val="16"/>
                <w:szCs w:val="16"/>
              </w:rPr>
              <w:t xml:space="preserve">Итого: </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 </w:t>
            </w:r>
          </w:p>
        </w:tc>
        <w:tc>
          <w:tcPr>
            <w:tcW w:w="427"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 </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1 237 072,0</w:t>
            </w:r>
          </w:p>
        </w:tc>
        <w:tc>
          <w:tcPr>
            <w:tcW w:w="855"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32 021,5</w:t>
            </w:r>
          </w:p>
        </w:tc>
        <w:tc>
          <w:tcPr>
            <w:tcW w:w="996"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374 812,5</w:t>
            </w:r>
          </w:p>
        </w:tc>
        <w:tc>
          <w:tcPr>
            <w:tcW w:w="848"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A21C38">
            <w:pPr>
              <w:shd w:val="clear" w:color="auto" w:fill="FFFFFF"/>
              <w:ind w:right="-117"/>
              <w:jc w:val="center"/>
              <w:rPr>
                <w:b/>
                <w:bCs/>
                <w:color w:val="000000"/>
                <w:sz w:val="16"/>
                <w:szCs w:val="16"/>
              </w:rPr>
            </w:pPr>
            <w:r w:rsidRPr="00294B35">
              <w:rPr>
                <w:b/>
                <w:bCs/>
                <w:color w:val="000000"/>
                <w:sz w:val="16"/>
                <w:szCs w:val="16"/>
              </w:rPr>
              <w:t>492 064,4</w:t>
            </w:r>
          </w:p>
        </w:tc>
        <w:tc>
          <w:tcPr>
            <w:tcW w:w="999" w:type="dxa"/>
            <w:tcBorders>
              <w:top w:val="nil"/>
              <w:left w:val="nil"/>
              <w:bottom w:val="single" w:sz="4" w:space="0" w:color="auto"/>
              <w:right w:val="single" w:sz="4" w:space="0" w:color="auto"/>
            </w:tcBorders>
            <w:shd w:val="clear" w:color="auto" w:fill="FFFFFF"/>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338 173,6</w:t>
            </w:r>
          </w:p>
        </w:tc>
        <w:tc>
          <w:tcPr>
            <w:tcW w:w="856" w:type="dxa"/>
            <w:tcBorders>
              <w:top w:val="nil"/>
              <w:left w:val="nil"/>
              <w:bottom w:val="single" w:sz="4" w:space="0" w:color="auto"/>
              <w:right w:val="single" w:sz="4" w:space="0" w:color="auto"/>
            </w:tcBorders>
            <w:shd w:val="clear" w:color="auto" w:fill="FFFFFF"/>
            <w:noWrap/>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9 023,2</w:t>
            </w:r>
          </w:p>
        </w:tc>
      </w:tr>
      <w:tr w:rsidR="00C404B9" w:rsidRPr="00294B35" w:rsidTr="00A21C38">
        <w:trPr>
          <w:trHeight w:val="178"/>
        </w:trPr>
        <w:tc>
          <w:tcPr>
            <w:tcW w:w="2849" w:type="dxa"/>
            <w:gridSpan w:val="2"/>
            <w:tcBorders>
              <w:top w:val="single" w:sz="4" w:space="0" w:color="auto"/>
              <w:left w:val="single" w:sz="4" w:space="0" w:color="auto"/>
              <w:bottom w:val="single" w:sz="4" w:space="0" w:color="auto"/>
              <w:right w:val="single" w:sz="4" w:space="0" w:color="auto"/>
            </w:tcBorders>
            <w:shd w:val="clear" w:color="auto" w:fill="auto"/>
            <w:hideMark/>
          </w:tcPr>
          <w:p w:rsidR="00C404B9" w:rsidRPr="00294B35" w:rsidRDefault="00C404B9" w:rsidP="00000E53">
            <w:pPr>
              <w:shd w:val="clear" w:color="auto" w:fill="FFFFFF"/>
              <w:jc w:val="right"/>
              <w:rPr>
                <w:bCs/>
                <w:color w:val="000000"/>
                <w:sz w:val="16"/>
                <w:szCs w:val="16"/>
              </w:rPr>
            </w:pPr>
            <w:r w:rsidRPr="00294B35">
              <w:rPr>
                <w:bCs/>
                <w:color w:val="000000"/>
                <w:sz w:val="16"/>
                <w:szCs w:val="16"/>
              </w:rPr>
              <w:t>в том числе:</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Cs/>
                <w:color w:val="000000"/>
                <w:sz w:val="16"/>
                <w:szCs w:val="16"/>
              </w:rPr>
            </w:pPr>
            <w:r w:rsidRPr="00294B35">
              <w:rPr>
                <w:bCs/>
                <w:color w:val="000000"/>
                <w:sz w:val="16"/>
                <w:szCs w:val="16"/>
              </w:rPr>
              <w:t> </w:t>
            </w:r>
          </w:p>
        </w:tc>
        <w:tc>
          <w:tcPr>
            <w:tcW w:w="427"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 </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 </w:t>
            </w:r>
          </w:p>
        </w:tc>
        <w:tc>
          <w:tcPr>
            <w:tcW w:w="855"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 </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 </w:t>
            </w:r>
          </w:p>
        </w:tc>
        <w:tc>
          <w:tcPr>
            <w:tcW w:w="848"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A21C38">
            <w:pPr>
              <w:shd w:val="clear" w:color="auto" w:fill="FFFFFF"/>
              <w:ind w:right="-117"/>
              <w:jc w:val="center"/>
              <w:rPr>
                <w:b/>
                <w:bCs/>
                <w:color w:val="000000"/>
                <w:sz w:val="16"/>
                <w:szCs w:val="16"/>
              </w:rPr>
            </w:pPr>
            <w:r w:rsidRPr="00294B35">
              <w:rPr>
                <w:b/>
                <w:bCs/>
                <w:color w:val="000000"/>
                <w:sz w:val="16"/>
                <w:szCs w:val="16"/>
              </w:rPr>
              <w:t> </w:t>
            </w:r>
          </w:p>
        </w:tc>
        <w:tc>
          <w:tcPr>
            <w:tcW w:w="999"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r>
      <w:tr w:rsidR="00C404B9" w:rsidRPr="00294B35" w:rsidTr="00A21C38">
        <w:trPr>
          <w:trHeight w:val="178"/>
        </w:trPr>
        <w:tc>
          <w:tcPr>
            <w:tcW w:w="2849" w:type="dxa"/>
            <w:gridSpan w:val="2"/>
            <w:tcBorders>
              <w:top w:val="single" w:sz="4" w:space="0" w:color="auto"/>
              <w:left w:val="single" w:sz="4" w:space="0" w:color="auto"/>
              <w:bottom w:val="single" w:sz="4" w:space="0" w:color="auto"/>
              <w:right w:val="single" w:sz="4" w:space="0" w:color="auto"/>
            </w:tcBorders>
            <w:shd w:val="clear" w:color="auto" w:fill="auto"/>
            <w:hideMark/>
          </w:tcPr>
          <w:p w:rsidR="00C404B9" w:rsidRPr="00294B35" w:rsidRDefault="00C404B9" w:rsidP="00000E53">
            <w:pPr>
              <w:shd w:val="clear" w:color="auto" w:fill="FFFFFF"/>
              <w:jc w:val="right"/>
              <w:rPr>
                <w:b/>
                <w:color w:val="000000"/>
                <w:sz w:val="16"/>
                <w:szCs w:val="16"/>
              </w:rPr>
            </w:pPr>
            <w:r w:rsidRPr="00294B35">
              <w:rPr>
                <w:b/>
                <w:color w:val="000000"/>
                <w:sz w:val="16"/>
                <w:szCs w:val="16"/>
              </w:rPr>
              <w:t>окружной бюджет</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427"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1 236 039,6</w:t>
            </w:r>
          </w:p>
        </w:tc>
        <w:tc>
          <w:tcPr>
            <w:tcW w:w="855"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31 981,9</w:t>
            </w:r>
          </w:p>
        </w:tc>
        <w:tc>
          <w:tcPr>
            <w:tcW w:w="996"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374 473,7</w:t>
            </w:r>
          </w:p>
        </w:tc>
        <w:tc>
          <w:tcPr>
            <w:tcW w:w="848"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A21C38">
            <w:pPr>
              <w:shd w:val="clear" w:color="auto" w:fill="FFFFFF"/>
              <w:ind w:right="-117"/>
              <w:jc w:val="center"/>
              <w:rPr>
                <w:color w:val="000000"/>
                <w:sz w:val="16"/>
                <w:szCs w:val="16"/>
              </w:rPr>
            </w:pPr>
            <w:r w:rsidRPr="00294B35">
              <w:rPr>
                <w:color w:val="000000"/>
                <w:sz w:val="16"/>
                <w:szCs w:val="16"/>
              </w:rPr>
              <w:t>491 644,5</w:t>
            </w:r>
          </w:p>
        </w:tc>
        <w:tc>
          <w:tcPr>
            <w:tcW w:w="999" w:type="dxa"/>
            <w:tcBorders>
              <w:top w:val="nil"/>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337 939,5</w:t>
            </w:r>
          </w:p>
        </w:tc>
        <w:tc>
          <w:tcPr>
            <w:tcW w:w="856" w:type="dxa"/>
            <w:tcBorders>
              <w:top w:val="nil"/>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r>
      <w:tr w:rsidR="00C404B9" w:rsidRPr="00294B35" w:rsidTr="00A21C38">
        <w:trPr>
          <w:trHeight w:val="178"/>
        </w:trPr>
        <w:tc>
          <w:tcPr>
            <w:tcW w:w="2849" w:type="dxa"/>
            <w:gridSpan w:val="2"/>
            <w:tcBorders>
              <w:top w:val="single" w:sz="4" w:space="0" w:color="auto"/>
              <w:left w:val="single" w:sz="4" w:space="0" w:color="auto"/>
              <w:bottom w:val="single" w:sz="4" w:space="0" w:color="auto"/>
              <w:right w:val="single" w:sz="4" w:space="0" w:color="auto"/>
            </w:tcBorders>
            <w:shd w:val="clear" w:color="auto" w:fill="auto"/>
            <w:hideMark/>
          </w:tcPr>
          <w:p w:rsidR="00C404B9" w:rsidRPr="00294B35" w:rsidRDefault="00C404B9" w:rsidP="00000E53">
            <w:pPr>
              <w:shd w:val="clear" w:color="auto" w:fill="FFFFFF"/>
              <w:jc w:val="right"/>
              <w:rPr>
                <w:b/>
                <w:color w:val="000000"/>
                <w:sz w:val="16"/>
                <w:szCs w:val="16"/>
              </w:rPr>
            </w:pPr>
            <w:r w:rsidRPr="00294B35">
              <w:rPr>
                <w:b/>
                <w:color w:val="000000"/>
                <w:sz w:val="16"/>
                <w:szCs w:val="16"/>
              </w:rPr>
              <w:t>местный бюджет</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427" w:type="dxa"/>
            <w:tcBorders>
              <w:top w:val="single" w:sz="4" w:space="0" w:color="auto"/>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b/>
                <w:bCs/>
                <w:color w:val="000000"/>
                <w:sz w:val="16"/>
                <w:szCs w:val="16"/>
              </w:rPr>
            </w:pPr>
            <w:r w:rsidRPr="00294B35">
              <w:rPr>
                <w:b/>
                <w:bCs/>
                <w:color w:val="000000"/>
                <w:sz w:val="16"/>
                <w:szCs w:val="16"/>
              </w:rPr>
              <w:t>1 032,4</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39,6</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338,8</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419,9</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234,1</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rsidR="00C404B9" w:rsidRPr="00294B35" w:rsidRDefault="00C404B9" w:rsidP="00000E53">
            <w:pPr>
              <w:shd w:val="clear" w:color="auto" w:fill="FFFFFF"/>
              <w:jc w:val="center"/>
              <w:rPr>
                <w:color w:val="000000"/>
                <w:sz w:val="16"/>
                <w:szCs w:val="16"/>
              </w:rPr>
            </w:pPr>
            <w:r w:rsidRPr="00294B35">
              <w:rPr>
                <w:color w:val="000000"/>
                <w:sz w:val="16"/>
                <w:szCs w:val="16"/>
              </w:rPr>
              <w:t> </w:t>
            </w:r>
          </w:p>
        </w:tc>
      </w:tr>
    </w:tbl>
    <w:p w:rsidR="00C404B9" w:rsidRDefault="00C404B9" w:rsidP="00C404B9">
      <w:pPr>
        <w:shd w:val="clear" w:color="auto" w:fill="FFFFFF"/>
        <w:autoSpaceDE w:val="0"/>
        <w:autoSpaceDN w:val="0"/>
        <w:adjustRightInd w:val="0"/>
        <w:ind w:firstLine="708"/>
        <w:jc w:val="right"/>
        <w:rPr>
          <w:rFonts w:eastAsia="Calibri"/>
          <w:sz w:val="16"/>
          <w:szCs w:val="16"/>
        </w:rPr>
      </w:pPr>
    </w:p>
    <w:p w:rsidR="00C404B9" w:rsidRDefault="00C404B9" w:rsidP="00C404B9">
      <w:pPr>
        <w:autoSpaceDE w:val="0"/>
        <w:autoSpaceDN w:val="0"/>
        <w:adjustRightInd w:val="0"/>
        <w:ind w:firstLine="720"/>
        <w:jc w:val="both"/>
        <w:rPr>
          <w:rFonts w:eastAsia="Calibri"/>
          <w:sz w:val="28"/>
          <w:szCs w:val="28"/>
          <w:lang w:eastAsia="en-US"/>
        </w:rPr>
      </w:pPr>
      <w:r w:rsidRPr="00865E7F">
        <w:rPr>
          <w:rFonts w:eastAsia="Calibri"/>
          <w:sz w:val="28"/>
          <w:szCs w:val="28"/>
          <w:lang w:eastAsia="en-US"/>
        </w:rPr>
        <w:t xml:space="preserve">В </w:t>
      </w:r>
      <w:r>
        <w:rPr>
          <w:rFonts w:eastAsia="Calibri"/>
          <w:sz w:val="28"/>
          <w:szCs w:val="28"/>
          <w:lang w:eastAsia="en-US"/>
        </w:rPr>
        <w:t>ходе проверки соблюдения требований бюджетного законодательства и нормативных правовых актов Чукотского автономного округа при заключении соглашений о предоставлении Субсидий на развитие жилищного строительства установлены следующие нарушения:</w:t>
      </w:r>
    </w:p>
    <w:p w:rsidR="00C404B9" w:rsidRDefault="00C404B9" w:rsidP="00C404B9">
      <w:pPr>
        <w:autoSpaceDE w:val="0"/>
        <w:autoSpaceDN w:val="0"/>
        <w:adjustRightInd w:val="0"/>
        <w:ind w:firstLine="708"/>
        <w:jc w:val="both"/>
        <w:rPr>
          <w:sz w:val="28"/>
          <w:szCs w:val="28"/>
        </w:rPr>
      </w:pPr>
      <w:r w:rsidRPr="009D61AF">
        <w:rPr>
          <w:rFonts w:eastAsia="Calibri"/>
          <w:sz w:val="28"/>
          <w:szCs w:val="28"/>
          <w:lang w:eastAsia="en-US"/>
        </w:rPr>
        <w:t xml:space="preserve">- в нарушение подпункта 4 пункта 2.5 Порядка №12, Администрацией </w:t>
      </w:r>
      <w:proofErr w:type="spellStart"/>
      <w:r w:rsidRPr="009D61AF">
        <w:rPr>
          <w:rFonts w:eastAsia="Calibri"/>
          <w:sz w:val="28"/>
          <w:szCs w:val="28"/>
          <w:lang w:eastAsia="en-US"/>
        </w:rPr>
        <w:t>Провиденского</w:t>
      </w:r>
      <w:proofErr w:type="spellEnd"/>
      <w:r w:rsidRPr="009D61AF">
        <w:rPr>
          <w:rFonts w:eastAsia="Calibri"/>
          <w:sz w:val="28"/>
          <w:szCs w:val="28"/>
          <w:lang w:eastAsia="en-US"/>
        </w:rPr>
        <w:t xml:space="preserve"> городского округа в составе 6 заявок для заключения соглашений не представлен </w:t>
      </w:r>
      <w:r w:rsidRPr="009D61AF">
        <w:rPr>
          <w:sz w:val="28"/>
          <w:szCs w:val="28"/>
        </w:rPr>
        <w:t>список граждан, нуждающихся в жилых помещениях, предоставляемых по договорам социального найма, в который включены граждане, имеющие право на внеочередное получение жилых помещений</w:t>
      </w:r>
      <w:r w:rsidRPr="009D61AF">
        <w:rPr>
          <w:rStyle w:val="ab"/>
          <w:sz w:val="28"/>
          <w:szCs w:val="28"/>
        </w:rPr>
        <w:footnoteReference w:id="181"/>
      </w:r>
      <w:r w:rsidRPr="009D61AF">
        <w:rPr>
          <w:sz w:val="28"/>
          <w:szCs w:val="28"/>
        </w:rPr>
        <w:t>;</w:t>
      </w:r>
    </w:p>
    <w:p w:rsidR="00C404B9" w:rsidRDefault="00C404B9" w:rsidP="00C404B9">
      <w:pPr>
        <w:autoSpaceDE w:val="0"/>
        <w:autoSpaceDN w:val="0"/>
        <w:adjustRightInd w:val="0"/>
        <w:ind w:firstLine="720"/>
        <w:jc w:val="both"/>
        <w:rPr>
          <w:sz w:val="28"/>
          <w:szCs w:val="28"/>
        </w:rPr>
      </w:pPr>
      <w:r>
        <w:rPr>
          <w:sz w:val="28"/>
          <w:szCs w:val="28"/>
        </w:rPr>
        <w:t>- в</w:t>
      </w:r>
      <w:r w:rsidRPr="00FD11AE">
        <w:rPr>
          <w:sz w:val="28"/>
          <w:szCs w:val="28"/>
        </w:rPr>
        <w:t xml:space="preserve"> нарушение пункта 4.1 статьи 139 Бюджетного кодекса Российской Федерации, </w:t>
      </w:r>
      <w:r>
        <w:rPr>
          <w:sz w:val="28"/>
          <w:szCs w:val="28"/>
        </w:rPr>
        <w:t xml:space="preserve">все </w:t>
      </w:r>
      <w:r w:rsidRPr="00FD11AE">
        <w:rPr>
          <w:sz w:val="28"/>
          <w:szCs w:val="28"/>
        </w:rPr>
        <w:t>заключенные в 202</w:t>
      </w:r>
      <w:r>
        <w:rPr>
          <w:sz w:val="28"/>
          <w:szCs w:val="28"/>
        </w:rPr>
        <w:t>0</w:t>
      </w:r>
      <w:r w:rsidRPr="00FD11AE">
        <w:rPr>
          <w:sz w:val="28"/>
          <w:szCs w:val="28"/>
        </w:rPr>
        <w:t xml:space="preserve">-2022 годах соглашения не соответствуют </w:t>
      </w:r>
      <w:r w:rsidRPr="00721B9E">
        <w:rPr>
          <w:sz w:val="28"/>
          <w:szCs w:val="28"/>
        </w:rPr>
        <w:t>Типовой форме соглашения о предоставлении субсидии из окружного бюджета бюджету муниципального образования Чукотского автономного округа</w:t>
      </w:r>
      <w:r w:rsidRPr="00721B9E">
        <w:rPr>
          <w:rStyle w:val="ab"/>
          <w:sz w:val="28"/>
          <w:szCs w:val="28"/>
        </w:rPr>
        <w:footnoteReference w:id="182"/>
      </w:r>
      <w:r w:rsidRPr="00FD11AE">
        <w:rPr>
          <w:sz w:val="28"/>
          <w:szCs w:val="28"/>
        </w:rPr>
        <w:t>, а также отдельным требованиям Порядка №12 (нарушена структура документа, отсутствуют отдельные положения)</w:t>
      </w:r>
      <w:r>
        <w:rPr>
          <w:sz w:val="28"/>
          <w:szCs w:val="28"/>
        </w:rPr>
        <w:t>;</w:t>
      </w:r>
    </w:p>
    <w:p w:rsidR="00C404B9" w:rsidRDefault="00C404B9" w:rsidP="00C404B9">
      <w:pPr>
        <w:shd w:val="clear" w:color="auto" w:fill="FFFFFF"/>
        <w:autoSpaceDE w:val="0"/>
        <w:autoSpaceDN w:val="0"/>
        <w:adjustRightInd w:val="0"/>
        <w:ind w:firstLine="708"/>
        <w:jc w:val="both"/>
        <w:rPr>
          <w:rFonts w:eastAsia="Calibri"/>
          <w:sz w:val="28"/>
          <w:szCs w:val="28"/>
        </w:rPr>
      </w:pPr>
      <w:r>
        <w:rPr>
          <w:rFonts w:eastAsia="Calibri"/>
          <w:sz w:val="28"/>
          <w:szCs w:val="28"/>
          <w:lang w:eastAsia="en-US"/>
        </w:rPr>
        <w:t>- в</w:t>
      </w:r>
      <w:r w:rsidRPr="002D2CE0">
        <w:rPr>
          <w:sz w:val="28"/>
          <w:szCs w:val="28"/>
        </w:rPr>
        <w:t xml:space="preserve"> нарушение подпункта 2 пункта 1 статьи 162 и пункта 3 статьи 219 Бюджетного кодекса</w:t>
      </w:r>
      <w:r>
        <w:rPr>
          <w:sz w:val="28"/>
          <w:szCs w:val="28"/>
        </w:rPr>
        <w:t xml:space="preserve"> Российской Федерации, Департаментом промышленности</w:t>
      </w:r>
      <w:r w:rsidRPr="002D2CE0">
        <w:rPr>
          <w:rStyle w:val="afff0"/>
          <w:sz w:val="28"/>
          <w:szCs w:val="28"/>
        </w:rPr>
        <w:t xml:space="preserve"> </w:t>
      </w:r>
      <w:r w:rsidRPr="004F4150">
        <w:rPr>
          <w:rStyle w:val="afff0"/>
          <w:sz w:val="28"/>
          <w:szCs w:val="28"/>
        </w:rPr>
        <w:t>приняты бюджетные обязательства</w:t>
      </w:r>
      <w:r>
        <w:rPr>
          <w:rStyle w:val="afff0"/>
          <w:sz w:val="28"/>
          <w:szCs w:val="28"/>
        </w:rPr>
        <w:t xml:space="preserve"> </w:t>
      </w:r>
      <w:r w:rsidRPr="004F4150">
        <w:rPr>
          <w:rStyle w:val="afff0"/>
          <w:sz w:val="28"/>
          <w:szCs w:val="28"/>
        </w:rPr>
        <w:t>в размер</w:t>
      </w:r>
      <w:r>
        <w:rPr>
          <w:rStyle w:val="afff0"/>
          <w:sz w:val="28"/>
          <w:szCs w:val="28"/>
        </w:rPr>
        <w:t>е</w:t>
      </w:r>
      <w:r>
        <w:rPr>
          <w:sz w:val="28"/>
          <w:szCs w:val="28"/>
        </w:rPr>
        <w:t xml:space="preserve"> </w:t>
      </w:r>
      <w:r w:rsidRPr="005F546E">
        <w:rPr>
          <w:rFonts w:eastAsia="Calibri"/>
          <w:sz w:val="28"/>
          <w:szCs w:val="28"/>
        </w:rPr>
        <w:t>104 669,5 тыс. рублей</w:t>
      </w:r>
      <w:r w:rsidRPr="004F4150">
        <w:rPr>
          <w:rStyle w:val="afff0"/>
          <w:sz w:val="28"/>
          <w:szCs w:val="28"/>
        </w:rPr>
        <w:t xml:space="preserve">, </w:t>
      </w:r>
      <w:r>
        <w:rPr>
          <w:rStyle w:val="afff0"/>
          <w:sz w:val="28"/>
          <w:szCs w:val="28"/>
        </w:rPr>
        <w:t>в</w:t>
      </w:r>
      <w:r>
        <w:rPr>
          <w:sz w:val="28"/>
          <w:szCs w:val="28"/>
        </w:rPr>
        <w:t xml:space="preserve"> отсутствие</w:t>
      </w:r>
      <w:r w:rsidRPr="004F4150">
        <w:rPr>
          <w:rStyle w:val="afff0"/>
          <w:sz w:val="28"/>
          <w:szCs w:val="28"/>
        </w:rPr>
        <w:t xml:space="preserve"> </w:t>
      </w:r>
      <w:r w:rsidRPr="00FE2E95">
        <w:rPr>
          <w:rFonts w:eastAsia="Calibri"/>
          <w:sz w:val="28"/>
          <w:szCs w:val="28"/>
        </w:rPr>
        <w:t>доведенны</w:t>
      </w:r>
      <w:r>
        <w:rPr>
          <w:rFonts w:eastAsia="Calibri"/>
          <w:sz w:val="28"/>
          <w:szCs w:val="28"/>
        </w:rPr>
        <w:t>х</w:t>
      </w:r>
      <w:r w:rsidRPr="00FE2E95">
        <w:rPr>
          <w:rFonts w:eastAsia="Calibri"/>
          <w:sz w:val="28"/>
          <w:szCs w:val="28"/>
        </w:rPr>
        <w:t xml:space="preserve"> лимит</w:t>
      </w:r>
      <w:r>
        <w:rPr>
          <w:rFonts w:eastAsia="Calibri"/>
          <w:sz w:val="28"/>
          <w:szCs w:val="28"/>
        </w:rPr>
        <w:t>ов</w:t>
      </w:r>
      <w:r w:rsidRPr="00FE2E95">
        <w:rPr>
          <w:rFonts w:eastAsia="Calibri"/>
          <w:sz w:val="28"/>
          <w:szCs w:val="28"/>
        </w:rPr>
        <w:t xml:space="preserve"> бюджетных обязательств на 2023 год</w:t>
      </w:r>
      <w:r w:rsidRPr="00FE2E95">
        <w:rPr>
          <w:sz w:val="28"/>
          <w:szCs w:val="28"/>
        </w:rPr>
        <w:t>,</w:t>
      </w:r>
      <w:r w:rsidRPr="002D2CE0">
        <w:rPr>
          <w:rStyle w:val="afff0"/>
          <w:sz w:val="28"/>
          <w:szCs w:val="28"/>
        </w:rPr>
        <w:t xml:space="preserve"> </w:t>
      </w:r>
      <w:r>
        <w:rPr>
          <w:sz w:val="28"/>
          <w:szCs w:val="28"/>
        </w:rPr>
        <w:t xml:space="preserve"> </w:t>
      </w:r>
      <w:r w:rsidRPr="002D2CE0">
        <w:rPr>
          <w:sz w:val="28"/>
          <w:szCs w:val="28"/>
        </w:rPr>
        <w:t xml:space="preserve">путем заключения </w:t>
      </w:r>
      <w:r>
        <w:rPr>
          <w:sz w:val="28"/>
          <w:szCs w:val="28"/>
        </w:rPr>
        <w:t>С</w:t>
      </w:r>
      <w:r w:rsidRPr="002D2CE0">
        <w:rPr>
          <w:sz w:val="28"/>
          <w:szCs w:val="28"/>
        </w:rPr>
        <w:t>оглашени</w:t>
      </w:r>
      <w:r>
        <w:rPr>
          <w:sz w:val="28"/>
          <w:szCs w:val="28"/>
        </w:rPr>
        <w:t>я</w:t>
      </w:r>
      <w:r w:rsidRPr="002D2CE0">
        <w:rPr>
          <w:sz w:val="28"/>
          <w:szCs w:val="28"/>
        </w:rPr>
        <w:t xml:space="preserve"> </w:t>
      </w:r>
      <w:r>
        <w:rPr>
          <w:sz w:val="28"/>
          <w:szCs w:val="28"/>
        </w:rPr>
        <w:t xml:space="preserve">№50 </w:t>
      </w:r>
      <w:r w:rsidRPr="002D2CE0">
        <w:rPr>
          <w:sz w:val="28"/>
          <w:szCs w:val="28"/>
        </w:rPr>
        <w:t>о</w:t>
      </w:r>
      <w:r>
        <w:rPr>
          <w:sz w:val="28"/>
          <w:szCs w:val="28"/>
        </w:rPr>
        <w:t> </w:t>
      </w:r>
      <w:r w:rsidRPr="002D2CE0">
        <w:rPr>
          <w:sz w:val="28"/>
          <w:szCs w:val="28"/>
        </w:rPr>
        <w:t>предоставлении</w:t>
      </w:r>
      <w:r>
        <w:rPr>
          <w:sz w:val="28"/>
          <w:szCs w:val="28"/>
        </w:rPr>
        <w:t xml:space="preserve"> Субсидии на развитие жилищного строительства Администрации сельского поселения Уэлен</w:t>
      </w:r>
      <w:r w:rsidRPr="008C41DE">
        <w:rPr>
          <w:sz w:val="28"/>
          <w:szCs w:val="28"/>
        </w:rPr>
        <w:t xml:space="preserve"> </w:t>
      </w:r>
      <w:r>
        <w:rPr>
          <w:sz w:val="28"/>
          <w:szCs w:val="28"/>
        </w:rPr>
        <w:t>в 2023 году, что содержит признаки административного правонарушения</w:t>
      </w:r>
      <w:r w:rsidRPr="002D2CE0">
        <w:rPr>
          <w:rStyle w:val="ab"/>
          <w:sz w:val="28"/>
          <w:szCs w:val="28"/>
          <w:highlight w:val="white"/>
        </w:rPr>
        <w:footnoteReference w:id="183"/>
      </w:r>
      <w:r w:rsidRPr="005F546E">
        <w:rPr>
          <w:rFonts w:eastAsia="Calibri"/>
          <w:sz w:val="28"/>
          <w:szCs w:val="28"/>
        </w:rPr>
        <w:t xml:space="preserve">. </w:t>
      </w:r>
    </w:p>
    <w:p w:rsidR="00C404B9" w:rsidRPr="005F546E" w:rsidRDefault="00C404B9" w:rsidP="00C404B9">
      <w:pPr>
        <w:autoSpaceDE w:val="0"/>
        <w:autoSpaceDN w:val="0"/>
        <w:adjustRightInd w:val="0"/>
        <w:ind w:firstLine="709"/>
        <w:jc w:val="both"/>
        <w:rPr>
          <w:rFonts w:eastAsia="Calibri"/>
          <w:sz w:val="28"/>
          <w:szCs w:val="28"/>
        </w:rPr>
      </w:pPr>
      <w:r w:rsidRPr="00C97AAD">
        <w:rPr>
          <w:rFonts w:eastAsia="Calibri"/>
          <w:sz w:val="28"/>
          <w:szCs w:val="28"/>
          <w:lang w:eastAsia="en-US"/>
        </w:rPr>
        <w:lastRenderedPageBreak/>
        <w:t xml:space="preserve">Проверкой установлено, что </w:t>
      </w:r>
      <w:r w:rsidRPr="00C97AAD">
        <w:rPr>
          <w:rFonts w:eastAsia="Calibri"/>
          <w:sz w:val="28"/>
          <w:szCs w:val="28"/>
        </w:rPr>
        <w:t xml:space="preserve">Администрацией городского округа </w:t>
      </w:r>
      <w:proofErr w:type="spellStart"/>
      <w:r w:rsidRPr="00C97AAD">
        <w:rPr>
          <w:rFonts w:eastAsia="Calibri"/>
          <w:sz w:val="28"/>
          <w:szCs w:val="28"/>
        </w:rPr>
        <w:t>Эгвекинот</w:t>
      </w:r>
      <w:proofErr w:type="spellEnd"/>
      <w:r w:rsidRPr="00C97AAD">
        <w:rPr>
          <w:rFonts w:eastAsia="Calibri"/>
          <w:sz w:val="28"/>
          <w:szCs w:val="28"/>
        </w:rPr>
        <w:t xml:space="preserve"> мероприятия по </w:t>
      </w:r>
      <w:proofErr w:type="spellStart"/>
      <w:r w:rsidRPr="00C97AAD">
        <w:rPr>
          <w:rFonts w:eastAsia="Calibri"/>
          <w:sz w:val="28"/>
          <w:szCs w:val="28"/>
        </w:rPr>
        <w:t>контрактованию</w:t>
      </w:r>
      <w:proofErr w:type="spellEnd"/>
      <w:r w:rsidRPr="00C97AAD">
        <w:rPr>
          <w:rFonts w:eastAsia="Calibri"/>
          <w:sz w:val="28"/>
          <w:szCs w:val="28"/>
        </w:rPr>
        <w:t xml:space="preserve"> расходов на строительство 12 жилых домов в селе </w:t>
      </w:r>
      <w:proofErr w:type="spellStart"/>
      <w:r w:rsidRPr="00C97AAD">
        <w:rPr>
          <w:rFonts w:eastAsia="Calibri"/>
          <w:sz w:val="28"/>
          <w:szCs w:val="28"/>
        </w:rPr>
        <w:t>Уэлькаль</w:t>
      </w:r>
      <w:proofErr w:type="spellEnd"/>
      <w:r w:rsidRPr="00C97AAD">
        <w:rPr>
          <w:rFonts w:eastAsia="Calibri"/>
          <w:sz w:val="28"/>
          <w:szCs w:val="28"/>
        </w:rPr>
        <w:t xml:space="preserve"> общей площадью не менее 736,0 кв. м на общую сумму 51 821,5 тыс. рублей, предусмотренные С</w:t>
      </w:r>
      <w:r w:rsidRPr="00C97AAD">
        <w:rPr>
          <w:sz w:val="28"/>
          <w:szCs w:val="28"/>
        </w:rPr>
        <w:t xml:space="preserve">оглашением </w:t>
      </w:r>
      <w:r w:rsidRPr="00C97AAD">
        <w:rPr>
          <w:rFonts w:eastAsia="Calibri"/>
          <w:sz w:val="28"/>
          <w:szCs w:val="28"/>
        </w:rPr>
        <w:t xml:space="preserve">№28, проводить не планируется по причине недостаточности предусмотренных бюджетных средств на реализацию мероприятия – сметная (предполагаемая (предельная) стоимость 172 960,0 тыс. рублей превышает размер общего объема бюджетных ассигнований, предусмотренный Соглашением №28,  на 121 138,5 тыс. рублей. </w:t>
      </w:r>
    </w:p>
    <w:p w:rsidR="00C404B9" w:rsidRDefault="00C404B9" w:rsidP="00C404B9">
      <w:pPr>
        <w:pStyle w:val="Style2"/>
        <w:widowControl/>
        <w:tabs>
          <w:tab w:val="left" w:pos="567"/>
          <w:tab w:val="left" w:pos="709"/>
        </w:tabs>
        <w:spacing w:before="120" w:line="240" w:lineRule="auto"/>
        <w:ind w:firstLine="709"/>
        <w:rPr>
          <w:rFonts w:eastAsia="Calibri"/>
          <w:sz w:val="28"/>
          <w:szCs w:val="28"/>
          <w:lang w:eastAsia="en-US"/>
        </w:rPr>
      </w:pPr>
      <w:r>
        <w:rPr>
          <w:rFonts w:eastAsia="Calibri"/>
          <w:sz w:val="28"/>
          <w:szCs w:val="28"/>
          <w:lang w:eastAsia="en-US"/>
        </w:rPr>
        <w:t>Департаментом предоставлены Субсидии на развитие жилищного строительства в проверяемом периоде на общую сумму 249 956,8 тыс. рублей:</w:t>
      </w:r>
    </w:p>
    <w:p w:rsidR="00C404B9" w:rsidRDefault="00C404B9" w:rsidP="00C404B9">
      <w:pPr>
        <w:pStyle w:val="Style2"/>
        <w:widowControl/>
        <w:tabs>
          <w:tab w:val="left" w:pos="567"/>
          <w:tab w:val="left" w:pos="709"/>
        </w:tabs>
        <w:spacing w:line="240" w:lineRule="auto"/>
        <w:ind w:firstLine="708"/>
        <w:rPr>
          <w:rFonts w:eastAsia="Calibri"/>
          <w:sz w:val="28"/>
          <w:szCs w:val="28"/>
          <w:lang w:eastAsia="en-US"/>
        </w:rPr>
      </w:pPr>
      <w:r>
        <w:rPr>
          <w:rFonts w:eastAsia="Calibri"/>
          <w:sz w:val="28"/>
          <w:szCs w:val="28"/>
          <w:lang w:eastAsia="en-US"/>
        </w:rPr>
        <w:t xml:space="preserve">в 2020 году на сумму </w:t>
      </w:r>
      <w:r w:rsidRPr="000801A2">
        <w:rPr>
          <w:rFonts w:eastAsia="Calibri"/>
          <w:sz w:val="28"/>
          <w:szCs w:val="28"/>
          <w:lang w:eastAsia="en-US"/>
        </w:rPr>
        <w:t>31</w:t>
      </w:r>
      <w:r>
        <w:rPr>
          <w:rFonts w:eastAsia="Calibri"/>
          <w:sz w:val="28"/>
          <w:szCs w:val="28"/>
          <w:lang w:val="en-US" w:eastAsia="en-US"/>
        </w:rPr>
        <w:t> </w:t>
      </w:r>
      <w:r w:rsidRPr="000801A2">
        <w:rPr>
          <w:rFonts w:eastAsia="Calibri"/>
          <w:sz w:val="28"/>
          <w:szCs w:val="28"/>
          <w:lang w:eastAsia="en-US"/>
        </w:rPr>
        <w:t>981</w:t>
      </w:r>
      <w:r>
        <w:rPr>
          <w:rFonts w:eastAsia="Calibri"/>
          <w:sz w:val="28"/>
          <w:szCs w:val="28"/>
          <w:lang w:eastAsia="en-US"/>
        </w:rPr>
        <w:t>,9 тыс. рублей</w:t>
      </w:r>
      <w:r w:rsidRPr="009E709F">
        <w:rPr>
          <w:rFonts w:eastAsia="Calibri"/>
          <w:sz w:val="28"/>
          <w:szCs w:val="28"/>
          <w:lang w:eastAsia="en-US"/>
        </w:rPr>
        <w:t xml:space="preserve"> </w:t>
      </w:r>
      <w:r>
        <w:rPr>
          <w:rFonts w:eastAsia="Calibri"/>
          <w:sz w:val="28"/>
          <w:szCs w:val="28"/>
          <w:lang w:eastAsia="en-US"/>
        </w:rPr>
        <w:t xml:space="preserve">– Администрации </w:t>
      </w:r>
      <w:proofErr w:type="spellStart"/>
      <w:r>
        <w:rPr>
          <w:rFonts w:eastAsia="Calibri"/>
          <w:sz w:val="28"/>
          <w:szCs w:val="28"/>
          <w:lang w:eastAsia="en-US"/>
        </w:rPr>
        <w:t>Провиденского</w:t>
      </w:r>
      <w:proofErr w:type="spellEnd"/>
      <w:r>
        <w:rPr>
          <w:rFonts w:eastAsia="Calibri"/>
          <w:sz w:val="28"/>
          <w:szCs w:val="28"/>
          <w:lang w:eastAsia="en-US"/>
        </w:rPr>
        <w:t xml:space="preserve"> городского округа; </w:t>
      </w:r>
    </w:p>
    <w:p w:rsidR="00C404B9" w:rsidRDefault="00C404B9" w:rsidP="00C404B9">
      <w:pPr>
        <w:pStyle w:val="Style2"/>
        <w:widowControl/>
        <w:tabs>
          <w:tab w:val="left" w:pos="567"/>
          <w:tab w:val="left" w:pos="709"/>
        </w:tabs>
        <w:spacing w:line="240" w:lineRule="auto"/>
        <w:ind w:firstLine="708"/>
        <w:rPr>
          <w:sz w:val="28"/>
          <w:szCs w:val="28"/>
        </w:rPr>
      </w:pPr>
      <w:r>
        <w:rPr>
          <w:rFonts w:eastAsia="Calibri"/>
          <w:sz w:val="28"/>
          <w:szCs w:val="28"/>
          <w:lang w:eastAsia="en-US"/>
        </w:rPr>
        <w:t xml:space="preserve">в 2021 году на общую сумму 217 974,9 тыс. рублей, в том числе: </w:t>
      </w:r>
      <w:r>
        <w:rPr>
          <w:sz w:val="28"/>
          <w:szCs w:val="28"/>
        </w:rPr>
        <w:t>162 403,2 тыс. рублей</w:t>
      </w:r>
      <w:r>
        <w:rPr>
          <w:rFonts w:eastAsia="Calibri"/>
          <w:sz w:val="28"/>
          <w:szCs w:val="28"/>
          <w:lang w:eastAsia="en-US"/>
        </w:rPr>
        <w:t xml:space="preserve"> – Администрации </w:t>
      </w:r>
      <w:proofErr w:type="spellStart"/>
      <w:r>
        <w:rPr>
          <w:rFonts w:eastAsia="Calibri"/>
          <w:sz w:val="28"/>
          <w:szCs w:val="28"/>
          <w:lang w:eastAsia="en-US"/>
        </w:rPr>
        <w:t>Провиденского</w:t>
      </w:r>
      <w:proofErr w:type="spellEnd"/>
      <w:r>
        <w:rPr>
          <w:rFonts w:eastAsia="Calibri"/>
          <w:sz w:val="28"/>
          <w:szCs w:val="28"/>
          <w:lang w:eastAsia="en-US"/>
        </w:rPr>
        <w:t xml:space="preserve"> городского округа</w:t>
      </w:r>
      <w:r>
        <w:rPr>
          <w:sz w:val="28"/>
          <w:szCs w:val="28"/>
        </w:rPr>
        <w:t xml:space="preserve">; 18 545,6 тыс. рублей – Администрации городского округа </w:t>
      </w:r>
      <w:proofErr w:type="spellStart"/>
      <w:r>
        <w:rPr>
          <w:sz w:val="28"/>
          <w:szCs w:val="28"/>
        </w:rPr>
        <w:t>Эгвекинот</w:t>
      </w:r>
      <w:proofErr w:type="spellEnd"/>
      <w:r>
        <w:rPr>
          <w:sz w:val="28"/>
          <w:szCs w:val="28"/>
        </w:rPr>
        <w:t>; 37 026,1 тыс. рублей – Администрации сельского поселения Уэлен.</w:t>
      </w:r>
    </w:p>
    <w:p w:rsidR="00C404B9" w:rsidRDefault="00C404B9" w:rsidP="00C404B9">
      <w:pPr>
        <w:shd w:val="clear" w:color="auto" w:fill="FFFFFF"/>
        <w:autoSpaceDE w:val="0"/>
        <w:autoSpaceDN w:val="0"/>
        <w:adjustRightInd w:val="0"/>
        <w:ind w:firstLine="709"/>
        <w:jc w:val="both"/>
        <w:rPr>
          <w:sz w:val="28"/>
          <w:szCs w:val="28"/>
        </w:rPr>
      </w:pPr>
      <w:r>
        <w:rPr>
          <w:sz w:val="28"/>
          <w:szCs w:val="28"/>
        </w:rPr>
        <w:t>В 1 квартале 2022 года финансирование мероприятий по развитию жилищного строительства не осуществлялось</w:t>
      </w:r>
      <w:r w:rsidRPr="00EB3E87">
        <w:rPr>
          <w:sz w:val="28"/>
          <w:szCs w:val="28"/>
        </w:rPr>
        <w:t xml:space="preserve">. </w:t>
      </w:r>
    </w:p>
    <w:p w:rsidR="00C404B9" w:rsidRDefault="00C404B9" w:rsidP="00C404B9">
      <w:pPr>
        <w:pStyle w:val="Style2"/>
        <w:widowControl/>
        <w:tabs>
          <w:tab w:val="left" w:pos="567"/>
          <w:tab w:val="left" w:pos="709"/>
        </w:tabs>
        <w:spacing w:line="240" w:lineRule="auto"/>
        <w:ind w:firstLine="0"/>
        <w:rPr>
          <w:rFonts w:eastAsia="Calibri"/>
          <w:sz w:val="16"/>
          <w:szCs w:val="16"/>
          <w:lang w:eastAsia="en-US"/>
        </w:rPr>
      </w:pPr>
      <w:r>
        <w:rPr>
          <w:rFonts w:eastAsia="Calibri"/>
          <w:sz w:val="28"/>
          <w:szCs w:val="28"/>
          <w:lang w:eastAsia="en-US"/>
        </w:rPr>
        <w:tab/>
      </w:r>
      <w:r>
        <w:rPr>
          <w:rFonts w:eastAsia="Calibri"/>
          <w:sz w:val="28"/>
          <w:szCs w:val="28"/>
          <w:lang w:eastAsia="en-US"/>
        </w:rPr>
        <w:tab/>
      </w:r>
      <w:r w:rsidRPr="00285A71">
        <w:rPr>
          <w:rFonts w:eastAsia="Calibri"/>
          <w:sz w:val="28"/>
          <w:szCs w:val="28"/>
          <w:lang w:eastAsia="en-US"/>
        </w:rPr>
        <w:t xml:space="preserve">В рамках выполнения заключенных Соглашений о предоставлении средств субсидии уполномоченными органами </w:t>
      </w:r>
      <w:r>
        <w:rPr>
          <w:rFonts w:eastAsia="Calibri"/>
          <w:sz w:val="28"/>
          <w:szCs w:val="28"/>
          <w:lang w:eastAsia="en-US"/>
        </w:rPr>
        <w:t xml:space="preserve">в проверяемом периоде </w:t>
      </w:r>
      <w:r w:rsidRPr="00285A71">
        <w:rPr>
          <w:rFonts w:eastAsia="Calibri"/>
          <w:sz w:val="28"/>
          <w:szCs w:val="28"/>
          <w:lang w:eastAsia="en-US"/>
        </w:rPr>
        <w:t>заключен</w:t>
      </w:r>
      <w:r>
        <w:rPr>
          <w:rFonts w:eastAsia="Calibri"/>
          <w:sz w:val="28"/>
          <w:szCs w:val="28"/>
          <w:lang w:eastAsia="en-US"/>
        </w:rPr>
        <w:t>о</w:t>
      </w:r>
      <w:r w:rsidRPr="00285A71">
        <w:rPr>
          <w:rFonts w:eastAsia="Calibri"/>
          <w:sz w:val="28"/>
          <w:szCs w:val="28"/>
          <w:lang w:eastAsia="en-US"/>
        </w:rPr>
        <w:t xml:space="preserve"> </w:t>
      </w:r>
      <w:r>
        <w:rPr>
          <w:rFonts w:eastAsia="Calibri"/>
          <w:sz w:val="28"/>
          <w:szCs w:val="28"/>
          <w:lang w:eastAsia="en-US"/>
        </w:rPr>
        <w:t xml:space="preserve">6 </w:t>
      </w:r>
      <w:r w:rsidRPr="00285A71">
        <w:rPr>
          <w:rFonts w:eastAsia="Calibri"/>
          <w:sz w:val="28"/>
          <w:szCs w:val="28"/>
          <w:lang w:eastAsia="en-US"/>
        </w:rPr>
        <w:t>муниципальны</w:t>
      </w:r>
      <w:r>
        <w:rPr>
          <w:rFonts w:eastAsia="Calibri"/>
          <w:sz w:val="28"/>
          <w:szCs w:val="28"/>
          <w:lang w:eastAsia="en-US"/>
        </w:rPr>
        <w:t>х</w:t>
      </w:r>
      <w:r w:rsidRPr="00285A71">
        <w:rPr>
          <w:rFonts w:eastAsia="Calibri"/>
          <w:sz w:val="28"/>
          <w:szCs w:val="28"/>
          <w:lang w:eastAsia="en-US"/>
        </w:rPr>
        <w:t xml:space="preserve"> контракт</w:t>
      </w:r>
      <w:r>
        <w:rPr>
          <w:rFonts w:eastAsia="Calibri"/>
          <w:sz w:val="28"/>
          <w:szCs w:val="28"/>
          <w:lang w:eastAsia="en-US"/>
        </w:rPr>
        <w:t>ов</w:t>
      </w:r>
      <w:r w:rsidRPr="00285A71">
        <w:rPr>
          <w:rFonts w:eastAsia="Calibri"/>
          <w:sz w:val="28"/>
          <w:szCs w:val="28"/>
          <w:lang w:eastAsia="en-US"/>
        </w:rPr>
        <w:t xml:space="preserve"> на приобретение </w:t>
      </w:r>
      <w:r w:rsidRPr="00F32A96">
        <w:rPr>
          <w:rFonts w:eastAsia="Calibri"/>
          <w:sz w:val="28"/>
          <w:szCs w:val="28"/>
          <w:lang w:eastAsia="en-US"/>
        </w:rPr>
        <w:t>85 ж</w:t>
      </w:r>
      <w:r w:rsidRPr="00285A71">
        <w:rPr>
          <w:rFonts w:eastAsia="Calibri"/>
          <w:sz w:val="28"/>
          <w:szCs w:val="28"/>
          <w:lang w:eastAsia="en-US"/>
        </w:rPr>
        <w:t>илых помещений</w:t>
      </w:r>
      <w:r>
        <w:rPr>
          <w:rFonts w:eastAsia="Calibri"/>
          <w:sz w:val="28"/>
          <w:szCs w:val="28"/>
          <w:lang w:eastAsia="en-US"/>
        </w:rPr>
        <w:t xml:space="preserve"> общей площадью не менее 3 748,0 кв. м на общую сумму 715 504,4 тыс. рублей</w:t>
      </w:r>
      <w:r w:rsidRPr="00285A71">
        <w:rPr>
          <w:rFonts w:eastAsia="Calibri"/>
          <w:sz w:val="28"/>
          <w:szCs w:val="28"/>
          <w:lang w:eastAsia="en-US"/>
        </w:rPr>
        <w:t xml:space="preserve">, </w:t>
      </w:r>
      <w:r w:rsidRPr="00B3109C">
        <w:rPr>
          <w:rFonts w:eastAsia="Calibri"/>
          <w:sz w:val="28"/>
          <w:szCs w:val="28"/>
          <w:lang w:eastAsia="en-US"/>
        </w:rPr>
        <w:t>информация приведена в таблице №</w:t>
      </w:r>
      <w:r>
        <w:rPr>
          <w:rFonts w:eastAsia="Calibri"/>
          <w:sz w:val="28"/>
          <w:szCs w:val="28"/>
          <w:lang w:eastAsia="en-US"/>
        </w:rPr>
        <w:t>4</w:t>
      </w:r>
      <w:r>
        <w:rPr>
          <w:rStyle w:val="ab"/>
          <w:rFonts w:eastAsia="Calibri"/>
          <w:sz w:val="28"/>
          <w:szCs w:val="28"/>
          <w:lang w:eastAsia="en-US"/>
        </w:rPr>
        <w:footnoteReference w:id="184"/>
      </w:r>
      <w:r w:rsidRPr="00B3109C">
        <w:rPr>
          <w:rFonts w:eastAsia="Calibri"/>
          <w:sz w:val="28"/>
          <w:szCs w:val="28"/>
          <w:lang w:eastAsia="en-US"/>
        </w:rPr>
        <w:t>.</w:t>
      </w:r>
    </w:p>
    <w:p w:rsidR="00C404B9" w:rsidRDefault="00C404B9" w:rsidP="00C404B9">
      <w:pPr>
        <w:pStyle w:val="Style2"/>
        <w:widowControl/>
        <w:tabs>
          <w:tab w:val="left" w:pos="567"/>
          <w:tab w:val="left" w:pos="709"/>
        </w:tabs>
        <w:spacing w:line="240" w:lineRule="auto"/>
        <w:ind w:firstLine="708"/>
        <w:jc w:val="right"/>
        <w:rPr>
          <w:rFonts w:eastAsia="Calibri"/>
          <w:sz w:val="28"/>
          <w:szCs w:val="28"/>
          <w:lang w:eastAsia="en-US"/>
        </w:rPr>
      </w:pPr>
      <w:r>
        <w:rPr>
          <w:rFonts w:eastAsia="Calibri"/>
          <w:sz w:val="28"/>
          <w:szCs w:val="28"/>
          <w:lang w:eastAsia="en-US"/>
        </w:rPr>
        <w:t>Таблица №4</w:t>
      </w:r>
    </w:p>
    <w:p w:rsidR="00C404B9" w:rsidRDefault="00C404B9" w:rsidP="00C404B9">
      <w:pPr>
        <w:pStyle w:val="Style2"/>
        <w:widowControl/>
        <w:tabs>
          <w:tab w:val="left" w:pos="567"/>
          <w:tab w:val="left" w:pos="709"/>
        </w:tabs>
        <w:spacing w:line="240" w:lineRule="auto"/>
        <w:ind w:firstLine="708"/>
        <w:jc w:val="right"/>
        <w:rPr>
          <w:rFonts w:eastAsia="Calibri"/>
          <w:sz w:val="28"/>
          <w:szCs w:val="28"/>
          <w:lang w:eastAsia="en-US"/>
        </w:rPr>
      </w:pPr>
      <w:r w:rsidRPr="00B3109C">
        <w:rPr>
          <w:rFonts w:eastAsia="Calibri"/>
          <w:sz w:val="28"/>
          <w:szCs w:val="28"/>
          <w:lang w:eastAsia="en-US"/>
        </w:rPr>
        <w:t>(тыс. рублей)</w:t>
      </w:r>
    </w:p>
    <w:p w:rsidR="00C404B9" w:rsidRDefault="00C404B9" w:rsidP="00C404B9">
      <w:pPr>
        <w:pStyle w:val="Style2"/>
        <w:widowControl/>
        <w:tabs>
          <w:tab w:val="left" w:pos="567"/>
          <w:tab w:val="left" w:pos="709"/>
        </w:tabs>
        <w:spacing w:line="240" w:lineRule="auto"/>
        <w:ind w:firstLine="708"/>
        <w:jc w:val="right"/>
        <w:rPr>
          <w:rFonts w:eastAsia="Calibri"/>
          <w:sz w:val="10"/>
          <w:szCs w:val="16"/>
          <w:lang w:eastAsia="en-US"/>
        </w:rPr>
      </w:pPr>
    </w:p>
    <w:tbl>
      <w:tblPr>
        <w:tblW w:w="10011" w:type="dxa"/>
        <w:tblInd w:w="-34" w:type="dxa"/>
        <w:tblLayout w:type="fixed"/>
        <w:tblLook w:val="04A0" w:firstRow="1" w:lastRow="0" w:firstColumn="1" w:lastColumn="0" w:noHBand="0" w:noVBand="1"/>
      </w:tblPr>
      <w:tblGrid>
        <w:gridCol w:w="1276"/>
        <w:gridCol w:w="1276"/>
        <w:gridCol w:w="992"/>
        <w:gridCol w:w="1276"/>
        <w:gridCol w:w="1134"/>
        <w:gridCol w:w="851"/>
        <w:gridCol w:w="1275"/>
        <w:gridCol w:w="993"/>
        <w:gridCol w:w="938"/>
      </w:tblGrid>
      <w:tr w:rsidR="00C404B9" w:rsidRPr="006D56C4" w:rsidTr="00000E53">
        <w:trPr>
          <w:trHeight w:val="305"/>
          <w:tblHeader/>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04B9" w:rsidRPr="006F226A" w:rsidRDefault="00C404B9" w:rsidP="00000E53">
            <w:pPr>
              <w:jc w:val="center"/>
              <w:rPr>
                <w:sz w:val="16"/>
                <w:szCs w:val="16"/>
              </w:rPr>
            </w:pPr>
            <w:r w:rsidRPr="006F226A">
              <w:rPr>
                <w:sz w:val="16"/>
                <w:szCs w:val="16"/>
              </w:rPr>
              <w:t>реквизиты соглашений</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C404B9" w:rsidRPr="006F226A" w:rsidRDefault="00C404B9" w:rsidP="00000E53">
            <w:pPr>
              <w:jc w:val="center"/>
              <w:rPr>
                <w:color w:val="000000"/>
                <w:sz w:val="16"/>
                <w:szCs w:val="16"/>
              </w:rPr>
            </w:pPr>
            <w:r w:rsidRPr="006F226A">
              <w:rPr>
                <w:color w:val="000000"/>
                <w:sz w:val="16"/>
                <w:szCs w:val="16"/>
              </w:rPr>
              <w:t>реквизиты муниципальных контрактов</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04B9" w:rsidRPr="006F226A" w:rsidRDefault="00C404B9" w:rsidP="00000E53">
            <w:pPr>
              <w:ind w:left="-104" w:right="-110"/>
              <w:jc w:val="center"/>
              <w:rPr>
                <w:color w:val="000000"/>
                <w:sz w:val="16"/>
                <w:szCs w:val="16"/>
              </w:rPr>
            </w:pPr>
            <w:r w:rsidRPr="006F226A">
              <w:rPr>
                <w:color w:val="000000"/>
                <w:sz w:val="16"/>
                <w:szCs w:val="16"/>
              </w:rPr>
              <w:t>Исполнитель</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04B9" w:rsidRPr="006F226A" w:rsidRDefault="00C404B9" w:rsidP="00000E53">
            <w:pPr>
              <w:ind w:left="-110" w:right="-103"/>
              <w:jc w:val="center"/>
              <w:rPr>
                <w:color w:val="000000"/>
                <w:sz w:val="16"/>
                <w:szCs w:val="16"/>
              </w:rPr>
            </w:pPr>
            <w:r w:rsidRPr="006F226A">
              <w:rPr>
                <w:color w:val="000000"/>
                <w:sz w:val="16"/>
                <w:szCs w:val="16"/>
              </w:rPr>
              <w:t>кол-во приобретаемых квартир</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04B9" w:rsidRPr="006F226A" w:rsidRDefault="00C404B9" w:rsidP="00000E53">
            <w:pPr>
              <w:ind w:left="-105" w:right="-108"/>
              <w:jc w:val="center"/>
              <w:rPr>
                <w:color w:val="000000"/>
                <w:sz w:val="16"/>
                <w:szCs w:val="16"/>
              </w:rPr>
            </w:pPr>
            <w:r w:rsidRPr="006F226A">
              <w:rPr>
                <w:color w:val="000000"/>
                <w:sz w:val="16"/>
                <w:szCs w:val="16"/>
              </w:rPr>
              <w:t>площадь жилых помещений</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04B9" w:rsidRPr="006F226A" w:rsidRDefault="00C404B9" w:rsidP="00000E53">
            <w:pPr>
              <w:ind w:left="-111" w:right="-104"/>
              <w:jc w:val="center"/>
              <w:rPr>
                <w:color w:val="000000"/>
                <w:sz w:val="16"/>
                <w:szCs w:val="16"/>
              </w:rPr>
            </w:pPr>
            <w:r>
              <w:rPr>
                <w:color w:val="000000"/>
                <w:sz w:val="16"/>
                <w:szCs w:val="16"/>
              </w:rPr>
              <w:t>м</w:t>
            </w:r>
            <w:r w:rsidRPr="006F226A">
              <w:rPr>
                <w:color w:val="000000"/>
                <w:sz w:val="16"/>
                <w:szCs w:val="16"/>
              </w:rPr>
              <w:t>униципально</w:t>
            </w:r>
            <w:r>
              <w:rPr>
                <w:color w:val="000000"/>
                <w:sz w:val="16"/>
                <w:szCs w:val="16"/>
              </w:rPr>
              <w:t xml:space="preserve">е </w:t>
            </w:r>
            <w:r w:rsidRPr="006F226A">
              <w:rPr>
                <w:color w:val="000000"/>
                <w:sz w:val="16"/>
                <w:szCs w:val="16"/>
              </w:rPr>
              <w:t>образовани</w:t>
            </w:r>
            <w:r>
              <w:rPr>
                <w:color w:val="000000"/>
                <w:sz w:val="16"/>
                <w:szCs w:val="16"/>
              </w:rPr>
              <w:t>е</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04B9" w:rsidRPr="006F226A" w:rsidRDefault="00C404B9" w:rsidP="00000E53">
            <w:pPr>
              <w:ind w:left="-104" w:right="-107"/>
              <w:jc w:val="center"/>
              <w:rPr>
                <w:color w:val="000000"/>
                <w:sz w:val="16"/>
                <w:szCs w:val="16"/>
              </w:rPr>
            </w:pPr>
            <w:r w:rsidRPr="006F226A">
              <w:rPr>
                <w:color w:val="000000"/>
                <w:sz w:val="16"/>
                <w:szCs w:val="16"/>
              </w:rPr>
              <w:t>цена контракта</w:t>
            </w:r>
            <w:r>
              <w:rPr>
                <w:color w:val="000000"/>
                <w:sz w:val="16"/>
                <w:szCs w:val="16"/>
              </w:rPr>
              <w:t>*</w:t>
            </w:r>
          </w:p>
        </w:tc>
        <w:tc>
          <w:tcPr>
            <w:tcW w:w="9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04B9" w:rsidRPr="006F226A" w:rsidRDefault="00C404B9" w:rsidP="00000E53">
            <w:pPr>
              <w:ind w:left="-112" w:right="-24"/>
              <w:jc w:val="center"/>
              <w:rPr>
                <w:color w:val="000000"/>
                <w:sz w:val="16"/>
                <w:szCs w:val="16"/>
              </w:rPr>
            </w:pPr>
            <w:r w:rsidRPr="006F226A">
              <w:rPr>
                <w:color w:val="000000"/>
                <w:sz w:val="16"/>
                <w:szCs w:val="16"/>
              </w:rPr>
              <w:t>срок исполнения</w:t>
            </w:r>
          </w:p>
        </w:tc>
      </w:tr>
      <w:tr w:rsidR="00C404B9" w:rsidRPr="006D56C4" w:rsidTr="00000E53">
        <w:trPr>
          <w:trHeight w:val="75"/>
          <w:tblHeader/>
        </w:trPr>
        <w:tc>
          <w:tcPr>
            <w:tcW w:w="1276" w:type="dxa"/>
            <w:vMerge/>
            <w:tcBorders>
              <w:top w:val="single" w:sz="4" w:space="0" w:color="auto"/>
              <w:left w:val="single" w:sz="4" w:space="0" w:color="auto"/>
              <w:bottom w:val="single" w:sz="4" w:space="0" w:color="000000"/>
              <w:right w:val="single" w:sz="4" w:space="0" w:color="auto"/>
            </w:tcBorders>
            <w:vAlign w:val="center"/>
            <w:hideMark/>
          </w:tcPr>
          <w:p w:rsidR="00C404B9" w:rsidRPr="006F226A" w:rsidRDefault="00C404B9" w:rsidP="00000E53">
            <w:pPr>
              <w:rPr>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C404B9" w:rsidRPr="00830EF0" w:rsidRDefault="00C404B9" w:rsidP="00000E53">
            <w:pPr>
              <w:ind w:left="-113" w:right="-79"/>
              <w:jc w:val="center"/>
              <w:rPr>
                <w:sz w:val="16"/>
                <w:szCs w:val="16"/>
              </w:rPr>
            </w:pPr>
            <w:r w:rsidRPr="00830EF0">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C404B9" w:rsidRPr="006F226A" w:rsidRDefault="00C404B9" w:rsidP="00000E53">
            <w:pPr>
              <w:ind w:left="-140" w:right="-104"/>
              <w:jc w:val="center"/>
              <w:rPr>
                <w:color w:val="000000"/>
                <w:sz w:val="16"/>
                <w:szCs w:val="16"/>
              </w:rPr>
            </w:pPr>
            <w:r w:rsidRPr="006F226A">
              <w:rPr>
                <w:color w:val="000000"/>
                <w:sz w:val="16"/>
                <w:szCs w:val="16"/>
              </w:rPr>
              <w:t>дата</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C404B9" w:rsidRPr="006F226A" w:rsidRDefault="00C404B9" w:rsidP="00000E53">
            <w:pPr>
              <w:rPr>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C404B9" w:rsidRPr="006F226A" w:rsidRDefault="00C404B9" w:rsidP="00000E53">
            <w:pPr>
              <w:rPr>
                <w:color w:val="000000"/>
                <w:sz w:val="16"/>
                <w:szCs w:val="16"/>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C404B9" w:rsidRPr="006F226A" w:rsidRDefault="00C404B9" w:rsidP="00000E53">
            <w:pPr>
              <w:rPr>
                <w:color w:val="000000"/>
                <w:sz w:val="16"/>
                <w:szCs w:val="16"/>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C404B9" w:rsidRPr="006F226A" w:rsidRDefault="00C404B9" w:rsidP="00000E53">
            <w:pPr>
              <w:rPr>
                <w:color w:val="000000"/>
                <w:sz w:val="16"/>
                <w:szCs w:val="16"/>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C404B9" w:rsidRPr="006F226A" w:rsidRDefault="00C404B9" w:rsidP="00000E53">
            <w:pPr>
              <w:rPr>
                <w:color w:val="000000"/>
                <w:sz w:val="16"/>
                <w:szCs w:val="16"/>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rsidR="00C404B9" w:rsidRPr="006F226A" w:rsidRDefault="00C404B9" w:rsidP="00000E53">
            <w:pPr>
              <w:rPr>
                <w:color w:val="000000"/>
                <w:sz w:val="16"/>
                <w:szCs w:val="16"/>
              </w:rPr>
            </w:pPr>
          </w:p>
        </w:tc>
      </w:tr>
      <w:tr w:rsidR="00C404B9" w:rsidRPr="006D56C4" w:rsidTr="00000E53">
        <w:trPr>
          <w:trHeight w:val="226"/>
          <w:tblHeader/>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C404B9" w:rsidRPr="006F226A" w:rsidRDefault="00C404B9" w:rsidP="00000E53">
            <w:pPr>
              <w:jc w:val="center"/>
              <w:rPr>
                <w:sz w:val="16"/>
                <w:szCs w:val="16"/>
              </w:rPr>
            </w:pPr>
            <w:r w:rsidRPr="006F226A">
              <w:rPr>
                <w:sz w:val="16"/>
                <w:szCs w:val="16"/>
              </w:rPr>
              <w:t> </w:t>
            </w:r>
            <w:r>
              <w:rPr>
                <w:sz w:val="16"/>
                <w:szCs w:val="16"/>
              </w:rPr>
              <w:t>1</w:t>
            </w:r>
          </w:p>
        </w:tc>
        <w:tc>
          <w:tcPr>
            <w:tcW w:w="1276" w:type="dxa"/>
            <w:tcBorders>
              <w:top w:val="nil"/>
              <w:left w:val="nil"/>
              <w:bottom w:val="single" w:sz="4" w:space="0" w:color="auto"/>
              <w:right w:val="single" w:sz="4" w:space="0" w:color="auto"/>
            </w:tcBorders>
            <w:shd w:val="clear" w:color="auto" w:fill="auto"/>
            <w:vAlign w:val="center"/>
            <w:hideMark/>
          </w:tcPr>
          <w:p w:rsidR="00C404B9" w:rsidRPr="006F226A" w:rsidRDefault="00C404B9" w:rsidP="00000E53">
            <w:pPr>
              <w:jc w:val="center"/>
              <w:rPr>
                <w:color w:val="000000"/>
                <w:sz w:val="16"/>
                <w:szCs w:val="16"/>
              </w:rPr>
            </w:pPr>
            <w:r w:rsidRPr="006F226A">
              <w:rPr>
                <w:color w:val="000000"/>
                <w:sz w:val="16"/>
                <w:szCs w:val="16"/>
              </w:rPr>
              <w:t> </w:t>
            </w:r>
            <w:r>
              <w:rPr>
                <w:color w:val="000000"/>
                <w:sz w:val="16"/>
                <w:szCs w:val="16"/>
              </w:rPr>
              <w:t>2</w:t>
            </w:r>
          </w:p>
        </w:tc>
        <w:tc>
          <w:tcPr>
            <w:tcW w:w="992" w:type="dxa"/>
            <w:tcBorders>
              <w:top w:val="nil"/>
              <w:left w:val="nil"/>
              <w:bottom w:val="single" w:sz="4" w:space="0" w:color="auto"/>
              <w:right w:val="single" w:sz="4" w:space="0" w:color="auto"/>
            </w:tcBorders>
            <w:shd w:val="clear" w:color="auto" w:fill="auto"/>
            <w:vAlign w:val="center"/>
            <w:hideMark/>
          </w:tcPr>
          <w:p w:rsidR="00C404B9" w:rsidRPr="006F226A" w:rsidRDefault="00C404B9" w:rsidP="00000E53">
            <w:pPr>
              <w:jc w:val="center"/>
              <w:rPr>
                <w:color w:val="000000"/>
                <w:sz w:val="16"/>
                <w:szCs w:val="16"/>
              </w:rPr>
            </w:pPr>
            <w:r>
              <w:rPr>
                <w:color w:val="000000"/>
                <w:sz w:val="16"/>
                <w:szCs w:val="16"/>
              </w:rPr>
              <w:t>3</w:t>
            </w:r>
            <w:r w:rsidRPr="006F226A">
              <w:rPr>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C404B9" w:rsidRPr="006F226A" w:rsidRDefault="00C404B9" w:rsidP="00000E53">
            <w:pPr>
              <w:jc w:val="center"/>
              <w:rPr>
                <w:color w:val="000000"/>
                <w:sz w:val="16"/>
                <w:szCs w:val="16"/>
              </w:rPr>
            </w:pPr>
            <w:r>
              <w:rPr>
                <w:color w:val="000000"/>
                <w:sz w:val="16"/>
                <w:szCs w:val="16"/>
              </w:rPr>
              <w:t>4</w:t>
            </w:r>
            <w:r w:rsidRPr="006F226A">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C404B9" w:rsidRPr="006F226A" w:rsidRDefault="00C404B9" w:rsidP="00000E53">
            <w:pPr>
              <w:jc w:val="center"/>
              <w:rPr>
                <w:color w:val="000000"/>
                <w:sz w:val="16"/>
                <w:szCs w:val="16"/>
              </w:rPr>
            </w:pPr>
            <w:r>
              <w:rPr>
                <w:color w:val="000000"/>
                <w:sz w:val="16"/>
                <w:szCs w:val="16"/>
              </w:rPr>
              <w:t>5</w:t>
            </w:r>
            <w:r w:rsidRPr="006F226A">
              <w:rPr>
                <w:color w:val="000000"/>
                <w:sz w:val="16"/>
                <w:szCs w:val="16"/>
              </w:rPr>
              <w:t> </w:t>
            </w:r>
          </w:p>
        </w:tc>
        <w:tc>
          <w:tcPr>
            <w:tcW w:w="851" w:type="dxa"/>
            <w:tcBorders>
              <w:top w:val="nil"/>
              <w:left w:val="nil"/>
              <w:bottom w:val="single" w:sz="4" w:space="0" w:color="auto"/>
              <w:right w:val="nil"/>
            </w:tcBorders>
            <w:shd w:val="clear" w:color="auto" w:fill="auto"/>
            <w:vAlign w:val="center"/>
            <w:hideMark/>
          </w:tcPr>
          <w:p w:rsidR="00C404B9" w:rsidRPr="006F226A" w:rsidRDefault="00C404B9" w:rsidP="00000E53">
            <w:pPr>
              <w:jc w:val="center"/>
              <w:rPr>
                <w:color w:val="000000"/>
                <w:sz w:val="16"/>
                <w:szCs w:val="16"/>
              </w:rPr>
            </w:pPr>
            <w:r>
              <w:rPr>
                <w:color w:val="000000"/>
                <w:sz w:val="16"/>
                <w:szCs w:val="16"/>
              </w:rPr>
              <w:t>6</w:t>
            </w:r>
            <w:r w:rsidRPr="006F226A">
              <w:rPr>
                <w:color w:val="000000"/>
                <w:sz w:val="16"/>
                <w:szCs w:val="16"/>
              </w:rPr>
              <w:t> </w:t>
            </w:r>
          </w:p>
        </w:tc>
        <w:tc>
          <w:tcPr>
            <w:tcW w:w="1275" w:type="dxa"/>
            <w:tcBorders>
              <w:top w:val="nil"/>
              <w:left w:val="single" w:sz="4" w:space="0" w:color="auto"/>
              <w:bottom w:val="single" w:sz="4" w:space="0" w:color="auto"/>
              <w:right w:val="nil"/>
            </w:tcBorders>
            <w:shd w:val="clear" w:color="auto" w:fill="auto"/>
            <w:vAlign w:val="center"/>
            <w:hideMark/>
          </w:tcPr>
          <w:p w:rsidR="00C404B9" w:rsidRPr="006F226A" w:rsidRDefault="00C404B9" w:rsidP="00000E53">
            <w:pPr>
              <w:jc w:val="center"/>
              <w:rPr>
                <w:color w:val="000000"/>
                <w:sz w:val="16"/>
                <w:szCs w:val="16"/>
              </w:rPr>
            </w:pPr>
            <w:r>
              <w:rPr>
                <w:color w:val="000000"/>
                <w:sz w:val="16"/>
                <w:szCs w:val="16"/>
              </w:rPr>
              <w:t>7</w:t>
            </w:r>
          </w:p>
        </w:tc>
        <w:tc>
          <w:tcPr>
            <w:tcW w:w="993" w:type="dxa"/>
            <w:tcBorders>
              <w:top w:val="nil"/>
              <w:left w:val="single" w:sz="4" w:space="0" w:color="auto"/>
              <w:bottom w:val="single" w:sz="4" w:space="0" w:color="auto"/>
              <w:right w:val="nil"/>
            </w:tcBorders>
            <w:shd w:val="clear" w:color="auto" w:fill="auto"/>
            <w:vAlign w:val="center"/>
            <w:hideMark/>
          </w:tcPr>
          <w:p w:rsidR="00C404B9" w:rsidRPr="006F226A" w:rsidRDefault="00C404B9" w:rsidP="00000E53">
            <w:pPr>
              <w:jc w:val="center"/>
              <w:rPr>
                <w:color w:val="000000"/>
                <w:sz w:val="16"/>
                <w:szCs w:val="16"/>
              </w:rPr>
            </w:pPr>
            <w:r w:rsidRPr="006F226A">
              <w:rPr>
                <w:color w:val="000000"/>
                <w:sz w:val="16"/>
                <w:szCs w:val="16"/>
              </w:rPr>
              <w:t> </w:t>
            </w:r>
            <w:r>
              <w:rPr>
                <w:color w:val="000000"/>
                <w:sz w:val="16"/>
                <w:szCs w:val="16"/>
              </w:rPr>
              <w:t>8</w:t>
            </w:r>
          </w:p>
        </w:tc>
        <w:tc>
          <w:tcPr>
            <w:tcW w:w="938" w:type="dxa"/>
            <w:tcBorders>
              <w:top w:val="nil"/>
              <w:left w:val="single" w:sz="4" w:space="0" w:color="auto"/>
              <w:bottom w:val="single" w:sz="4" w:space="0" w:color="auto"/>
              <w:right w:val="single" w:sz="4" w:space="0" w:color="auto"/>
            </w:tcBorders>
            <w:shd w:val="clear" w:color="auto" w:fill="auto"/>
            <w:vAlign w:val="center"/>
            <w:hideMark/>
          </w:tcPr>
          <w:p w:rsidR="00C404B9" w:rsidRPr="006F226A" w:rsidRDefault="00C404B9" w:rsidP="00000E53">
            <w:pPr>
              <w:jc w:val="center"/>
              <w:rPr>
                <w:color w:val="000000"/>
                <w:sz w:val="16"/>
                <w:szCs w:val="16"/>
              </w:rPr>
            </w:pPr>
            <w:r>
              <w:rPr>
                <w:color w:val="000000"/>
                <w:sz w:val="16"/>
                <w:szCs w:val="16"/>
              </w:rPr>
              <w:t>9</w:t>
            </w:r>
            <w:r w:rsidRPr="006F226A">
              <w:rPr>
                <w:color w:val="000000"/>
                <w:sz w:val="16"/>
                <w:szCs w:val="16"/>
              </w:rPr>
              <w:t> </w:t>
            </w:r>
          </w:p>
        </w:tc>
      </w:tr>
      <w:tr w:rsidR="00C404B9" w:rsidRPr="006D56C4" w:rsidTr="00000E53">
        <w:trPr>
          <w:trHeight w:val="226"/>
        </w:trPr>
        <w:tc>
          <w:tcPr>
            <w:tcW w:w="100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404B9" w:rsidRPr="00B3109C" w:rsidRDefault="00C404B9" w:rsidP="00000E53">
            <w:pPr>
              <w:jc w:val="center"/>
              <w:rPr>
                <w:b/>
                <w:color w:val="000000"/>
                <w:sz w:val="16"/>
                <w:szCs w:val="16"/>
              </w:rPr>
            </w:pPr>
            <w:proofErr w:type="spellStart"/>
            <w:r w:rsidRPr="00B3109C">
              <w:rPr>
                <w:b/>
                <w:color w:val="000000"/>
                <w:sz w:val="16"/>
                <w:szCs w:val="16"/>
              </w:rPr>
              <w:t>Провиденский</w:t>
            </w:r>
            <w:proofErr w:type="spellEnd"/>
            <w:r w:rsidRPr="00B3109C">
              <w:rPr>
                <w:b/>
                <w:color w:val="000000"/>
                <w:sz w:val="16"/>
                <w:szCs w:val="16"/>
              </w:rPr>
              <w:t xml:space="preserve"> городской округ</w:t>
            </w:r>
          </w:p>
        </w:tc>
      </w:tr>
      <w:tr w:rsidR="00C404B9" w:rsidRPr="00830EF0" w:rsidTr="00000E53">
        <w:trPr>
          <w:trHeight w:val="226"/>
        </w:trPr>
        <w:tc>
          <w:tcPr>
            <w:tcW w:w="1276" w:type="dxa"/>
            <w:tcBorders>
              <w:top w:val="nil"/>
              <w:left w:val="single" w:sz="4" w:space="0" w:color="auto"/>
              <w:bottom w:val="single" w:sz="4" w:space="0" w:color="auto"/>
              <w:right w:val="single" w:sz="4" w:space="0" w:color="auto"/>
            </w:tcBorders>
            <w:shd w:val="clear" w:color="auto" w:fill="auto"/>
            <w:vAlign w:val="center"/>
          </w:tcPr>
          <w:p w:rsidR="00C404B9" w:rsidRPr="00830EF0" w:rsidRDefault="00C404B9" w:rsidP="00000E53">
            <w:pPr>
              <w:jc w:val="center"/>
              <w:rPr>
                <w:color w:val="000000"/>
                <w:sz w:val="16"/>
                <w:szCs w:val="16"/>
              </w:rPr>
            </w:pPr>
            <w:r>
              <w:rPr>
                <w:color w:val="000000"/>
                <w:sz w:val="16"/>
                <w:szCs w:val="16"/>
              </w:rPr>
              <w:t>№69 от 05.10.2020</w:t>
            </w:r>
          </w:p>
        </w:tc>
        <w:tc>
          <w:tcPr>
            <w:tcW w:w="1276" w:type="dxa"/>
            <w:tcBorders>
              <w:top w:val="nil"/>
              <w:left w:val="nil"/>
              <w:bottom w:val="single" w:sz="4" w:space="0" w:color="auto"/>
              <w:right w:val="single" w:sz="4" w:space="0" w:color="auto"/>
            </w:tcBorders>
            <w:shd w:val="clear" w:color="auto" w:fill="auto"/>
            <w:vAlign w:val="center"/>
          </w:tcPr>
          <w:p w:rsidR="00C404B9" w:rsidRPr="00830EF0" w:rsidRDefault="00C404B9" w:rsidP="00000E53">
            <w:pPr>
              <w:jc w:val="center"/>
              <w:rPr>
                <w:color w:val="000000"/>
                <w:sz w:val="16"/>
                <w:szCs w:val="16"/>
              </w:rPr>
            </w:pPr>
            <w:r w:rsidRPr="00FB2105">
              <w:rPr>
                <w:color w:val="000000"/>
                <w:sz w:val="16"/>
                <w:szCs w:val="16"/>
              </w:rPr>
              <w:t>№0188300002120000048-01</w:t>
            </w:r>
          </w:p>
        </w:tc>
        <w:tc>
          <w:tcPr>
            <w:tcW w:w="992" w:type="dxa"/>
            <w:tcBorders>
              <w:top w:val="nil"/>
              <w:left w:val="nil"/>
              <w:bottom w:val="single" w:sz="4" w:space="0" w:color="auto"/>
              <w:right w:val="single" w:sz="4" w:space="0" w:color="auto"/>
            </w:tcBorders>
            <w:shd w:val="clear" w:color="auto" w:fill="auto"/>
            <w:vAlign w:val="center"/>
          </w:tcPr>
          <w:p w:rsidR="00C404B9" w:rsidRPr="00830EF0" w:rsidRDefault="00C404B9" w:rsidP="00000E53">
            <w:pPr>
              <w:jc w:val="center"/>
              <w:rPr>
                <w:color w:val="000000"/>
                <w:sz w:val="16"/>
                <w:szCs w:val="16"/>
              </w:rPr>
            </w:pPr>
            <w:r>
              <w:rPr>
                <w:color w:val="000000"/>
                <w:sz w:val="16"/>
                <w:szCs w:val="16"/>
              </w:rPr>
              <w:t>21.12.2020</w:t>
            </w:r>
          </w:p>
        </w:tc>
        <w:tc>
          <w:tcPr>
            <w:tcW w:w="1276" w:type="dxa"/>
            <w:tcBorders>
              <w:top w:val="nil"/>
              <w:left w:val="nil"/>
              <w:bottom w:val="single" w:sz="4" w:space="0" w:color="auto"/>
              <w:right w:val="single" w:sz="4" w:space="0" w:color="auto"/>
            </w:tcBorders>
            <w:shd w:val="clear" w:color="auto" w:fill="auto"/>
            <w:vAlign w:val="center"/>
          </w:tcPr>
          <w:p w:rsidR="00C404B9" w:rsidRPr="00830EF0" w:rsidRDefault="00C404B9" w:rsidP="00000E53">
            <w:pPr>
              <w:jc w:val="center"/>
              <w:rPr>
                <w:color w:val="000000"/>
                <w:sz w:val="16"/>
                <w:szCs w:val="16"/>
              </w:rPr>
            </w:pPr>
            <w:r w:rsidRPr="00830EF0">
              <w:rPr>
                <w:color w:val="000000"/>
                <w:sz w:val="16"/>
                <w:szCs w:val="16"/>
              </w:rPr>
              <w:t xml:space="preserve">НАО </w:t>
            </w:r>
            <w:r>
              <w:rPr>
                <w:color w:val="000000"/>
                <w:sz w:val="16"/>
                <w:szCs w:val="16"/>
              </w:rPr>
              <w:t>«</w:t>
            </w:r>
            <w:r w:rsidRPr="00830EF0">
              <w:rPr>
                <w:color w:val="000000"/>
                <w:sz w:val="16"/>
                <w:szCs w:val="16"/>
              </w:rPr>
              <w:t>ЧТК</w:t>
            </w:r>
            <w:r>
              <w:rPr>
                <w:color w:val="000000"/>
                <w:sz w:val="16"/>
                <w:szCs w:val="16"/>
              </w:rPr>
              <w:t>»</w:t>
            </w:r>
          </w:p>
        </w:tc>
        <w:tc>
          <w:tcPr>
            <w:tcW w:w="1134" w:type="dxa"/>
            <w:tcBorders>
              <w:top w:val="nil"/>
              <w:left w:val="nil"/>
              <w:bottom w:val="single" w:sz="4" w:space="0" w:color="auto"/>
              <w:right w:val="single" w:sz="4" w:space="0" w:color="auto"/>
            </w:tcBorders>
            <w:shd w:val="clear" w:color="auto" w:fill="auto"/>
            <w:vAlign w:val="center"/>
          </w:tcPr>
          <w:p w:rsidR="00C404B9" w:rsidRPr="00830EF0" w:rsidRDefault="00C404B9" w:rsidP="00000E53">
            <w:pPr>
              <w:jc w:val="center"/>
              <w:rPr>
                <w:color w:val="000000"/>
                <w:sz w:val="16"/>
                <w:szCs w:val="16"/>
              </w:rPr>
            </w:pPr>
            <w:r w:rsidRPr="00F32A96">
              <w:rPr>
                <w:color w:val="000000"/>
                <w:sz w:val="16"/>
                <w:szCs w:val="16"/>
              </w:rPr>
              <w:t xml:space="preserve">14 </w:t>
            </w:r>
          </w:p>
        </w:tc>
        <w:tc>
          <w:tcPr>
            <w:tcW w:w="851" w:type="dxa"/>
            <w:tcBorders>
              <w:top w:val="nil"/>
              <w:left w:val="nil"/>
              <w:bottom w:val="single" w:sz="4" w:space="0" w:color="auto"/>
              <w:right w:val="nil"/>
            </w:tcBorders>
            <w:shd w:val="clear" w:color="auto" w:fill="auto"/>
            <w:vAlign w:val="center"/>
          </w:tcPr>
          <w:p w:rsidR="00C404B9" w:rsidRPr="00830EF0" w:rsidRDefault="00C404B9" w:rsidP="00000E53">
            <w:pPr>
              <w:jc w:val="center"/>
              <w:rPr>
                <w:color w:val="000000"/>
                <w:sz w:val="16"/>
                <w:szCs w:val="16"/>
              </w:rPr>
            </w:pPr>
            <w:r w:rsidRPr="00F32A96">
              <w:rPr>
                <w:color w:val="000000"/>
                <w:sz w:val="16"/>
                <w:szCs w:val="16"/>
              </w:rPr>
              <w:t>583,0</w:t>
            </w:r>
          </w:p>
        </w:tc>
        <w:tc>
          <w:tcPr>
            <w:tcW w:w="1275" w:type="dxa"/>
            <w:tcBorders>
              <w:top w:val="nil"/>
              <w:left w:val="single" w:sz="4" w:space="0" w:color="auto"/>
              <w:bottom w:val="single" w:sz="4" w:space="0" w:color="auto"/>
              <w:right w:val="nil"/>
            </w:tcBorders>
            <w:shd w:val="clear" w:color="auto" w:fill="auto"/>
            <w:vAlign w:val="center"/>
          </w:tcPr>
          <w:p w:rsidR="00C404B9" w:rsidRPr="00830EF0" w:rsidRDefault="00C404B9" w:rsidP="00000E53">
            <w:pPr>
              <w:jc w:val="center"/>
              <w:rPr>
                <w:color w:val="000000"/>
                <w:sz w:val="16"/>
                <w:szCs w:val="16"/>
              </w:rPr>
            </w:pPr>
            <w:r w:rsidRPr="00830EF0">
              <w:rPr>
                <w:color w:val="000000"/>
                <w:sz w:val="16"/>
                <w:szCs w:val="16"/>
              </w:rPr>
              <w:t xml:space="preserve">с. </w:t>
            </w:r>
            <w:proofErr w:type="spellStart"/>
            <w:r w:rsidRPr="00830EF0">
              <w:rPr>
                <w:color w:val="000000"/>
                <w:sz w:val="16"/>
                <w:szCs w:val="16"/>
              </w:rPr>
              <w:t>Сиреники</w:t>
            </w:r>
            <w:proofErr w:type="spellEnd"/>
          </w:p>
        </w:tc>
        <w:tc>
          <w:tcPr>
            <w:tcW w:w="993" w:type="dxa"/>
            <w:tcBorders>
              <w:top w:val="nil"/>
              <w:left w:val="single" w:sz="4" w:space="0" w:color="auto"/>
              <w:bottom w:val="single" w:sz="4" w:space="0" w:color="auto"/>
              <w:right w:val="nil"/>
            </w:tcBorders>
            <w:shd w:val="clear" w:color="auto" w:fill="auto"/>
            <w:vAlign w:val="center"/>
          </w:tcPr>
          <w:p w:rsidR="00C404B9" w:rsidRPr="00830EF0" w:rsidRDefault="00C404B9" w:rsidP="00000E53">
            <w:pPr>
              <w:jc w:val="center"/>
              <w:rPr>
                <w:color w:val="000000"/>
                <w:sz w:val="16"/>
                <w:szCs w:val="16"/>
              </w:rPr>
            </w:pPr>
            <w:r w:rsidRPr="00F32A96">
              <w:rPr>
                <w:color w:val="000000"/>
                <w:sz w:val="16"/>
                <w:szCs w:val="16"/>
              </w:rPr>
              <w:t>106 738,2</w:t>
            </w:r>
          </w:p>
        </w:tc>
        <w:tc>
          <w:tcPr>
            <w:tcW w:w="938" w:type="dxa"/>
            <w:tcBorders>
              <w:top w:val="nil"/>
              <w:left w:val="single" w:sz="4" w:space="0" w:color="auto"/>
              <w:bottom w:val="single" w:sz="4" w:space="0" w:color="auto"/>
              <w:right w:val="single" w:sz="4" w:space="0" w:color="auto"/>
            </w:tcBorders>
            <w:shd w:val="clear" w:color="auto" w:fill="auto"/>
            <w:vAlign w:val="center"/>
          </w:tcPr>
          <w:p w:rsidR="00C404B9" w:rsidRPr="00830EF0" w:rsidRDefault="00C404B9" w:rsidP="00000E53">
            <w:pPr>
              <w:jc w:val="center"/>
              <w:rPr>
                <w:color w:val="000000"/>
                <w:sz w:val="16"/>
                <w:szCs w:val="16"/>
              </w:rPr>
            </w:pPr>
            <w:r>
              <w:rPr>
                <w:color w:val="000000"/>
                <w:sz w:val="16"/>
                <w:szCs w:val="16"/>
              </w:rPr>
              <w:t>01.12.2021</w:t>
            </w:r>
          </w:p>
        </w:tc>
      </w:tr>
      <w:tr w:rsidR="00C404B9" w:rsidRPr="00830EF0" w:rsidTr="00000E53">
        <w:trPr>
          <w:trHeight w:val="226"/>
        </w:trPr>
        <w:tc>
          <w:tcPr>
            <w:tcW w:w="1276" w:type="dxa"/>
            <w:tcBorders>
              <w:top w:val="nil"/>
              <w:left w:val="single" w:sz="4" w:space="0" w:color="auto"/>
              <w:bottom w:val="single" w:sz="4" w:space="0" w:color="auto"/>
              <w:right w:val="single" w:sz="4" w:space="0" w:color="auto"/>
            </w:tcBorders>
            <w:shd w:val="clear" w:color="auto" w:fill="auto"/>
            <w:vAlign w:val="center"/>
          </w:tcPr>
          <w:p w:rsidR="00C404B9" w:rsidRPr="00830EF0" w:rsidRDefault="00C404B9" w:rsidP="00000E53">
            <w:pPr>
              <w:jc w:val="center"/>
              <w:rPr>
                <w:color w:val="000000"/>
                <w:sz w:val="16"/>
                <w:szCs w:val="16"/>
              </w:rPr>
            </w:pPr>
            <w:r w:rsidRPr="00830EF0">
              <w:rPr>
                <w:color w:val="000000"/>
                <w:sz w:val="16"/>
                <w:szCs w:val="16"/>
              </w:rPr>
              <w:t>№13 от 12.02.2021</w:t>
            </w:r>
          </w:p>
        </w:tc>
        <w:tc>
          <w:tcPr>
            <w:tcW w:w="1276" w:type="dxa"/>
            <w:tcBorders>
              <w:top w:val="nil"/>
              <w:left w:val="nil"/>
              <w:bottom w:val="single" w:sz="4" w:space="0" w:color="auto"/>
              <w:right w:val="single" w:sz="4" w:space="0" w:color="auto"/>
            </w:tcBorders>
            <w:shd w:val="clear" w:color="auto" w:fill="auto"/>
            <w:vAlign w:val="center"/>
          </w:tcPr>
          <w:p w:rsidR="00C404B9" w:rsidRPr="00830EF0" w:rsidRDefault="00C404B9" w:rsidP="00000E53">
            <w:pPr>
              <w:jc w:val="center"/>
              <w:rPr>
                <w:color w:val="000000"/>
                <w:sz w:val="16"/>
                <w:szCs w:val="16"/>
              </w:rPr>
            </w:pPr>
            <w:r w:rsidRPr="00830EF0">
              <w:rPr>
                <w:color w:val="000000"/>
                <w:sz w:val="16"/>
                <w:szCs w:val="16"/>
              </w:rPr>
              <w:t xml:space="preserve">0188300002121000004-01 </w:t>
            </w:r>
          </w:p>
        </w:tc>
        <w:tc>
          <w:tcPr>
            <w:tcW w:w="992" w:type="dxa"/>
            <w:tcBorders>
              <w:top w:val="nil"/>
              <w:left w:val="nil"/>
              <w:bottom w:val="single" w:sz="4" w:space="0" w:color="auto"/>
              <w:right w:val="single" w:sz="4" w:space="0" w:color="auto"/>
            </w:tcBorders>
            <w:shd w:val="clear" w:color="auto" w:fill="auto"/>
            <w:vAlign w:val="center"/>
          </w:tcPr>
          <w:p w:rsidR="00C404B9" w:rsidRPr="00830EF0" w:rsidRDefault="00C404B9" w:rsidP="00000E53">
            <w:pPr>
              <w:jc w:val="center"/>
              <w:rPr>
                <w:color w:val="000000"/>
                <w:sz w:val="16"/>
                <w:szCs w:val="16"/>
              </w:rPr>
            </w:pPr>
            <w:r w:rsidRPr="00830EF0">
              <w:rPr>
                <w:color w:val="000000"/>
                <w:sz w:val="16"/>
                <w:szCs w:val="16"/>
              </w:rPr>
              <w:t>19.02.2021</w:t>
            </w:r>
          </w:p>
        </w:tc>
        <w:tc>
          <w:tcPr>
            <w:tcW w:w="1276" w:type="dxa"/>
            <w:tcBorders>
              <w:top w:val="nil"/>
              <w:left w:val="nil"/>
              <w:bottom w:val="single" w:sz="4" w:space="0" w:color="auto"/>
              <w:right w:val="single" w:sz="4" w:space="0" w:color="auto"/>
            </w:tcBorders>
            <w:shd w:val="clear" w:color="auto" w:fill="auto"/>
            <w:vAlign w:val="center"/>
          </w:tcPr>
          <w:p w:rsidR="00C404B9" w:rsidRPr="00830EF0" w:rsidRDefault="00C404B9" w:rsidP="00000E53">
            <w:pPr>
              <w:jc w:val="center"/>
              <w:rPr>
                <w:color w:val="000000"/>
                <w:sz w:val="16"/>
                <w:szCs w:val="16"/>
              </w:rPr>
            </w:pPr>
            <w:r w:rsidRPr="00830EF0">
              <w:rPr>
                <w:color w:val="000000"/>
                <w:sz w:val="16"/>
                <w:szCs w:val="16"/>
              </w:rPr>
              <w:t xml:space="preserve">НАО </w:t>
            </w:r>
            <w:r>
              <w:rPr>
                <w:color w:val="000000"/>
                <w:sz w:val="16"/>
                <w:szCs w:val="16"/>
              </w:rPr>
              <w:t>«</w:t>
            </w:r>
            <w:r w:rsidRPr="00830EF0">
              <w:rPr>
                <w:color w:val="000000"/>
                <w:sz w:val="16"/>
                <w:szCs w:val="16"/>
              </w:rPr>
              <w:t>ЧТК</w:t>
            </w:r>
            <w:r>
              <w:rPr>
                <w:color w:val="000000"/>
                <w:sz w:val="16"/>
                <w:szCs w:val="16"/>
              </w:rPr>
              <w:t>»</w:t>
            </w:r>
          </w:p>
        </w:tc>
        <w:tc>
          <w:tcPr>
            <w:tcW w:w="1134" w:type="dxa"/>
            <w:tcBorders>
              <w:top w:val="nil"/>
              <w:left w:val="nil"/>
              <w:bottom w:val="single" w:sz="4" w:space="0" w:color="auto"/>
              <w:right w:val="single" w:sz="4" w:space="0" w:color="auto"/>
            </w:tcBorders>
            <w:shd w:val="clear" w:color="auto" w:fill="auto"/>
            <w:vAlign w:val="center"/>
          </w:tcPr>
          <w:p w:rsidR="00C404B9" w:rsidRPr="00830EF0" w:rsidRDefault="00C404B9" w:rsidP="00000E53">
            <w:pPr>
              <w:jc w:val="center"/>
              <w:rPr>
                <w:color w:val="000000"/>
                <w:sz w:val="16"/>
                <w:szCs w:val="16"/>
              </w:rPr>
            </w:pPr>
            <w:r w:rsidRPr="00830EF0">
              <w:rPr>
                <w:color w:val="000000"/>
                <w:sz w:val="16"/>
                <w:szCs w:val="16"/>
              </w:rPr>
              <w:t>13</w:t>
            </w:r>
          </w:p>
        </w:tc>
        <w:tc>
          <w:tcPr>
            <w:tcW w:w="851" w:type="dxa"/>
            <w:tcBorders>
              <w:top w:val="nil"/>
              <w:left w:val="nil"/>
              <w:bottom w:val="single" w:sz="4" w:space="0" w:color="auto"/>
              <w:right w:val="nil"/>
            </w:tcBorders>
            <w:shd w:val="clear" w:color="auto" w:fill="auto"/>
            <w:vAlign w:val="center"/>
          </w:tcPr>
          <w:p w:rsidR="00C404B9" w:rsidRPr="00830EF0" w:rsidRDefault="00C404B9" w:rsidP="00000E53">
            <w:pPr>
              <w:jc w:val="center"/>
              <w:rPr>
                <w:color w:val="000000"/>
                <w:sz w:val="16"/>
                <w:szCs w:val="16"/>
              </w:rPr>
            </w:pPr>
            <w:r w:rsidRPr="00830EF0">
              <w:rPr>
                <w:color w:val="000000"/>
                <w:sz w:val="16"/>
                <w:szCs w:val="16"/>
              </w:rPr>
              <w:t>604,0</w:t>
            </w:r>
          </w:p>
        </w:tc>
        <w:tc>
          <w:tcPr>
            <w:tcW w:w="1275" w:type="dxa"/>
            <w:tcBorders>
              <w:top w:val="nil"/>
              <w:left w:val="single" w:sz="4" w:space="0" w:color="auto"/>
              <w:bottom w:val="single" w:sz="4" w:space="0" w:color="auto"/>
              <w:right w:val="nil"/>
            </w:tcBorders>
            <w:shd w:val="clear" w:color="auto" w:fill="auto"/>
            <w:vAlign w:val="center"/>
          </w:tcPr>
          <w:p w:rsidR="00C404B9" w:rsidRPr="00830EF0" w:rsidRDefault="00C404B9" w:rsidP="00000E53">
            <w:pPr>
              <w:jc w:val="center"/>
              <w:rPr>
                <w:color w:val="000000"/>
                <w:sz w:val="16"/>
                <w:szCs w:val="16"/>
              </w:rPr>
            </w:pPr>
            <w:r w:rsidRPr="00830EF0">
              <w:rPr>
                <w:color w:val="000000"/>
                <w:sz w:val="16"/>
                <w:szCs w:val="16"/>
              </w:rPr>
              <w:t xml:space="preserve">с. </w:t>
            </w:r>
            <w:proofErr w:type="spellStart"/>
            <w:r w:rsidRPr="00830EF0">
              <w:rPr>
                <w:color w:val="000000"/>
                <w:sz w:val="16"/>
                <w:szCs w:val="16"/>
              </w:rPr>
              <w:t>Сиреники</w:t>
            </w:r>
            <w:proofErr w:type="spellEnd"/>
          </w:p>
        </w:tc>
        <w:tc>
          <w:tcPr>
            <w:tcW w:w="993" w:type="dxa"/>
            <w:tcBorders>
              <w:top w:val="nil"/>
              <w:left w:val="single" w:sz="4" w:space="0" w:color="auto"/>
              <w:bottom w:val="single" w:sz="4" w:space="0" w:color="auto"/>
              <w:right w:val="nil"/>
            </w:tcBorders>
            <w:shd w:val="clear" w:color="auto" w:fill="auto"/>
            <w:vAlign w:val="center"/>
          </w:tcPr>
          <w:p w:rsidR="00C404B9" w:rsidRPr="00830EF0" w:rsidRDefault="00C404B9" w:rsidP="00000E53">
            <w:pPr>
              <w:jc w:val="center"/>
              <w:rPr>
                <w:color w:val="000000"/>
                <w:sz w:val="16"/>
                <w:szCs w:val="16"/>
              </w:rPr>
            </w:pPr>
            <w:r w:rsidRPr="00830EF0">
              <w:rPr>
                <w:color w:val="000000"/>
                <w:sz w:val="16"/>
                <w:szCs w:val="16"/>
              </w:rPr>
              <w:t>117 055,2</w:t>
            </w:r>
          </w:p>
        </w:tc>
        <w:tc>
          <w:tcPr>
            <w:tcW w:w="938" w:type="dxa"/>
            <w:tcBorders>
              <w:top w:val="nil"/>
              <w:left w:val="single" w:sz="4" w:space="0" w:color="auto"/>
              <w:bottom w:val="single" w:sz="4" w:space="0" w:color="auto"/>
              <w:right w:val="single" w:sz="4" w:space="0" w:color="auto"/>
            </w:tcBorders>
            <w:shd w:val="clear" w:color="auto" w:fill="auto"/>
            <w:vAlign w:val="center"/>
          </w:tcPr>
          <w:p w:rsidR="00C404B9" w:rsidRPr="00830EF0" w:rsidRDefault="00C404B9" w:rsidP="00000E53">
            <w:pPr>
              <w:jc w:val="center"/>
              <w:rPr>
                <w:color w:val="000000"/>
                <w:sz w:val="16"/>
                <w:szCs w:val="16"/>
              </w:rPr>
            </w:pPr>
            <w:r w:rsidRPr="00830EF0">
              <w:rPr>
                <w:color w:val="000000"/>
                <w:sz w:val="16"/>
                <w:szCs w:val="16"/>
              </w:rPr>
              <w:t>01.12.2021</w:t>
            </w:r>
          </w:p>
        </w:tc>
      </w:tr>
      <w:tr w:rsidR="00C404B9" w:rsidRPr="00830EF0" w:rsidTr="00000E53">
        <w:trPr>
          <w:trHeight w:val="226"/>
        </w:trPr>
        <w:tc>
          <w:tcPr>
            <w:tcW w:w="1276" w:type="dxa"/>
            <w:tcBorders>
              <w:top w:val="nil"/>
              <w:left w:val="single" w:sz="4" w:space="0" w:color="auto"/>
              <w:bottom w:val="single" w:sz="4" w:space="0" w:color="auto"/>
              <w:right w:val="single" w:sz="4" w:space="0" w:color="auto"/>
            </w:tcBorders>
            <w:shd w:val="clear" w:color="auto" w:fill="auto"/>
            <w:vAlign w:val="center"/>
          </w:tcPr>
          <w:p w:rsidR="00C404B9" w:rsidRPr="00830EF0" w:rsidRDefault="00C404B9" w:rsidP="00000E53">
            <w:pPr>
              <w:jc w:val="center"/>
              <w:rPr>
                <w:color w:val="000000"/>
                <w:sz w:val="16"/>
                <w:szCs w:val="16"/>
              </w:rPr>
            </w:pPr>
            <w:r w:rsidRPr="00830EF0">
              <w:rPr>
                <w:color w:val="000000"/>
                <w:sz w:val="16"/>
                <w:szCs w:val="16"/>
              </w:rPr>
              <w:t>№39 от 26.03.2021</w:t>
            </w:r>
          </w:p>
        </w:tc>
        <w:tc>
          <w:tcPr>
            <w:tcW w:w="1276" w:type="dxa"/>
            <w:tcBorders>
              <w:top w:val="nil"/>
              <w:left w:val="nil"/>
              <w:bottom w:val="single" w:sz="4" w:space="0" w:color="auto"/>
              <w:right w:val="single" w:sz="4" w:space="0" w:color="auto"/>
            </w:tcBorders>
            <w:shd w:val="clear" w:color="auto" w:fill="auto"/>
            <w:vAlign w:val="center"/>
          </w:tcPr>
          <w:p w:rsidR="00C404B9" w:rsidRPr="00830EF0" w:rsidRDefault="00C404B9" w:rsidP="00000E53">
            <w:pPr>
              <w:jc w:val="center"/>
              <w:rPr>
                <w:color w:val="000000"/>
                <w:sz w:val="16"/>
                <w:szCs w:val="16"/>
              </w:rPr>
            </w:pPr>
            <w:r w:rsidRPr="00830EF0">
              <w:rPr>
                <w:color w:val="000000"/>
                <w:sz w:val="16"/>
                <w:szCs w:val="16"/>
              </w:rPr>
              <w:t>0188300002121000006-01</w:t>
            </w:r>
          </w:p>
        </w:tc>
        <w:tc>
          <w:tcPr>
            <w:tcW w:w="992" w:type="dxa"/>
            <w:tcBorders>
              <w:top w:val="nil"/>
              <w:left w:val="nil"/>
              <w:bottom w:val="single" w:sz="4" w:space="0" w:color="auto"/>
              <w:right w:val="single" w:sz="4" w:space="0" w:color="auto"/>
            </w:tcBorders>
            <w:shd w:val="clear" w:color="auto" w:fill="auto"/>
            <w:vAlign w:val="center"/>
          </w:tcPr>
          <w:p w:rsidR="00C404B9" w:rsidRPr="00830EF0" w:rsidRDefault="00C404B9" w:rsidP="00000E53">
            <w:pPr>
              <w:jc w:val="center"/>
              <w:rPr>
                <w:color w:val="000000"/>
                <w:sz w:val="16"/>
                <w:szCs w:val="16"/>
              </w:rPr>
            </w:pPr>
            <w:r w:rsidRPr="00830EF0">
              <w:rPr>
                <w:color w:val="000000"/>
                <w:sz w:val="16"/>
                <w:szCs w:val="16"/>
              </w:rPr>
              <w:t>24.03.2021</w:t>
            </w:r>
          </w:p>
        </w:tc>
        <w:tc>
          <w:tcPr>
            <w:tcW w:w="1276" w:type="dxa"/>
            <w:tcBorders>
              <w:top w:val="nil"/>
              <w:left w:val="nil"/>
              <w:bottom w:val="single" w:sz="4" w:space="0" w:color="auto"/>
              <w:right w:val="single" w:sz="4" w:space="0" w:color="auto"/>
            </w:tcBorders>
            <w:shd w:val="clear" w:color="auto" w:fill="auto"/>
            <w:vAlign w:val="center"/>
          </w:tcPr>
          <w:p w:rsidR="00C404B9" w:rsidRPr="00830EF0" w:rsidRDefault="00C404B9" w:rsidP="00000E53">
            <w:pPr>
              <w:jc w:val="center"/>
              <w:rPr>
                <w:color w:val="000000"/>
                <w:sz w:val="16"/>
                <w:szCs w:val="16"/>
              </w:rPr>
            </w:pPr>
            <w:r w:rsidRPr="00830EF0">
              <w:rPr>
                <w:color w:val="000000"/>
                <w:sz w:val="16"/>
                <w:szCs w:val="16"/>
              </w:rPr>
              <w:t xml:space="preserve">НАО </w:t>
            </w:r>
            <w:r>
              <w:rPr>
                <w:color w:val="000000"/>
                <w:sz w:val="16"/>
                <w:szCs w:val="16"/>
              </w:rPr>
              <w:t>«</w:t>
            </w:r>
            <w:r w:rsidRPr="00830EF0">
              <w:rPr>
                <w:color w:val="000000"/>
                <w:sz w:val="16"/>
                <w:szCs w:val="16"/>
              </w:rPr>
              <w:t>ЧТК</w:t>
            </w:r>
            <w:r>
              <w:rPr>
                <w:color w:val="000000"/>
                <w:sz w:val="16"/>
                <w:szCs w:val="16"/>
              </w:rPr>
              <w:t>»</w:t>
            </w:r>
          </w:p>
        </w:tc>
        <w:tc>
          <w:tcPr>
            <w:tcW w:w="1134" w:type="dxa"/>
            <w:tcBorders>
              <w:top w:val="nil"/>
              <w:left w:val="nil"/>
              <w:bottom w:val="single" w:sz="4" w:space="0" w:color="auto"/>
              <w:right w:val="single" w:sz="4" w:space="0" w:color="auto"/>
            </w:tcBorders>
            <w:shd w:val="clear" w:color="auto" w:fill="auto"/>
            <w:vAlign w:val="center"/>
          </w:tcPr>
          <w:p w:rsidR="00C404B9" w:rsidRPr="00830EF0" w:rsidRDefault="00C404B9" w:rsidP="00000E53">
            <w:pPr>
              <w:jc w:val="center"/>
              <w:rPr>
                <w:color w:val="000000"/>
                <w:sz w:val="16"/>
                <w:szCs w:val="16"/>
              </w:rPr>
            </w:pPr>
            <w:r w:rsidRPr="00830EF0">
              <w:rPr>
                <w:color w:val="000000"/>
                <w:sz w:val="16"/>
                <w:szCs w:val="16"/>
              </w:rPr>
              <w:t>27</w:t>
            </w:r>
          </w:p>
        </w:tc>
        <w:tc>
          <w:tcPr>
            <w:tcW w:w="851" w:type="dxa"/>
            <w:tcBorders>
              <w:top w:val="nil"/>
              <w:left w:val="nil"/>
              <w:bottom w:val="single" w:sz="4" w:space="0" w:color="auto"/>
              <w:right w:val="nil"/>
            </w:tcBorders>
            <w:shd w:val="clear" w:color="auto" w:fill="auto"/>
            <w:vAlign w:val="center"/>
          </w:tcPr>
          <w:p w:rsidR="00C404B9" w:rsidRPr="00830EF0" w:rsidRDefault="00C404B9" w:rsidP="00000E53">
            <w:pPr>
              <w:jc w:val="center"/>
              <w:rPr>
                <w:color w:val="000000"/>
                <w:sz w:val="16"/>
                <w:szCs w:val="16"/>
              </w:rPr>
            </w:pPr>
            <w:r w:rsidRPr="00830EF0">
              <w:rPr>
                <w:color w:val="000000"/>
                <w:sz w:val="16"/>
                <w:szCs w:val="16"/>
              </w:rPr>
              <w:t>1191,0</w:t>
            </w:r>
          </w:p>
        </w:tc>
        <w:tc>
          <w:tcPr>
            <w:tcW w:w="1275" w:type="dxa"/>
            <w:tcBorders>
              <w:top w:val="nil"/>
              <w:left w:val="single" w:sz="4" w:space="0" w:color="auto"/>
              <w:bottom w:val="single" w:sz="4" w:space="0" w:color="auto"/>
              <w:right w:val="nil"/>
            </w:tcBorders>
            <w:shd w:val="clear" w:color="auto" w:fill="auto"/>
            <w:vAlign w:val="center"/>
          </w:tcPr>
          <w:p w:rsidR="00C404B9" w:rsidRPr="00830EF0" w:rsidRDefault="00C404B9" w:rsidP="00000E53">
            <w:pPr>
              <w:jc w:val="center"/>
              <w:rPr>
                <w:color w:val="000000"/>
                <w:sz w:val="16"/>
                <w:szCs w:val="16"/>
              </w:rPr>
            </w:pPr>
            <w:r w:rsidRPr="00830EF0">
              <w:rPr>
                <w:color w:val="000000"/>
                <w:sz w:val="16"/>
                <w:szCs w:val="16"/>
              </w:rPr>
              <w:t xml:space="preserve">с. </w:t>
            </w:r>
            <w:proofErr w:type="spellStart"/>
            <w:r w:rsidRPr="00830EF0">
              <w:rPr>
                <w:color w:val="000000"/>
                <w:sz w:val="16"/>
                <w:szCs w:val="16"/>
              </w:rPr>
              <w:t>Сиреники</w:t>
            </w:r>
            <w:proofErr w:type="spellEnd"/>
          </w:p>
        </w:tc>
        <w:tc>
          <w:tcPr>
            <w:tcW w:w="993" w:type="dxa"/>
            <w:tcBorders>
              <w:top w:val="nil"/>
              <w:left w:val="single" w:sz="4" w:space="0" w:color="auto"/>
              <w:bottom w:val="single" w:sz="4" w:space="0" w:color="auto"/>
              <w:right w:val="nil"/>
            </w:tcBorders>
            <w:shd w:val="clear" w:color="auto" w:fill="auto"/>
            <w:vAlign w:val="center"/>
          </w:tcPr>
          <w:p w:rsidR="00C404B9" w:rsidRPr="00830EF0" w:rsidRDefault="00C404B9" w:rsidP="00000E53">
            <w:pPr>
              <w:jc w:val="center"/>
              <w:rPr>
                <w:color w:val="000000"/>
                <w:sz w:val="16"/>
                <w:szCs w:val="16"/>
              </w:rPr>
            </w:pPr>
            <w:r w:rsidRPr="00830EF0">
              <w:rPr>
                <w:color w:val="000000"/>
                <w:sz w:val="16"/>
                <w:szCs w:val="16"/>
              </w:rPr>
              <w:t>229 545,8</w:t>
            </w:r>
          </w:p>
        </w:tc>
        <w:tc>
          <w:tcPr>
            <w:tcW w:w="938" w:type="dxa"/>
            <w:tcBorders>
              <w:top w:val="nil"/>
              <w:left w:val="single" w:sz="4" w:space="0" w:color="auto"/>
              <w:bottom w:val="single" w:sz="4" w:space="0" w:color="auto"/>
              <w:right w:val="single" w:sz="4" w:space="0" w:color="auto"/>
            </w:tcBorders>
            <w:shd w:val="clear" w:color="auto" w:fill="auto"/>
            <w:vAlign w:val="center"/>
          </w:tcPr>
          <w:p w:rsidR="00C404B9" w:rsidRPr="00830EF0" w:rsidRDefault="00C404B9" w:rsidP="00000E53">
            <w:pPr>
              <w:jc w:val="center"/>
              <w:rPr>
                <w:color w:val="000000"/>
                <w:sz w:val="16"/>
                <w:szCs w:val="16"/>
              </w:rPr>
            </w:pPr>
            <w:r w:rsidRPr="00830EF0">
              <w:rPr>
                <w:color w:val="000000"/>
                <w:sz w:val="16"/>
                <w:szCs w:val="16"/>
              </w:rPr>
              <w:t>01.12.2022</w:t>
            </w:r>
          </w:p>
        </w:tc>
      </w:tr>
      <w:tr w:rsidR="00C404B9" w:rsidRPr="00830EF0" w:rsidTr="00000E53">
        <w:trPr>
          <w:trHeight w:val="56"/>
        </w:trPr>
        <w:tc>
          <w:tcPr>
            <w:tcW w:w="1276" w:type="dxa"/>
            <w:tcBorders>
              <w:top w:val="nil"/>
              <w:left w:val="single" w:sz="4" w:space="0" w:color="auto"/>
              <w:bottom w:val="single" w:sz="4" w:space="0" w:color="auto"/>
              <w:right w:val="single" w:sz="4" w:space="0" w:color="auto"/>
            </w:tcBorders>
            <w:shd w:val="clear" w:color="auto" w:fill="auto"/>
            <w:vAlign w:val="center"/>
          </w:tcPr>
          <w:p w:rsidR="00C404B9" w:rsidRPr="00830EF0" w:rsidRDefault="00C404B9" w:rsidP="00000E53">
            <w:pPr>
              <w:jc w:val="center"/>
              <w:rPr>
                <w:color w:val="000000"/>
                <w:sz w:val="16"/>
                <w:szCs w:val="16"/>
              </w:rPr>
            </w:pPr>
            <w:r w:rsidRPr="00830EF0">
              <w:rPr>
                <w:color w:val="000000"/>
                <w:sz w:val="16"/>
                <w:szCs w:val="16"/>
              </w:rPr>
              <w:t>№73 от 20.07.2021</w:t>
            </w:r>
          </w:p>
        </w:tc>
        <w:tc>
          <w:tcPr>
            <w:tcW w:w="1276" w:type="dxa"/>
            <w:tcBorders>
              <w:top w:val="nil"/>
              <w:left w:val="nil"/>
              <w:bottom w:val="single" w:sz="4" w:space="0" w:color="auto"/>
              <w:right w:val="single" w:sz="4" w:space="0" w:color="auto"/>
            </w:tcBorders>
            <w:shd w:val="clear" w:color="auto" w:fill="auto"/>
            <w:vAlign w:val="center"/>
          </w:tcPr>
          <w:p w:rsidR="00C404B9" w:rsidRPr="00830EF0" w:rsidRDefault="00C404B9" w:rsidP="00000E53">
            <w:pPr>
              <w:jc w:val="center"/>
              <w:rPr>
                <w:color w:val="000000"/>
                <w:sz w:val="16"/>
                <w:szCs w:val="16"/>
              </w:rPr>
            </w:pPr>
            <w:r w:rsidRPr="00830EF0">
              <w:rPr>
                <w:color w:val="000000"/>
                <w:sz w:val="16"/>
                <w:szCs w:val="16"/>
              </w:rPr>
              <w:t>0188300002121000036-01</w:t>
            </w:r>
          </w:p>
        </w:tc>
        <w:tc>
          <w:tcPr>
            <w:tcW w:w="992" w:type="dxa"/>
            <w:tcBorders>
              <w:top w:val="nil"/>
              <w:left w:val="nil"/>
              <w:bottom w:val="single" w:sz="4" w:space="0" w:color="auto"/>
              <w:right w:val="single" w:sz="4" w:space="0" w:color="auto"/>
            </w:tcBorders>
            <w:shd w:val="clear" w:color="auto" w:fill="auto"/>
            <w:vAlign w:val="center"/>
          </w:tcPr>
          <w:p w:rsidR="00C404B9" w:rsidRPr="00830EF0" w:rsidRDefault="00C404B9" w:rsidP="00000E53">
            <w:pPr>
              <w:jc w:val="center"/>
              <w:rPr>
                <w:color w:val="000000"/>
                <w:sz w:val="16"/>
                <w:szCs w:val="16"/>
              </w:rPr>
            </w:pPr>
            <w:r w:rsidRPr="00830EF0">
              <w:rPr>
                <w:color w:val="000000"/>
                <w:sz w:val="16"/>
                <w:szCs w:val="16"/>
              </w:rPr>
              <w:t>09.07.2021</w:t>
            </w:r>
          </w:p>
        </w:tc>
        <w:tc>
          <w:tcPr>
            <w:tcW w:w="1276" w:type="dxa"/>
            <w:tcBorders>
              <w:top w:val="nil"/>
              <w:left w:val="nil"/>
              <w:bottom w:val="single" w:sz="4" w:space="0" w:color="auto"/>
              <w:right w:val="single" w:sz="4" w:space="0" w:color="auto"/>
            </w:tcBorders>
            <w:shd w:val="clear" w:color="auto" w:fill="auto"/>
            <w:vAlign w:val="center"/>
          </w:tcPr>
          <w:p w:rsidR="00C404B9" w:rsidRPr="00830EF0" w:rsidRDefault="00C404B9" w:rsidP="00000E53">
            <w:pPr>
              <w:jc w:val="center"/>
              <w:rPr>
                <w:color w:val="000000"/>
                <w:sz w:val="16"/>
                <w:szCs w:val="16"/>
              </w:rPr>
            </w:pPr>
            <w:r w:rsidRPr="00830EF0">
              <w:rPr>
                <w:color w:val="000000"/>
                <w:sz w:val="16"/>
                <w:szCs w:val="16"/>
              </w:rPr>
              <w:t xml:space="preserve">ЗАО СПК </w:t>
            </w:r>
            <w:r>
              <w:rPr>
                <w:color w:val="000000"/>
                <w:sz w:val="16"/>
                <w:szCs w:val="16"/>
              </w:rPr>
              <w:t>«</w:t>
            </w:r>
            <w:proofErr w:type="spellStart"/>
            <w:r w:rsidRPr="00830EF0">
              <w:rPr>
                <w:color w:val="000000"/>
                <w:sz w:val="16"/>
                <w:szCs w:val="16"/>
              </w:rPr>
              <w:t>Зевра</w:t>
            </w:r>
            <w:proofErr w:type="spellEnd"/>
            <w:r>
              <w:rPr>
                <w:color w:val="000000"/>
                <w:sz w:val="16"/>
                <w:szCs w:val="16"/>
              </w:rPr>
              <w:t>»</w:t>
            </w:r>
          </w:p>
        </w:tc>
        <w:tc>
          <w:tcPr>
            <w:tcW w:w="1134" w:type="dxa"/>
            <w:tcBorders>
              <w:top w:val="nil"/>
              <w:left w:val="nil"/>
              <w:bottom w:val="single" w:sz="4" w:space="0" w:color="auto"/>
              <w:right w:val="single" w:sz="4" w:space="0" w:color="auto"/>
            </w:tcBorders>
            <w:shd w:val="clear" w:color="auto" w:fill="auto"/>
            <w:vAlign w:val="center"/>
          </w:tcPr>
          <w:p w:rsidR="00C404B9" w:rsidRPr="00830EF0" w:rsidRDefault="00C404B9" w:rsidP="00000E53">
            <w:pPr>
              <w:jc w:val="center"/>
              <w:rPr>
                <w:color w:val="000000"/>
                <w:sz w:val="16"/>
                <w:szCs w:val="16"/>
              </w:rPr>
            </w:pPr>
            <w:r w:rsidRPr="00830EF0">
              <w:rPr>
                <w:color w:val="000000"/>
                <w:sz w:val="16"/>
                <w:szCs w:val="16"/>
              </w:rPr>
              <w:t>7</w:t>
            </w:r>
          </w:p>
        </w:tc>
        <w:tc>
          <w:tcPr>
            <w:tcW w:w="851" w:type="dxa"/>
            <w:tcBorders>
              <w:top w:val="nil"/>
              <w:left w:val="nil"/>
              <w:bottom w:val="single" w:sz="4" w:space="0" w:color="auto"/>
              <w:right w:val="nil"/>
            </w:tcBorders>
            <w:shd w:val="clear" w:color="auto" w:fill="auto"/>
            <w:vAlign w:val="center"/>
          </w:tcPr>
          <w:p w:rsidR="00C404B9" w:rsidRPr="00830EF0" w:rsidRDefault="00C404B9" w:rsidP="00000E53">
            <w:pPr>
              <w:jc w:val="center"/>
              <w:rPr>
                <w:color w:val="000000"/>
                <w:sz w:val="16"/>
                <w:szCs w:val="16"/>
              </w:rPr>
            </w:pPr>
            <w:r w:rsidRPr="00830EF0">
              <w:rPr>
                <w:color w:val="000000"/>
                <w:sz w:val="16"/>
                <w:szCs w:val="16"/>
              </w:rPr>
              <w:t>314,0</w:t>
            </w:r>
          </w:p>
        </w:tc>
        <w:tc>
          <w:tcPr>
            <w:tcW w:w="1275" w:type="dxa"/>
            <w:tcBorders>
              <w:top w:val="nil"/>
              <w:left w:val="single" w:sz="4" w:space="0" w:color="auto"/>
              <w:bottom w:val="single" w:sz="4" w:space="0" w:color="auto"/>
              <w:right w:val="nil"/>
            </w:tcBorders>
            <w:shd w:val="clear" w:color="auto" w:fill="auto"/>
            <w:vAlign w:val="center"/>
          </w:tcPr>
          <w:p w:rsidR="00C404B9" w:rsidRPr="00830EF0" w:rsidRDefault="00C404B9" w:rsidP="00000E53">
            <w:pPr>
              <w:jc w:val="center"/>
              <w:rPr>
                <w:color w:val="000000"/>
                <w:sz w:val="16"/>
                <w:szCs w:val="16"/>
              </w:rPr>
            </w:pPr>
            <w:r w:rsidRPr="00830EF0">
              <w:rPr>
                <w:color w:val="000000"/>
                <w:sz w:val="16"/>
                <w:szCs w:val="16"/>
              </w:rPr>
              <w:t xml:space="preserve">с. </w:t>
            </w:r>
            <w:proofErr w:type="spellStart"/>
            <w:r w:rsidRPr="00830EF0">
              <w:rPr>
                <w:color w:val="000000"/>
                <w:sz w:val="16"/>
                <w:szCs w:val="16"/>
              </w:rPr>
              <w:t>Янракы</w:t>
            </w:r>
            <w:r>
              <w:rPr>
                <w:color w:val="000000"/>
                <w:sz w:val="16"/>
                <w:szCs w:val="16"/>
              </w:rPr>
              <w:t>н</w:t>
            </w:r>
            <w:r w:rsidRPr="00830EF0">
              <w:rPr>
                <w:color w:val="000000"/>
                <w:sz w:val="16"/>
                <w:szCs w:val="16"/>
              </w:rPr>
              <w:t>нот</w:t>
            </w:r>
            <w:proofErr w:type="spellEnd"/>
          </w:p>
        </w:tc>
        <w:tc>
          <w:tcPr>
            <w:tcW w:w="993" w:type="dxa"/>
            <w:tcBorders>
              <w:top w:val="nil"/>
              <w:left w:val="single" w:sz="4" w:space="0" w:color="auto"/>
              <w:bottom w:val="single" w:sz="4" w:space="0" w:color="auto"/>
              <w:right w:val="nil"/>
            </w:tcBorders>
            <w:shd w:val="clear" w:color="auto" w:fill="auto"/>
            <w:vAlign w:val="center"/>
          </w:tcPr>
          <w:p w:rsidR="00C404B9" w:rsidRPr="00830EF0" w:rsidRDefault="00C404B9" w:rsidP="00000E53">
            <w:pPr>
              <w:jc w:val="center"/>
              <w:rPr>
                <w:color w:val="000000"/>
                <w:sz w:val="16"/>
                <w:szCs w:val="16"/>
              </w:rPr>
            </w:pPr>
            <w:r w:rsidRPr="00830EF0">
              <w:rPr>
                <w:color w:val="000000"/>
                <w:sz w:val="16"/>
                <w:szCs w:val="16"/>
              </w:rPr>
              <w:t>58 585,5</w:t>
            </w:r>
          </w:p>
        </w:tc>
        <w:tc>
          <w:tcPr>
            <w:tcW w:w="938" w:type="dxa"/>
            <w:tcBorders>
              <w:top w:val="nil"/>
              <w:left w:val="single" w:sz="4" w:space="0" w:color="auto"/>
              <w:bottom w:val="single" w:sz="4" w:space="0" w:color="auto"/>
              <w:right w:val="single" w:sz="4" w:space="0" w:color="auto"/>
            </w:tcBorders>
            <w:shd w:val="clear" w:color="auto" w:fill="auto"/>
            <w:vAlign w:val="center"/>
          </w:tcPr>
          <w:p w:rsidR="00C404B9" w:rsidRPr="00830EF0" w:rsidRDefault="00C404B9" w:rsidP="00000E53">
            <w:pPr>
              <w:jc w:val="center"/>
              <w:rPr>
                <w:color w:val="000000"/>
                <w:sz w:val="16"/>
                <w:szCs w:val="16"/>
              </w:rPr>
            </w:pPr>
            <w:r w:rsidRPr="00830EF0">
              <w:rPr>
                <w:color w:val="000000"/>
                <w:sz w:val="16"/>
                <w:szCs w:val="16"/>
              </w:rPr>
              <w:t>01.12.2021</w:t>
            </w:r>
          </w:p>
        </w:tc>
      </w:tr>
      <w:tr w:rsidR="00C404B9" w:rsidRPr="006D56C4" w:rsidTr="00000E53">
        <w:trPr>
          <w:trHeight w:val="226"/>
        </w:trPr>
        <w:tc>
          <w:tcPr>
            <w:tcW w:w="10011" w:type="dxa"/>
            <w:gridSpan w:val="9"/>
            <w:tcBorders>
              <w:top w:val="nil"/>
              <w:left w:val="single" w:sz="4" w:space="0" w:color="auto"/>
              <w:bottom w:val="single" w:sz="4" w:space="0" w:color="auto"/>
              <w:right w:val="single" w:sz="4" w:space="0" w:color="auto"/>
            </w:tcBorders>
            <w:shd w:val="clear" w:color="auto" w:fill="auto"/>
            <w:vAlign w:val="center"/>
          </w:tcPr>
          <w:p w:rsidR="00C404B9" w:rsidRPr="00B3109C" w:rsidRDefault="00C404B9" w:rsidP="00000E53">
            <w:pPr>
              <w:jc w:val="center"/>
              <w:rPr>
                <w:b/>
                <w:color w:val="000000"/>
                <w:sz w:val="16"/>
                <w:szCs w:val="16"/>
              </w:rPr>
            </w:pPr>
            <w:r w:rsidRPr="00B3109C">
              <w:rPr>
                <w:b/>
                <w:color w:val="000000"/>
                <w:sz w:val="16"/>
                <w:szCs w:val="16"/>
              </w:rPr>
              <w:t xml:space="preserve">Городской округ </w:t>
            </w:r>
            <w:proofErr w:type="spellStart"/>
            <w:r w:rsidRPr="00B3109C">
              <w:rPr>
                <w:b/>
                <w:color w:val="000000"/>
                <w:sz w:val="16"/>
                <w:szCs w:val="16"/>
              </w:rPr>
              <w:t>Эгвекинот</w:t>
            </w:r>
            <w:proofErr w:type="spellEnd"/>
          </w:p>
        </w:tc>
      </w:tr>
      <w:tr w:rsidR="00C404B9" w:rsidRPr="00B3109C" w:rsidTr="00000E53">
        <w:trPr>
          <w:trHeight w:val="226"/>
        </w:trPr>
        <w:tc>
          <w:tcPr>
            <w:tcW w:w="1276" w:type="dxa"/>
            <w:tcBorders>
              <w:top w:val="nil"/>
              <w:left w:val="single" w:sz="4" w:space="0" w:color="auto"/>
              <w:bottom w:val="single" w:sz="4" w:space="0" w:color="auto"/>
              <w:right w:val="single" w:sz="4" w:space="0" w:color="auto"/>
            </w:tcBorders>
            <w:shd w:val="clear" w:color="auto" w:fill="auto"/>
            <w:vAlign w:val="center"/>
          </w:tcPr>
          <w:p w:rsidR="00C404B9" w:rsidRPr="00B3109C" w:rsidRDefault="00C404B9" w:rsidP="00000E53">
            <w:pPr>
              <w:jc w:val="center"/>
              <w:rPr>
                <w:color w:val="000000"/>
                <w:sz w:val="16"/>
                <w:szCs w:val="16"/>
              </w:rPr>
            </w:pPr>
            <w:r w:rsidRPr="00B3109C">
              <w:rPr>
                <w:color w:val="000000"/>
                <w:sz w:val="16"/>
                <w:szCs w:val="16"/>
              </w:rPr>
              <w:t>№47 от 30.04.2021</w:t>
            </w:r>
          </w:p>
        </w:tc>
        <w:tc>
          <w:tcPr>
            <w:tcW w:w="1276" w:type="dxa"/>
            <w:tcBorders>
              <w:top w:val="nil"/>
              <w:left w:val="nil"/>
              <w:bottom w:val="single" w:sz="4" w:space="0" w:color="auto"/>
              <w:right w:val="single" w:sz="4" w:space="0" w:color="auto"/>
            </w:tcBorders>
            <w:shd w:val="clear" w:color="auto" w:fill="auto"/>
            <w:vAlign w:val="center"/>
          </w:tcPr>
          <w:p w:rsidR="00C404B9" w:rsidRPr="00B3109C" w:rsidRDefault="00C404B9" w:rsidP="00000E53">
            <w:pPr>
              <w:jc w:val="center"/>
              <w:rPr>
                <w:color w:val="000000"/>
                <w:sz w:val="16"/>
                <w:szCs w:val="16"/>
              </w:rPr>
            </w:pPr>
            <w:r w:rsidRPr="00B3109C">
              <w:rPr>
                <w:color w:val="000000"/>
                <w:sz w:val="16"/>
                <w:szCs w:val="16"/>
              </w:rPr>
              <w:t>85-ЖК</w:t>
            </w:r>
          </w:p>
        </w:tc>
        <w:tc>
          <w:tcPr>
            <w:tcW w:w="992" w:type="dxa"/>
            <w:tcBorders>
              <w:top w:val="nil"/>
              <w:left w:val="nil"/>
              <w:bottom w:val="single" w:sz="4" w:space="0" w:color="auto"/>
              <w:right w:val="single" w:sz="4" w:space="0" w:color="auto"/>
            </w:tcBorders>
            <w:shd w:val="clear" w:color="auto" w:fill="auto"/>
            <w:vAlign w:val="center"/>
          </w:tcPr>
          <w:p w:rsidR="00C404B9" w:rsidRPr="00B3109C" w:rsidRDefault="00C404B9" w:rsidP="00000E53">
            <w:pPr>
              <w:jc w:val="center"/>
              <w:rPr>
                <w:color w:val="000000"/>
                <w:sz w:val="16"/>
                <w:szCs w:val="16"/>
              </w:rPr>
            </w:pPr>
            <w:r w:rsidRPr="00B3109C">
              <w:rPr>
                <w:color w:val="000000"/>
                <w:sz w:val="16"/>
                <w:szCs w:val="16"/>
              </w:rPr>
              <w:t>24.12.2021</w:t>
            </w:r>
          </w:p>
        </w:tc>
        <w:tc>
          <w:tcPr>
            <w:tcW w:w="1276" w:type="dxa"/>
            <w:tcBorders>
              <w:top w:val="nil"/>
              <w:left w:val="nil"/>
              <w:bottom w:val="single" w:sz="4" w:space="0" w:color="auto"/>
              <w:right w:val="single" w:sz="4" w:space="0" w:color="auto"/>
            </w:tcBorders>
            <w:shd w:val="clear" w:color="auto" w:fill="auto"/>
            <w:vAlign w:val="center"/>
          </w:tcPr>
          <w:p w:rsidR="00C404B9" w:rsidRPr="00B3109C" w:rsidRDefault="00C404B9" w:rsidP="00000E53">
            <w:pPr>
              <w:jc w:val="center"/>
              <w:rPr>
                <w:color w:val="000000"/>
                <w:sz w:val="16"/>
                <w:szCs w:val="16"/>
              </w:rPr>
            </w:pPr>
            <w:r w:rsidRPr="00B3109C">
              <w:rPr>
                <w:color w:val="000000"/>
                <w:sz w:val="16"/>
                <w:szCs w:val="16"/>
              </w:rPr>
              <w:t>ООО «Швабе-Москва»</w:t>
            </w:r>
          </w:p>
        </w:tc>
        <w:tc>
          <w:tcPr>
            <w:tcW w:w="1134" w:type="dxa"/>
            <w:tcBorders>
              <w:top w:val="nil"/>
              <w:left w:val="nil"/>
              <w:bottom w:val="single" w:sz="4" w:space="0" w:color="auto"/>
              <w:right w:val="single" w:sz="4" w:space="0" w:color="auto"/>
            </w:tcBorders>
            <w:shd w:val="clear" w:color="auto" w:fill="auto"/>
            <w:vAlign w:val="center"/>
          </w:tcPr>
          <w:p w:rsidR="00C404B9" w:rsidRPr="00B3109C" w:rsidRDefault="00C404B9" w:rsidP="00000E53">
            <w:pPr>
              <w:jc w:val="center"/>
              <w:rPr>
                <w:color w:val="000000"/>
                <w:sz w:val="16"/>
                <w:szCs w:val="16"/>
              </w:rPr>
            </w:pPr>
            <w:r w:rsidRPr="00B3109C">
              <w:rPr>
                <w:color w:val="000000"/>
                <w:sz w:val="16"/>
                <w:szCs w:val="16"/>
              </w:rPr>
              <w:t>8</w:t>
            </w:r>
          </w:p>
        </w:tc>
        <w:tc>
          <w:tcPr>
            <w:tcW w:w="851" w:type="dxa"/>
            <w:tcBorders>
              <w:top w:val="nil"/>
              <w:left w:val="nil"/>
              <w:bottom w:val="single" w:sz="4" w:space="0" w:color="auto"/>
              <w:right w:val="nil"/>
            </w:tcBorders>
            <w:shd w:val="clear" w:color="auto" w:fill="auto"/>
            <w:vAlign w:val="center"/>
          </w:tcPr>
          <w:p w:rsidR="00C404B9" w:rsidRPr="00B3109C" w:rsidRDefault="00C404B9" w:rsidP="00000E53">
            <w:pPr>
              <w:jc w:val="center"/>
              <w:rPr>
                <w:color w:val="000000"/>
                <w:sz w:val="16"/>
                <w:szCs w:val="16"/>
              </w:rPr>
            </w:pPr>
            <w:r w:rsidRPr="00B3109C">
              <w:rPr>
                <w:color w:val="000000"/>
                <w:sz w:val="16"/>
                <w:szCs w:val="16"/>
              </w:rPr>
              <w:t>304,0</w:t>
            </w:r>
          </w:p>
        </w:tc>
        <w:tc>
          <w:tcPr>
            <w:tcW w:w="1275" w:type="dxa"/>
            <w:tcBorders>
              <w:top w:val="nil"/>
              <w:left w:val="single" w:sz="4" w:space="0" w:color="auto"/>
              <w:bottom w:val="single" w:sz="4" w:space="0" w:color="auto"/>
              <w:right w:val="nil"/>
            </w:tcBorders>
            <w:shd w:val="clear" w:color="auto" w:fill="auto"/>
            <w:vAlign w:val="center"/>
          </w:tcPr>
          <w:p w:rsidR="00C404B9" w:rsidRPr="00B3109C" w:rsidRDefault="00C404B9" w:rsidP="00000E53">
            <w:pPr>
              <w:jc w:val="center"/>
              <w:rPr>
                <w:color w:val="000000"/>
                <w:sz w:val="16"/>
                <w:szCs w:val="16"/>
              </w:rPr>
            </w:pPr>
            <w:r w:rsidRPr="00B3109C">
              <w:rPr>
                <w:color w:val="000000"/>
                <w:sz w:val="16"/>
                <w:szCs w:val="16"/>
              </w:rPr>
              <w:t xml:space="preserve">с. </w:t>
            </w:r>
            <w:proofErr w:type="spellStart"/>
            <w:r w:rsidRPr="00B3109C">
              <w:rPr>
                <w:color w:val="000000"/>
                <w:sz w:val="16"/>
                <w:szCs w:val="16"/>
              </w:rPr>
              <w:t>Конергино</w:t>
            </w:r>
            <w:proofErr w:type="spellEnd"/>
          </w:p>
        </w:tc>
        <w:tc>
          <w:tcPr>
            <w:tcW w:w="993" w:type="dxa"/>
            <w:tcBorders>
              <w:top w:val="nil"/>
              <w:left w:val="single" w:sz="4" w:space="0" w:color="auto"/>
              <w:bottom w:val="single" w:sz="4" w:space="0" w:color="auto"/>
              <w:right w:val="nil"/>
            </w:tcBorders>
            <w:shd w:val="clear" w:color="auto" w:fill="auto"/>
            <w:vAlign w:val="center"/>
          </w:tcPr>
          <w:p w:rsidR="00C404B9" w:rsidRPr="00B3109C" w:rsidRDefault="00C404B9" w:rsidP="00000E53">
            <w:pPr>
              <w:jc w:val="center"/>
              <w:rPr>
                <w:color w:val="000000"/>
                <w:sz w:val="16"/>
                <w:szCs w:val="16"/>
              </w:rPr>
            </w:pPr>
            <w:r w:rsidRPr="00B3109C">
              <w:rPr>
                <w:color w:val="000000"/>
                <w:sz w:val="16"/>
                <w:szCs w:val="16"/>
              </w:rPr>
              <w:t>61 884,1</w:t>
            </w:r>
          </w:p>
        </w:tc>
        <w:tc>
          <w:tcPr>
            <w:tcW w:w="938" w:type="dxa"/>
            <w:tcBorders>
              <w:top w:val="nil"/>
              <w:left w:val="single" w:sz="4" w:space="0" w:color="auto"/>
              <w:bottom w:val="single" w:sz="4" w:space="0" w:color="auto"/>
              <w:right w:val="single" w:sz="4" w:space="0" w:color="auto"/>
            </w:tcBorders>
            <w:shd w:val="clear" w:color="auto" w:fill="auto"/>
            <w:vAlign w:val="center"/>
          </w:tcPr>
          <w:p w:rsidR="00C404B9" w:rsidRPr="00B3109C" w:rsidRDefault="00C404B9" w:rsidP="00000E53">
            <w:pPr>
              <w:jc w:val="center"/>
              <w:rPr>
                <w:color w:val="000000"/>
                <w:sz w:val="16"/>
                <w:szCs w:val="16"/>
              </w:rPr>
            </w:pPr>
            <w:r w:rsidRPr="00B3109C">
              <w:rPr>
                <w:color w:val="000000"/>
                <w:sz w:val="16"/>
                <w:szCs w:val="16"/>
              </w:rPr>
              <w:t>01.12.2022</w:t>
            </w:r>
          </w:p>
        </w:tc>
      </w:tr>
      <w:tr w:rsidR="00C404B9" w:rsidRPr="006D56C4" w:rsidTr="00000E53">
        <w:trPr>
          <w:trHeight w:val="226"/>
        </w:trPr>
        <w:tc>
          <w:tcPr>
            <w:tcW w:w="10011" w:type="dxa"/>
            <w:gridSpan w:val="9"/>
            <w:tcBorders>
              <w:top w:val="nil"/>
              <w:left w:val="single" w:sz="4" w:space="0" w:color="auto"/>
              <w:bottom w:val="single" w:sz="4" w:space="0" w:color="auto"/>
              <w:right w:val="single" w:sz="4" w:space="0" w:color="auto"/>
            </w:tcBorders>
            <w:shd w:val="clear" w:color="auto" w:fill="auto"/>
            <w:vAlign w:val="center"/>
          </w:tcPr>
          <w:p w:rsidR="00C404B9" w:rsidRPr="00B3109C" w:rsidRDefault="00C404B9" w:rsidP="00000E53">
            <w:pPr>
              <w:jc w:val="center"/>
              <w:rPr>
                <w:b/>
                <w:color w:val="000000"/>
                <w:sz w:val="16"/>
                <w:szCs w:val="16"/>
              </w:rPr>
            </w:pPr>
            <w:r w:rsidRPr="00B3109C">
              <w:rPr>
                <w:b/>
                <w:color w:val="000000"/>
                <w:sz w:val="16"/>
                <w:szCs w:val="16"/>
              </w:rPr>
              <w:t>Сельское поселение Уэлен</w:t>
            </w:r>
          </w:p>
        </w:tc>
      </w:tr>
      <w:tr w:rsidR="00C404B9" w:rsidRPr="00B3109C" w:rsidTr="00000E53">
        <w:trPr>
          <w:trHeight w:val="226"/>
        </w:trPr>
        <w:tc>
          <w:tcPr>
            <w:tcW w:w="1276" w:type="dxa"/>
            <w:tcBorders>
              <w:top w:val="nil"/>
              <w:left w:val="single" w:sz="4" w:space="0" w:color="auto"/>
              <w:bottom w:val="single" w:sz="4" w:space="0" w:color="auto"/>
              <w:right w:val="single" w:sz="4" w:space="0" w:color="auto"/>
            </w:tcBorders>
            <w:shd w:val="clear" w:color="auto" w:fill="auto"/>
            <w:vAlign w:val="center"/>
          </w:tcPr>
          <w:p w:rsidR="00C404B9" w:rsidRPr="00B3109C" w:rsidRDefault="00C404B9" w:rsidP="00000E53">
            <w:pPr>
              <w:jc w:val="center"/>
              <w:rPr>
                <w:color w:val="000000"/>
                <w:sz w:val="16"/>
                <w:szCs w:val="16"/>
              </w:rPr>
            </w:pPr>
            <w:r w:rsidRPr="00B3109C">
              <w:rPr>
                <w:color w:val="000000"/>
                <w:sz w:val="16"/>
                <w:szCs w:val="16"/>
              </w:rPr>
              <w:t>№50 от 31.05.2021</w:t>
            </w:r>
          </w:p>
        </w:tc>
        <w:tc>
          <w:tcPr>
            <w:tcW w:w="1276" w:type="dxa"/>
            <w:tcBorders>
              <w:top w:val="nil"/>
              <w:left w:val="nil"/>
              <w:bottom w:val="single" w:sz="4" w:space="0" w:color="auto"/>
              <w:right w:val="single" w:sz="4" w:space="0" w:color="auto"/>
            </w:tcBorders>
            <w:shd w:val="clear" w:color="auto" w:fill="auto"/>
            <w:vAlign w:val="center"/>
          </w:tcPr>
          <w:p w:rsidR="00C404B9" w:rsidRPr="00B3109C" w:rsidRDefault="00C404B9" w:rsidP="00000E53">
            <w:pPr>
              <w:jc w:val="center"/>
              <w:rPr>
                <w:color w:val="000000"/>
                <w:sz w:val="16"/>
                <w:szCs w:val="16"/>
              </w:rPr>
            </w:pPr>
            <w:r w:rsidRPr="00B3109C">
              <w:rPr>
                <w:color w:val="000000"/>
                <w:sz w:val="16"/>
                <w:szCs w:val="16"/>
              </w:rPr>
              <w:t>0888600000521000089</w:t>
            </w:r>
          </w:p>
        </w:tc>
        <w:tc>
          <w:tcPr>
            <w:tcW w:w="992" w:type="dxa"/>
            <w:tcBorders>
              <w:top w:val="nil"/>
              <w:left w:val="nil"/>
              <w:bottom w:val="single" w:sz="4" w:space="0" w:color="auto"/>
              <w:right w:val="single" w:sz="4" w:space="0" w:color="auto"/>
            </w:tcBorders>
            <w:shd w:val="clear" w:color="auto" w:fill="auto"/>
            <w:vAlign w:val="center"/>
          </w:tcPr>
          <w:p w:rsidR="00C404B9" w:rsidRPr="00B3109C" w:rsidRDefault="00C404B9" w:rsidP="00000E53">
            <w:pPr>
              <w:jc w:val="center"/>
              <w:rPr>
                <w:color w:val="000000"/>
                <w:sz w:val="16"/>
                <w:szCs w:val="16"/>
              </w:rPr>
            </w:pPr>
            <w:r w:rsidRPr="00B3109C">
              <w:rPr>
                <w:color w:val="000000"/>
                <w:sz w:val="16"/>
                <w:szCs w:val="16"/>
              </w:rPr>
              <w:t>15.11.2021</w:t>
            </w:r>
          </w:p>
        </w:tc>
        <w:tc>
          <w:tcPr>
            <w:tcW w:w="1276" w:type="dxa"/>
            <w:tcBorders>
              <w:top w:val="nil"/>
              <w:left w:val="nil"/>
              <w:bottom w:val="single" w:sz="4" w:space="0" w:color="auto"/>
              <w:right w:val="single" w:sz="4" w:space="0" w:color="auto"/>
            </w:tcBorders>
            <w:shd w:val="clear" w:color="auto" w:fill="auto"/>
            <w:vAlign w:val="center"/>
          </w:tcPr>
          <w:p w:rsidR="00C404B9" w:rsidRPr="00B3109C" w:rsidRDefault="00C404B9" w:rsidP="00000E53">
            <w:pPr>
              <w:jc w:val="center"/>
              <w:rPr>
                <w:color w:val="000000"/>
                <w:sz w:val="16"/>
                <w:szCs w:val="16"/>
              </w:rPr>
            </w:pPr>
            <w:r w:rsidRPr="00B3109C">
              <w:rPr>
                <w:color w:val="000000"/>
                <w:sz w:val="16"/>
                <w:szCs w:val="16"/>
              </w:rPr>
              <w:t xml:space="preserve">ООО </w:t>
            </w:r>
            <w:r>
              <w:rPr>
                <w:color w:val="000000"/>
                <w:sz w:val="16"/>
                <w:szCs w:val="16"/>
              </w:rPr>
              <w:t>«</w:t>
            </w:r>
            <w:r w:rsidRPr="00B3109C">
              <w:rPr>
                <w:color w:val="000000"/>
                <w:sz w:val="16"/>
                <w:szCs w:val="16"/>
              </w:rPr>
              <w:t>Строй-Сервис</w:t>
            </w:r>
            <w:r>
              <w:rPr>
                <w:color w:val="000000"/>
                <w:sz w:val="16"/>
                <w:szCs w:val="16"/>
              </w:rPr>
              <w:t>»</w:t>
            </w:r>
          </w:p>
        </w:tc>
        <w:tc>
          <w:tcPr>
            <w:tcW w:w="1134" w:type="dxa"/>
            <w:tcBorders>
              <w:top w:val="nil"/>
              <w:left w:val="nil"/>
              <w:bottom w:val="single" w:sz="4" w:space="0" w:color="auto"/>
              <w:right w:val="single" w:sz="4" w:space="0" w:color="auto"/>
            </w:tcBorders>
            <w:shd w:val="clear" w:color="auto" w:fill="auto"/>
            <w:vAlign w:val="center"/>
          </w:tcPr>
          <w:p w:rsidR="00C404B9" w:rsidRPr="00B3109C" w:rsidRDefault="00C404B9" w:rsidP="00000E53">
            <w:pPr>
              <w:jc w:val="center"/>
              <w:rPr>
                <w:color w:val="000000"/>
                <w:sz w:val="16"/>
                <w:szCs w:val="16"/>
              </w:rPr>
            </w:pPr>
            <w:r w:rsidRPr="00B3109C">
              <w:rPr>
                <w:color w:val="000000"/>
                <w:sz w:val="16"/>
                <w:szCs w:val="16"/>
              </w:rPr>
              <w:t>16</w:t>
            </w:r>
          </w:p>
        </w:tc>
        <w:tc>
          <w:tcPr>
            <w:tcW w:w="851" w:type="dxa"/>
            <w:tcBorders>
              <w:top w:val="nil"/>
              <w:left w:val="nil"/>
              <w:bottom w:val="single" w:sz="4" w:space="0" w:color="auto"/>
              <w:right w:val="nil"/>
            </w:tcBorders>
            <w:shd w:val="clear" w:color="auto" w:fill="auto"/>
            <w:vAlign w:val="center"/>
          </w:tcPr>
          <w:p w:rsidR="00C404B9" w:rsidRPr="00B3109C" w:rsidRDefault="00C404B9" w:rsidP="00000E53">
            <w:pPr>
              <w:jc w:val="center"/>
              <w:rPr>
                <w:color w:val="000000"/>
                <w:sz w:val="16"/>
                <w:szCs w:val="16"/>
              </w:rPr>
            </w:pPr>
            <w:r w:rsidRPr="00B3109C">
              <w:rPr>
                <w:color w:val="000000"/>
                <w:sz w:val="16"/>
                <w:szCs w:val="16"/>
              </w:rPr>
              <w:t>752,0</w:t>
            </w:r>
          </w:p>
        </w:tc>
        <w:tc>
          <w:tcPr>
            <w:tcW w:w="1275" w:type="dxa"/>
            <w:tcBorders>
              <w:top w:val="nil"/>
              <w:left w:val="single" w:sz="4" w:space="0" w:color="auto"/>
              <w:bottom w:val="single" w:sz="4" w:space="0" w:color="auto"/>
              <w:right w:val="nil"/>
            </w:tcBorders>
            <w:shd w:val="clear" w:color="auto" w:fill="auto"/>
            <w:vAlign w:val="center"/>
          </w:tcPr>
          <w:p w:rsidR="00C404B9" w:rsidRPr="00B3109C" w:rsidRDefault="00C404B9" w:rsidP="00000E53">
            <w:pPr>
              <w:jc w:val="center"/>
              <w:rPr>
                <w:color w:val="000000"/>
                <w:sz w:val="16"/>
                <w:szCs w:val="16"/>
              </w:rPr>
            </w:pPr>
            <w:r w:rsidRPr="00B3109C">
              <w:rPr>
                <w:color w:val="000000"/>
                <w:sz w:val="16"/>
                <w:szCs w:val="16"/>
              </w:rPr>
              <w:t>с. Уэлен</w:t>
            </w:r>
          </w:p>
        </w:tc>
        <w:tc>
          <w:tcPr>
            <w:tcW w:w="993" w:type="dxa"/>
            <w:tcBorders>
              <w:top w:val="nil"/>
              <w:left w:val="single" w:sz="4" w:space="0" w:color="auto"/>
              <w:bottom w:val="single" w:sz="4" w:space="0" w:color="auto"/>
              <w:right w:val="nil"/>
            </w:tcBorders>
            <w:shd w:val="clear" w:color="auto" w:fill="auto"/>
            <w:vAlign w:val="center"/>
          </w:tcPr>
          <w:p w:rsidR="00C404B9" w:rsidRPr="00B3109C" w:rsidRDefault="00C404B9" w:rsidP="00000E53">
            <w:pPr>
              <w:jc w:val="center"/>
              <w:rPr>
                <w:color w:val="000000"/>
                <w:sz w:val="16"/>
                <w:szCs w:val="16"/>
              </w:rPr>
            </w:pPr>
            <w:r w:rsidRPr="00B3109C">
              <w:rPr>
                <w:color w:val="000000"/>
                <w:sz w:val="16"/>
                <w:szCs w:val="16"/>
              </w:rPr>
              <w:t>141 695,6</w:t>
            </w:r>
          </w:p>
        </w:tc>
        <w:tc>
          <w:tcPr>
            <w:tcW w:w="938" w:type="dxa"/>
            <w:tcBorders>
              <w:top w:val="nil"/>
              <w:left w:val="single" w:sz="4" w:space="0" w:color="auto"/>
              <w:bottom w:val="single" w:sz="4" w:space="0" w:color="auto"/>
              <w:right w:val="single" w:sz="4" w:space="0" w:color="auto"/>
            </w:tcBorders>
            <w:shd w:val="clear" w:color="auto" w:fill="auto"/>
            <w:vAlign w:val="center"/>
          </w:tcPr>
          <w:p w:rsidR="00C404B9" w:rsidRPr="00B3109C" w:rsidRDefault="00C404B9" w:rsidP="00000E53">
            <w:pPr>
              <w:jc w:val="center"/>
              <w:rPr>
                <w:color w:val="000000"/>
                <w:sz w:val="16"/>
                <w:szCs w:val="16"/>
              </w:rPr>
            </w:pPr>
            <w:r w:rsidRPr="00B3109C">
              <w:rPr>
                <w:color w:val="000000"/>
                <w:sz w:val="16"/>
                <w:szCs w:val="16"/>
              </w:rPr>
              <w:t>15.11.2023</w:t>
            </w:r>
          </w:p>
        </w:tc>
      </w:tr>
      <w:tr w:rsidR="00C404B9" w:rsidRPr="00B3109C" w:rsidTr="00000E53">
        <w:trPr>
          <w:trHeight w:val="226"/>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404B9" w:rsidRPr="00B3109C" w:rsidRDefault="00C404B9" w:rsidP="00000E53">
            <w:pPr>
              <w:ind w:left="-108" w:right="-109"/>
              <w:jc w:val="center"/>
              <w:rPr>
                <w:b/>
                <w:color w:val="000000"/>
                <w:sz w:val="16"/>
                <w:szCs w:val="16"/>
              </w:rPr>
            </w:pPr>
            <w:r w:rsidRPr="00B3109C">
              <w:rPr>
                <w:b/>
                <w:color w:val="000000"/>
                <w:sz w:val="16"/>
                <w:szCs w:val="16"/>
              </w:rPr>
              <w:t>Всего в 2021 году</w:t>
            </w:r>
          </w:p>
        </w:tc>
        <w:tc>
          <w:tcPr>
            <w:tcW w:w="1276" w:type="dxa"/>
            <w:tcBorders>
              <w:top w:val="single" w:sz="4" w:space="0" w:color="auto"/>
              <w:left w:val="nil"/>
              <w:bottom w:val="single" w:sz="4" w:space="0" w:color="auto"/>
              <w:right w:val="single" w:sz="4" w:space="0" w:color="auto"/>
            </w:tcBorders>
            <w:shd w:val="clear" w:color="auto" w:fill="auto"/>
            <w:vAlign w:val="center"/>
          </w:tcPr>
          <w:p w:rsidR="00C404B9" w:rsidRPr="00B3109C" w:rsidRDefault="00C404B9" w:rsidP="00000E53">
            <w:pPr>
              <w:jc w:val="center"/>
              <w:rPr>
                <w:b/>
                <w:color w:val="000000"/>
                <w:sz w:val="16"/>
                <w:szCs w:val="16"/>
              </w:rPr>
            </w:pPr>
            <w:r w:rsidRPr="00B3109C">
              <w:rPr>
                <w:b/>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C404B9" w:rsidRPr="00B3109C" w:rsidRDefault="00C404B9" w:rsidP="00000E53">
            <w:pPr>
              <w:jc w:val="center"/>
              <w:rPr>
                <w:b/>
                <w:color w:val="000000"/>
                <w:sz w:val="16"/>
                <w:szCs w:val="16"/>
              </w:rPr>
            </w:pPr>
            <w:r>
              <w:rPr>
                <w:b/>
                <w:color w:val="000000"/>
                <w:sz w:val="16"/>
                <w:szCs w:val="16"/>
              </w:rPr>
              <w:t>6</w:t>
            </w:r>
            <w:r w:rsidRPr="00B3109C">
              <w:rPr>
                <w:b/>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auto"/>
            <w:vAlign w:val="center"/>
          </w:tcPr>
          <w:p w:rsidR="00C404B9" w:rsidRPr="00B3109C" w:rsidRDefault="00C404B9" w:rsidP="00000E53">
            <w:pPr>
              <w:jc w:val="center"/>
              <w:rPr>
                <w:b/>
                <w:color w:val="000000"/>
                <w:sz w:val="16"/>
                <w:szCs w:val="16"/>
              </w:rPr>
            </w:pPr>
            <w:r w:rsidRPr="00B3109C">
              <w:rPr>
                <w:b/>
                <w:color w:val="000000"/>
                <w:sz w:val="16"/>
                <w:szCs w:val="16"/>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C404B9" w:rsidRPr="00B3109C" w:rsidRDefault="00C404B9" w:rsidP="00000E53">
            <w:pPr>
              <w:jc w:val="center"/>
              <w:rPr>
                <w:b/>
                <w:color w:val="000000"/>
                <w:sz w:val="16"/>
                <w:szCs w:val="16"/>
              </w:rPr>
            </w:pPr>
            <w:r w:rsidRPr="00B3109C">
              <w:rPr>
                <w:b/>
                <w:color w:val="000000"/>
                <w:sz w:val="16"/>
                <w:szCs w:val="16"/>
              </w:rPr>
              <w:t> </w:t>
            </w:r>
            <w:r w:rsidRPr="00F32A96">
              <w:rPr>
                <w:b/>
                <w:color w:val="000000"/>
                <w:sz w:val="16"/>
                <w:szCs w:val="16"/>
              </w:rPr>
              <w:t xml:space="preserve">85 </w:t>
            </w:r>
          </w:p>
        </w:tc>
        <w:tc>
          <w:tcPr>
            <w:tcW w:w="851" w:type="dxa"/>
            <w:tcBorders>
              <w:top w:val="single" w:sz="4" w:space="0" w:color="auto"/>
              <w:left w:val="nil"/>
              <w:bottom w:val="single" w:sz="4" w:space="0" w:color="auto"/>
              <w:right w:val="nil"/>
            </w:tcBorders>
            <w:shd w:val="clear" w:color="auto" w:fill="auto"/>
            <w:vAlign w:val="center"/>
          </w:tcPr>
          <w:p w:rsidR="00C404B9" w:rsidRPr="00B3109C" w:rsidRDefault="00C404B9" w:rsidP="00000E53">
            <w:pPr>
              <w:jc w:val="center"/>
              <w:rPr>
                <w:b/>
                <w:color w:val="000000"/>
                <w:sz w:val="16"/>
                <w:szCs w:val="16"/>
              </w:rPr>
            </w:pPr>
            <w:r w:rsidRPr="00B3109C">
              <w:rPr>
                <w:b/>
                <w:color w:val="000000"/>
                <w:sz w:val="16"/>
                <w:szCs w:val="16"/>
              </w:rPr>
              <w:t>3</w:t>
            </w:r>
            <w:r>
              <w:rPr>
                <w:b/>
                <w:color w:val="000000"/>
                <w:sz w:val="16"/>
                <w:szCs w:val="16"/>
              </w:rPr>
              <w:t> 748,</w:t>
            </w:r>
            <w:r w:rsidRPr="00B3109C">
              <w:rPr>
                <w:b/>
                <w:color w:val="000000"/>
                <w:sz w:val="16"/>
                <w:szCs w:val="16"/>
              </w:rPr>
              <w:t>0</w:t>
            </w:r>
          </w:p>
        </w:tc>
        <w:tc>
          <w:tcPr>
            <w:tcW w:w="1275" w:type="dxa"/>
            <w:tcBorders>
              <w:top w:val="single" w:sz="4" w:space="0" w:color="auto"/>
              <w:left w:val="single" w:sz="4" w:space="0" w:color="auto"/>
              <w:bottom w:val="single" w:sz="4" w:space="0" w:color="auto"/>
              <w:right w:val="nil"/>
            </w:tcBorders>
            <w:shd w:val="clear" w:color="auto" w:fill="auto"/>
            <w:vAlign w:val="center"/>
          </w:tcPr>
          <w:p w:rsidR="00C404B9" w:rsidRPr="00B3109C" w:rsidRDefault="00C404B9" w:rsidP="00000E53">
            <w:pPr>
              <w:jc w:val="center"/>
              <w:rPr>
                <w:b/>
                <w:color w:val="000000"/>
                <w:sz w:val="16"/>
                <w:szCs w:val="16"/>
              </w:rPr>
            </w:pPr>
            <w:r w:rsidRPr="00B3109C">
              <w:rPr>
                <w:b/>
                <w:color w:val="000000"/>
                <w:sz w:val="16"/>
                <w:szCs w:val="16"/>
              </w:rPr>
              <w:t> </w:t>
            </w:r>
          </w:p>
        </w:tc>
        <w:tc>
          <w:tcPr>
            <w:tcW w:w="993" w:type="dxa"/>
            <w:tcBorders>
              <w:top w:val="single" w:sz="4" w:space="0" w:color="auto"/>
              <w:left w:val="single" w:sz="4" w:space="0" w:color="auto"/>
              <w:bottom w:val="single" w:sz="4" w:space="0" w:color="auto"/>
              <w:right w:val="nil"/>
            </w:tcBorders>
            <w:shd w:val="clear" w:color="auto" w:fill="auto"/>
            <w:vAlign w:val="center"/>
          </w:tcPr>
          <w:p w:rsidR="00C404B9" w:rsidRPr="00B3109C" w:rsidRDefault="00C404B9" w:rsidP="00000E53">
            <w:pPr>
              <w:jc w:val="center"/>
              <w:rPr>
                <w:b/>
                <w:color w:val="000000"/>
                <w:sz w:val="16"/>
                <w:szCs w:val="16"/>
              </w:rPr>
            </w:pPr>
            <w:r>
              <w:rPr>
                <w:b/>
                <w:color w:val="000000"/>
                <w:sz w:val="16"/>
                <w:szCs w:val="16"/>
              </w:rPr>
              <w:t>715 504,4</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404B9" w:rsidRPr="00B3109C" w:rsidRDefault="00C404B9" w:rsidP="00000E53">
            <w:pPr>
              <w:jc w:val="center"/>
              <w:rPr>
                <w:b/>
                <w:color w:val="000000"/>
                <w:sz w:val="16"/>
                <w:szCs w:val="16"/>
              </w:rPr>
            </w:pPr>
            <w:r w:rsidRPr="00B3109C">
              <w:rPr>
                <w:b/>
                <w:color w:val="000000"/>
                <w:sz w:val="16"/>
                <w:szCs w:val="16"/>
              </w:rPr>
              <w:t> </w:t>
            </w:r>
          </w:p>
        </w:tc>
      </w:tr>
    </w:tbl>
    <w:p w:rsidR="00C404B9" w:rsidRPr="00477633" w:rsidRDefault="00C404B9" w:rsidP="00C404B9">
      <w:pPr>
        <w:pStyle w:val="Style2"/>
        <w:widowControl/>
        <w:tabs>
          <w:tab w:val="left" w:pos="567"/>
          <w:tab w:val="left" w:pos="709"/>
        </w:tabs>
        <w:spacing w:line="240" w:lineRule="auto"/>
        <w:rPr>
          <w:rFonts w:eastAsia="Calibri"/>
          <w:sz w:val="12"/>
          <w:szCs w:val="16"/>
          <w:lang w:eastAsia="en-US"/>
        </w:rPr>
      </w:pPr>
    </w:p>
    <w:p w:rsidR="00C404B9" w:rsidRPr="000F4C00" w:rsidRDefault="00C404B9" w:rsidP="00C404B9">
      <w:pPr>
        <w:pStyle w:val="Style2"/>
        <w:widowControl/>
        <w:tabs>
          <w:tab w:val="left" w:pos="567"/>
          <w:tab w:val="left" w:pos="709"/>
        </w:tabs>
        <w:spacing w:line="240" w:lineRule="auto"/>
        <w:rPr>
          <w:rFonts w:eastAsia="Calibri"/>
          <w:sz w:val="16"/>
          <w:szCs w:val="16"/>
          <w:lang w:eastAsia="en-US"/>
        </w:rPr>
      </w:pPr>
      <w:r w:rsidRPr="000F4C00">
        <w:rPr>
          <w:rFonts w:eastAsia="Calibri"/>
          <w:sz w:val="16"/>
          <w:szCs w:val="16"/>
          <w:lang w:eastAsia="en-US"/>
        </w:rPr>
        <w:t xml:space="preserve">* - с учетом доли </w:t>
      </w:r>
      <w:proofErr w:type="spellStart"/>
      <w:r w:rsidRPr="000F4C00">
        <w:rPr>
          <w:rFonts w:eastAsia="Calibri"/>
          <w:sz w:val="16"/>
          <w:szCs w:val="16"/>
          <w:lang w:eastAsia="en-US"/>
        </w:rPr>
        <w:t>софинансирования</w:t>
      </w:r>
      <w:proofErr w:type="spellEnd"/>
      <w:r w:rsidRPr="000F4C00">
        <w:rPr>
          <w:rFonts w:eastAsia="Calibri"/>
          <w:sz w:val="16"/>
          <w:szCs w:val="16"/>
          <w:lang w:eastAsia="en-US"/>
        </w:rPr>
        <w:t xml:space="preserve"> за счет средств местных бюджетов</w:t>
      </w:r>
    </w:p>
    <w:p w:rsidR="00C404B9" w:rsidRPr="000F4C00" w:rsidRDefault="00C404B9" w:rsidP="00C404B9">
      <w:pPr>
        <w:pStyle w:val="Style2"/>
        <w:widowControl/>
        <w:tabs>
          <w:tab w:val="left" w:pos="567"/>
          <w:tab w:val="left" w:pos="709"/>
        </w:tabs>
        <w:spacing w:line="240" w:lineRule="auto"/>
        <w:ind w:firstLine="708"/>
        <w:rPr>
          <w:rFonts w:eastAsia="Calibri"/>
          <w:sz w:val="16"/>
          <w:szCs w:val="16"/>
          <w:lang w:eastAsia="en-US"/>
        </w:rPr>
      </w:pPr>
    </w:p>
    <w:p w:rsidR="00C404B9" w:rsidRDefault="00C404B9" w:rsidP="00C404B9">
      <w:pPr>
        <w:pBdr>
          <w:top w:val="none" w:sz="4" w:space="0" w:color="000000"/>
          <w:left w:val="none" w:sz="4" w:space="0" w:color="000000"/>
          <w:bottom w:val="none" w:sz="4" w:space="0" w:color="000000"/>
          <w:right w:val="none" w:sz="4" w:space="0" w:color="000000"/>
        </w:pBdr>
        <w:ind w:firstLine="720"/>
        <w:jc w:val="both"/>
        <w:rPr>
          <w:sz w:val="28"/>
          <w:szCs w:val="28"/>
        </w:rPr>
      </w:pPr>
      <w:r w:rsidRPr="00A971A9">
        <w:rPr>
          <w:sz w:val="28"/>
          <w:szCs w:val="28"/>
        </w:rPr>
        <w:t>В ходе проверки установлено</w:t>
      </w:r>
      <w:r>
        <w:rPr>
          <w:sz w:val="28"/>
          <w:szCs w:val="28"/>
        </w:rPr>
        <w:t>:</w:t>
      </w:r>
    </w:p>
    <w:p w:rsidR="00C404B9" w:rsidRPr="005F546E" w:rsidRDefault="00C404B9" w:rsidP="00C404B9">
      <w:pPr>
        <w:pBdr>
          <w:top w:val="none" w:sz="4" w:space="0" w:color="000000"/>
          <w:left w:val="none" w:sz="4" w:space="0" w:color="000000"/>
          <w:bottom w:val="none" w:sz="4" w:space="0" w:color="000000"/>
          <w:right w:val="none" w:sz="4" w:space="0" w:color="000000"/>
        </w:pBdr>
        <w:ind w:firstLine="720"/>
        <w:jc w:val="both"/>
        <w:rPr>
          <w:rFonts w:eastAsia="Calibri"/>
          <w:sz w:val="28"/>
          <w:szCs w:val="28"/>
        </w:rPr>
      </w:pPr>
      <w:r>
        <w:rPr>
          <w:sz w:val="28"/>
          <w:szCs w:val="28"/>
        </w:rPr>
        <w:lastRenderedPageBreak/>
        <w:t xml:space="preserve">- </w:t>
      </w:r>
      <w:r w:rsidRPr="00A971A9">
        <w:rPr>
          <w:sz w:val="28"/>
          <w:szCs w:val="28"/>
        </w:rPr>
        <w:t>в</w:t>
      </w:r>
      <w:r w:rsidRPr="00A971A9">
        <w:rPr>
          <w:sz w:val="28"/>
        </w:rPr>
        <w:t xml:space="preserve"> нарушение подпункта 2 пункта 1 статьи 162 и пункта 3 статьи 219 Бюджетного кодекса</w:t>
      </w:r>
      <w:r>
        <w:rPr>
          <w:sz w:val="28"/>
        </w:rPr>
        <w:t xml:space="preserve"> Российской Федерации</w:t>
      </w:r>
      <w:r w:rsidRPr="00A971A9">
        <w:rPr>
          <w:rStyle w:val="ab"/>
          <w:sz w:val="28"/>
        </w:rPr>
        <w:footnoteReference w:id="185"/>
      </w:r>
      <w:r w:rsidRPr="00A971A9">
        <w:rPr>
          <w:sz w:val="28"/>
        </w:rPr>
        <w:t>, Администрацией</w:t>
      </w:r>
      <w:r w:rsidRPr="00A971A9">
        <w:rPr>
          <w:rStyle w:val="afff0"/>
          <w:sz w:val="28"/>
        </w:rPr>
        <w:t xml:space="preserve"> </w:t>
      </w:r>
      <w:r w:rsidRPr="00A971A9">
        <w:rPr>
          <w:sz w:val="28"/>
        </w:rPr>
        <w:t xml:space="preserve">сельского поселения Уэлен </w:t>
      </w:r>
      <w:r w:rsidRPr="00A971A9">
        <w:rPr>
          <w:rStyle w:val="afff0"/>
          <w:sz w:val="28"/>
          <w:szCs w:val="28"/>
        </w:rPr>
        <w:t>приняты бюджетные обязательства</w:t>
      </w:r>
      <w:r>
        <w:rPr>
          <w:sz w:val="28"/>
          <w:szCs w:val="28"/>
        </w:rPr>
        <w:t xml:space="preserve"> </w:t>
      </w:r>
      <w:r w:rsidRPr="00A971A9">
        <w:rPr>
          <w:sz w:val="28"/>
        </w:rPr>
        <w:t>на</w:t>
      </w:r>
      <w:r>
        <w:rPr>
          <w:sz w:val="28"/>
        </w:rPr>
        <w:t xml:space="preserve"> сумму</w:t>
      </w:r>
      <w:r w:rsidRPr="00A971A9">
        <w:rPr>
          <w:sz w:val="28"/>
        </w:rPr>
        <w:t xml:space="preserve"> 104 669,5 тыс. рублей</w:t>
      </w:r>
      <w:r>
        <w:rPr>
          <w:rStyle w:val="afff0"/>
          <w:sz w:val="28"/>
          <w:szCs w:val="28"/>
        </w:rPr>
        <w:t xml:space="preserve"> в</w:t>
      </w:r>
      <w:r>
        <w:rPr>
          <w:sz w:val="28"/>
          <w:szCs w:val="28"/>
        </w:rPr>
        <w:t xml:space="preserve"> отсутствие</w:t>
      </w:r>
      <w:r w:rsidRPr="00A971A9">
        <w:rPr>
          <w:rStyle w:val="afff0"/>
          <w:sz w:val="28"/>
          <w:szCs w:val="28"/>
        </w:rPr>
        <w:t xml:space="preserve"> утвержденны</w:t>
      </w:r>
      <w:r>
        <w:rPr>
          <w:sz w:val="28"/>
          <w:szCs w:val="28"/>
        </w:rPr>
        <w:t>х</w:t>
      </w:r>
      <w:r w:rsidRPr="00A971A9">
        <w:rPr>
          <w:rStyle w:val="afff0"/>
          <w:sz w:val="28"/>
          <w:szCs w:val="28"/>
        </w:rPr>
        <w:t xml:space="preserve"> </w:t>
      </w:r>
      <w:r w:rsidRPr="00A971A9">
        <w:rPr>
          <w:sz w:val="28"/>
        </w:rPr>
        <w:t xml:space="preserve">на 2023 год </w:t>
      </w:r>
      <w:r w:rsidRPr="00A971A9">
        <w:rPr>
          <w:rStyle w:val="afff0"/>
          <w:sz w:val="28"/>
          <w:szCs w:val="28"/>
        </w:rPr>
        <w:t>бюджетны</w:t>
      </w:r>
      <w:r>
        <w:rPr>
          <w:rStyle w:val="afff0"/>
          <w:sz w:val="28"/>
          <w:szCs w:val="28"/>
        </w:rPr>
        <w:t>х</w:t>
      </w:r>
      <w:r w:rsidRPr="00A971A9">
        <w:rPr>
          <w:rStyle w:val="afff0"/>
          <w:sz w:val="28"/>
          <w:szCs w:val="28"/>
        </w:rPr>
        <w:t xml:space="preserve"> ассигновани</w:t>
      </w:r>
      <w:r>
        <w:rPr>
          <w:sz w:val="28"/>
          <w:szCs w:val="28"/>
        </w:rPr>
        <w:t>й и доведенных лимитов бюджетных обязательств</w:t>
      </w:r>
      <w:r w:rsidRPr="00A971A9">
        <w:rPr>
          <w:sz w:val="28"/>
          <w:szCs w:val="28"/>
        </w:rPr>
        <w:t>,</w:t>
      </w:r>
      <w:r w:rsidRPr="00A971A9">
        <w:rPr>
          <w:rStyle w:val="afff0"/>
          <w:sz w:val="28"/>
        </w:rPr>
        <w:t xml:space="preserve"> </w:t>
      </w:r>
      <w:r w:rsidRPr="00A971A9">
        <w:rPr>
          <w:sz w:val="28"/>
        </w:rPr>
        <w:t xml:space="preserve">путем заключения Муниципального контракта </w:t>
      </w:r>
      <w:r w:rsidRPr="00A971A9">
        <w:rPr>
          <w:sz w:val="28"/>
          <w:szCs w:val="28"/>
        </w:rPr>
        <w:t>с</w:t>
      </w:r>
      <w:r w:rsidRPr="00A971A9">
        <w:rPr>
          <w:color w:val="000000"/>
          <w:sz w:val="28"/>
          <w:szCs w:val="28"/>
        </w:rPr>
        <w:t xml:space="preserve"> Обществом с ограниченной ответственностью «</w:t>
      </w:r>
      <w:r w:rsidRPr="00A971A9">
        <w:rPr>
          <w:sz w:val="28"/>
          <w:szCs w:val="28"/>
        </w:rPr>
        <w:t>Строй Сервис»</w:t>
      </w:r>
      <w:r w:rsidRPr="000011E3">
        <w:rPr>
          <w:sz w:val="28"/>
          <w:szCs w:val="28"/>
        </w:rPr>
        <w:t xml:space="preserve"> </w:t>
      </w:r>
      <w:r w:rsidRPr="00A971A9">
        <w:rPr>
          <w:sz w:val="28"/>
          <w:szCs w:val="28"/>
        </w:rPr>
        <w:t xml:space="preserve">на приобретение (выкуп) </w:t>
      </w:r>
      <w:r w:rsidRPr="00A971A9">
        <w:rPr>
          <w:color w:val="000000"/>
          <w:sz w:val="28"/>
          <w:szCs w:val="28"/>
        </w:rPr>
        <w:t xml:space="preserve">16 жилых </w:t>
      </w:r>
      <w:r w:rsidRPr="00A971A9">
        <w:rPr>
          <w:sz w:val="28"/>
          <w:szCs w:val="28"/>
        </w:rPr>
        <w:t>помещений в жилых домах у застройщика на территории сельского поселения</w:t>
      </w:r>
      <w:r w:rsidRPr="00A971A9">
        <w:t xml:space="preserve"> </w:t>
      </w:r>
      <w:r w:rsidRPr="000011E3">
        <w:rPr>
          <w:sz w:val="28"/>
          <w:szCs w:val="28"/>
        </w:rPr>
        <w:t>Уэлен</w:t>
      </w:r>
      <w:r w:rsidRPr="00A971A9">
        <w:rPr>
          <w:color w:val="000000"/>
          <w:sz w:val="28"/>
          <w:szCs w:val="28"/>
        </w:rPr>
        <w:t xml:space="preserve">, для переселения граждан из аварийного жилищного фонда на </w:t>
      </w:r>
      <w:r>
        <w:rPr>
          <w:color w:val="000000"/>
          <w:sz w:val="28"/>
          <w:szCs w:val="28"/>
        </w:rPr>
        <w:t xml:space="preserve">общую </w:t>
      </w:r>
      <w:r w:rsidRPr="00A971A9">
        <w:rPr>
          <w:color w:val="000000"/>
          <w:sz w:val="28"/>
          <w:szCs w:val="28"/>
        </w:rPr>
        <w:t xml:space="preserve">сумму </w:t>
      </w:r>
      <w:r w:rsidRPr="00A971A9">
        <w:rPr>
          <w:sz w:val="28"/>
          <w:szCs w:val="28"/>
        </w:rPr>
        <w:t>141 695,5 тыс. рублей</w:t>
      </w:r>
      <w:r w:rsidRPr="00A971A9">
        <w:rPr>
          <w:color w:val="000000"/>
          <w:sz w:val="28"/>
          <w:szCs w:val="28"/>
        </w:rPr>
        <w:t>. Срок действия Муниципального контракта до 15 ноября 2023 года,</w:t>
      </w:r>
      <w:r w:rsidRPr="00A971A9">
        <w:rPr>
          <w:sz w:val="28"/>
          <w:szCs w:val="28"/>
        </w:rPr>
        <w:t xml:space="preserve"> приобретаемая площадь жилых помещений </w:t>
      </w:r>
      <w:r>
        <w:rPr>
          <w:sz w:val="28"/>
          <w:szCs w:val="28"/>
        </w:rPr>
        <w:t>–</w:t>
      </w:r>
      <w:r w:rsidRPr="00A971A9">
        <w:rPr>
          <w:sz w:val="28"/>
          <w:szCs w:val="28"/>
        </w:rPr>
        <w:t xml:space="preserve"> 752,0 кв. м</w:t>
      </w:r>
      <w:r>
        <w:rPr>
          <w:rStyle w:val="ab"/>
          <w:sz w:val="28"/>
          <w:szCs w:val="28"/>
        </w:rPr>
        <w:footnoteReference w:id="186"/>
      </w:r>
      <w:r>
        <w:rPr>
          <w:sz w:val="28"/>
          <w:szCs w:val="28"/>
        </w:rPr>
        <w:t xml:space="preserve">;  </w:t>
      </w:r>
      <w:r w:rsidRPr="000011E3">
        <w:rPr>
          <w:rFonts w:eastAsia="Calibri"/>
          <w:sz w:val="28"/>
          <w:szCs w:val="28"/>
          <w:highlight w:val="yellow"/>
        </w:rPr>
        <w:t xml:space="preserve"> </w:t>
      </w:r>
    </w:p>
    <w:p w:rsidR="00C404B9" w:rsidRDefault="00C404B9" w:rsidP="00C404B9">
      <w:pPr>
        <w:ind w:firstLine="709"/>
        <w:jc w:val="both"/>
        <w:rPr>
          <w:sz w:val="28"/>
          <w:szCs w:val="28"/>
        </w:rPr>
      </w:pPr>
      <w:r>
        <w:rPr>
          <w:sz w:val="28"/>
          <w:szCs w:val="28"/>
        </w:rPr>
        <w:t>- </w:t>
      </w:r>
      <w:r w:rsidRPr="004D3604">
        <w:rPr>
          <w:sz w:val="28"/>
          <w:szCs w:val="28"/>
        </w:rPr>
        <w:t xml:space="preserve">площадь жилых помещений, приобретаемых </w:t>
      </w:r>
      <w:r>
        <w:rPr>
          <w:sz w:val="28"/>
          <w:szCs w:val="28"/>
        </w:rPr>
        <w:t xml:space="preserve">Администрацией </w:t>
      </w:r>
      <w:proofErr w:type="spellStart"/>
      <w:r>
        <w:rPr>
          <w:sz w:val="28"/>
          <w:szCs w:val="28"/>
        </w:rPr>
        <w:t>Провиденского</w:t>
      </w:r>
      <w:proofErr w:type="spellEnd"/>
      <w:r>
        <w:rPr>
          <w:sz w:val="28"/>
          <w:szCs w:val="28"/>
        </w:rPr>
        <w:t xml:space="preserve"> городского округа </w:t>
      </w:r>
      <w:r w:rsidRPr="004D3604">
        <w:rPr>
          <w:sz w:val="28"/>
          <w:szCs w:val="28"/>
        </w:rPr>
        <w:t xml:space="preserve">в рамках </w:t>
      </w:r>
      <w:r>
        <w:rPr>
          <w:sz w:val="28"/>
          <w:szCs w:val="28"/>
        </w:rPr>
        <w:t>трех м</w:t>
      </w:r>
      <w:r w:rsidRPr="004D3604">
        <w:rPr>
          <w:sz w:val="28"/>
          <w:szCs w:val="28"/>
        </w:rPr>
        <w:t>униципальн</w:t>
      </w:r>
      <w:r>
        <w:rPr>
          <w:sz w:val="28"/>
          <w:szCs w:val="28"/>
        </w:rPr>
        <w:t>ых</w:t>
      </w:r>
      <w:r w:rsidRPr="004D3604">
        <w:rPr>
          <w:sz w:val="28"/>
          <w:szCs w:val="28"/>
        </w:rPr>
        <w:t xml:space="preserve"> контракт</w:t>
      </w:r>
      <w:r>
        <w:rPr>
          <w:sz w:val="28"/>
          <w:szCs w:val="28"/>
        </w:rPr>
        <w:t>ов:</w:t>
      </w:r>
      <w:r w:rsidRPr="004D3604">
        <w:rPr>
          <w:sz w:val="28"/>
          <w:szCs w:val="28"/>
        </w:rPr>
        <w:t xml:space="preserve"> от 21.12.2020</w:t>
      </w:r>
      <w:r>
        <w:rPr>
          <w:rStyle w:val="ab"/>
          <w:sz w:val="28"/>
          <w:szCs w:val="28"/>
        </w:rPr>
        <w:footnoteReference w:id="187"/>
      </w:r>
      <w:r w:rsidRPr="004D3604">
        <w:rPr>
          <w:sz w:val="28"/>
          <w:szCs w:val="28"/>
        </w:rPr>
        <w:t>, от 19.02.2021</w:t>
      </w:r>
      <w:r>
        <w:rPr>
          <w:rStyle w:val="ab"/>
          <w:sz w:val="28"/>
          <w:szCs w:val="28"/>
        </w:rPr>
        <w:footnoteReference w:id="188"/>
      </w:r>
      <w:r>
        <w:rPr>
          <w:sz w:val="28"/>
          <w:szCs w:val="28"/>
        </w:rPr>
        <w:t xml:space="preserve"> и 24.03.2021 меньше </w:t>
      </w:r>
      <w:r w:rsidRPr="004D3604">
        <w:rPr>
          <w:sz w:val="28"/>
          <w:szCs w:val="28"/>
        </w:rPr>
        <w:t>площади расселяемых жилых помещений, признанных непригодными для проживания, на 122,6 кв. м,</w:t>
      </w:r>
      <w:r>
        <w:rPr>
          <w:sz w:val="28"/>
          <w:szCs w:val="28"/>
        </w:rPr>
        <w:t xml:space="preserve"> </w:t>
      </w:r>
      <w:r w:rsidRPr="00BC6A71">
        <w:rPr>
          <w:sz w:val="28"/>
          <w:szCs w:val="28"/>
        </w:rPr>
        <w:t>на 200,8 кв. м и на 155,0 кв. м соответственно,</w:t>
      </w:r>
      <w:r w:rsidRPr="004D3604">
        <w:rPr>
          <w:sz w:val="28"/>
          <w:szCs w:val="28"/>
        </w:rPr>
        <w:t xml:space="preserve"> что является нарушением требований, установленных статьей 89 Жилищного кодекса Р</w:t>
      </w:r>
      <w:r>
        <w:rPr>
          <w:sz w:val="28"/>
          <w:szCs w:val="28"/>
        </w:rPr>
        <w:t xml:space="preserve">оссийской </w:t>
      </w:r>
      <w:r w:rsidRPr="004D3604">
        <w:rPr>
          <w:sz w:val="28"/>
          <w:szCs w:val="28"/>
        </w:rPr>
        <w:t>Ф</w:t>
      </w:r>
      <w:r>
        <w:rPr>
          <w:sz w:val="28"/>
          <w:szCs w:val="28"/>
        </w:rPr>
        <w:t>едерации</w:t>
      </w:r>
      <w:r w:rsidRPr="004D3604">
        <w:rPr>
          <w:sz w:val="28"/>
          <w:szCs w:val="28"/>
        </w:rPr>
        <w:t>.</w:t>
      </w:r>
    </w:p>
    <w:p w:rsidR="00C404B9" w:rsidRPr="006F3FE2" w:rsidRDefault="00C404B9" w:rsidP="00C404B9">
      <w:pPr>
        <w:pStyle w:val="Style2"/>
        <w:widowControl/>
        <w:tabs>
          <w:tab w:val="left" w:pos="567"/>
          <w:tab w:val="left" w:pos="709"/>
        </w:tabs>
        <w:spacing w:line="240" w:lineRule="auto"/>
        <w:ind w:firstLine="708"/>
        <w:rPr>
          <w:rFonts w:eastAsia="Calibri"/>
          <w:sz w:val="28"/>
          <w:szCs w:val="28"/>
          <w:lang w:eastAsia="en-US"/>
        </w:rPr>
      </w:pPr>
      <w:r>
        <w:rPr>
          <w:rFonts w:eastAsia="Calibri"/>
          <w:sz w:val="28"/>
          <w:szCs w:val="28"/>
          <w:lang w:eastAsia="en-US"/>
        </w:rPr>
        <w:t>П</w:t>
      </w:r>
      <w:r w:rsidRPr="00F14D5F">
        <w:rPr>
          <w:rFonts w:eastAsia="Calibri"/>
          <w:sz w:val="28"/>
          <w:szCs w:val="28"/>
          <w:lang w:eastAsia="en-US"/>
        </w:rPr>
        <w:t>о условиям заключенных муниципальных контрактов, получателями субсидий перечислены</w:t>
      </w:r>
      <w:r>
        <w:rPr>
          <w:rFonts w:eastAsia="Calibri"/>
          <w:sz w:val="28"/>
          <w:szCs w:val="28"/>
          <w:lang w:eastAsia="en-US"/>
        </w:rPr>
        <w:t xml:space="preserve"> застройщикам</w:t>
      </w:r>
      <w:r w:rsidRPr="00F14D5F">
        <w:rPr>
          <w:rFonts w:eastAsia="Calibri"/>
          <w:sz w:val="28"/>
          <w:szCs w:val="28"/>
          <w:lang w:eastAsia="en-US"/>
        </w:rPr>
        <w:t xml:space="preserve"> средства для авансирования </w:t>
      </w:r>
      <w:r>
        <w:rPr>
          <w:rFonts w:eastAsia="Calibri"/>
          <w:sz w:val="28"/>
          <w:szCs w:val="28"/>
          <w:lang w:eastAsia="en-US"/>
        </w:rPr>
        <w:t xml:space="preserve">исполнения </w:t>
      </w:r>
      <w:r w:rsidRPr="00F14D5F">
        <w:rPr>
          <w:rFonts w:eastAsia="Calibri"/>
          <w:sz w:val="28"/>
          <w:szCs w:val="28"/>
          <w:lang w:eastAsia="en-US"/>
        </w:rPr>
        <w:t xml:space="preserve">муниципальных контрактов (30% от цены контрактов) на общую сумму </w:t>
      </w:r>
      <w:r>
        <w:rPr>
          <w:rFonts w:eastAsia="Calibri"/>
          <w:sz w:val="28"/>
          <w:szCs w:val="28"/>
          <w:lang w:eastAsia="en-US"/>
        </w:rPr>
        <w:t>154 567,0</w:t>
      </w:r>
      <w:r w:rsidRPr="00F14D5F">
        <w:rPr>
          <w:rFonts w:eastAsia="Calibri"/>
          <w:sz w:val="28"/>
          <w:szCs w:val="28"/>
          <w:lang w:eastAsia="en-US"/>
        </w:rPr>
        <w:t xml:space="preserve"> тыс. рублей</w:t>
      </w:r>
      <w:r>
        <w:rPr>
          <w:rFonts w:eastAsia="Calibri"/>
          <w:sz w:val="28"/>
          <w:szCs w:val="28"/>
          <w:lang w:eastAsia="en-US"/>
        </w:rPr>
        <w:t xml:space="preserve">, </w:t>
      </w:r>
      <w:r w:rsidRPr="00F14D5F">
        <w:rPr>
          <w:rFonts w:eastAsia="Calibri"/>
          <w:sz w:val="28"/>
          <w:szCs w:val="28"/>
          <w:lang w:eastAsia="en-US"/>
        </w:rPr>
        <w:t>из них</w:t>
      </w:r>
      <w:r>
        <w:rPr>
          <w:rFonts w:eastAsia="Calibri"/>
          <w:sz w:val="28"/>
          <w:szCs w:val="28"/>
          <w:lang w:eastAsia="en-US"/>
        </w:rPr>
        <w:t xml:space="preserve"> 163,2</w:t>
      </w:r>
      <w:r w:rsidRPr="00F14D5F">
        <w:rPr>
          <w:rFonts w:eastAsia="Calibri"/>
          <w:sz w:val="28"/>
          <w:szCs w:val="28"/>
          <w:lang w:eastAsia="en-US"/>
        </w:rPr>
        <w:t xml:space="preserve"> тыс. рублей – за счет средств местного бюджета.</w:t>
      </w:r>
      <w:r>
        <w:rPr>
          <w:rFonts w:eastAsia="Calibri"/>
          <w:sz w:val="28"/>
          <w:szCs w:val="28"/>
          <w:lang w:eastAsia="en-US"/>
        </w:rPr>
        <w:t xml:space="preserve"> За счет средств окружного бюджета </w:t>
      </w:r>
      <w:r>
        <w:rPr>
          <w:sz w:val="28"/>
          <w:szCs w:val="28"/>
        </w:rPr>
        <w:t>получателями субсидии п</w:t>
      </w:r>
      <w:r w:rsidRPr="00F00126">
        <w:rPr>
          <w:sz w:val="28"/>
          <w:szCs w:val="28"/>
        </w:rPr>
        <w:t>еречислены авансовые платежи по муниципальным контрактам на выкуп жилых помещений у застройщика</w:t>
      </w:r>
      <w:r>
        <w:rPr>
          <w:sz w:val="28"/>
          <w:szCs w:val="28"/>
        </w:rPr>
        <w:t xml:space="preserve"> на общую сумму 154 403,8 тыс. рублей, в том числе: </w:t>
      </w:r>
    </w:p>
    <w:p w:rsidR="00C404B9" w:rsidRDefault="00C404B9" w:rsidP="00C404B9">
      <w:pPr>
        <w:ind w:left="57" w:right="57" w:firstLine="651"/>
        <w:jc w:val="both"/>
        <w:rPr>
          <w:sz w:val="28"/>
          <w:szCs w:val="28"/>
        </w:rPr>
      </w:pPr>
      <w:r>
        <w:rPr>
          <w:sz w:val="28"/>
          <w:szCs w:val="28"/>
        </w:rPr>
        <w:t xml:space="preserve">- 31 981,9 тыс. рублей – в 2020 году на приобретение </w:t>
      </w:r>
      <w:r w:rsidRPr="0077170F">
        <w:rPr>
          <w:sz w:val="28"/>
          <w:szCs w:val="28"/>
        </w:rPr>
        <w:t>14</w:t>
      </w:r>
      <w:r>
        <w:rPr>
          <w:sz w:val="28"/>
          <w:szCs w:val="28"/>
        </w:rPr>
        <w:t xml:space="preserve"> </w:t>
      </w:r>
      <w:r w:rsidRPr="00F00126">
        <w:rPr>
          <w:sz w:val="28"/>
          <w:szCs w:val="28"/>
        </w:rPr>
        <w:t xml:space="preserve">жилых помещений </w:t>
      </w:r>
      <w:r>
        <w:rPr>
          <w:sz w:val="28"/>
          <w:szCs w:val="28"/>
        </w:rPr>
        <w:t>в с. </w:t>
      </w:r>
      <w:proofErr w:type="spellStart"/>
      <w:r>
        <w:rPr>
          <w:sz w:val="28"/>
          <w:szCs w:val="28"/>
        </w:rPr>
        <w:t>Сиреники</w:t>
      </w:r>
      <w:proofErr w:type="spellEnd"/>
      <w:r>
        <w:rPr>
          <w:sz w:val="28"/>
          <w:szCs w:val="28"/>
        </w:rPr>
        <w:t xml:space="preserve"> </w:t>
      </w:r>
      <w:r w:rsidRPr="00F00126">
        <w:rPr>
          <w:sz w:val="28"/>
          <w:szCs w:val="28"/>
        </w:rPr>
        <w:t>со сроком исполнения – 01.12.202</w:t>
      </w:r>
      <w:r>
        <w:rPr>
          <w:sz w:val="28"/>
          <w:szCs w:val="28"/>
        </w:rPr>
        <w:t>1</w:t>
      </w:r>
      <w:r w:rsidRPr="00F00126">
        <w:rPr>
          <w:sz w:val="28"/>
          <w:szCs w:val="28"/>
        </w:rPr>
        <w:t xml:space="preserve"> года</w:t>
      </w:r>
      <w:r>
        <w:rPr>
          <w:sz w:val="28"/>
          <w:szCs w:val="28"/>
        </w:rPr>
        <w:t>;</w:t>
      </w:r>
    </w:p>
    <w:p w:rsidR="00C404B9" w:rsidRDefault="00C404B9" w:rsidP="00C404B9">
      <w:pPr>
        <w:ind w:left="57" w:right="57" w:firstLine="651"/>
        <w:jc w:val="both"/>
        <w:rPr>
          <w:sz w:val="28"/>
          <w:szCs w:val="28"/>
        </w:rPr>
      </w:pPr>
      <w:r>
        <w:rPr>
          <w:sz w:val="28"/>
          <w:szCs w:val="28"/>
        </w:rPr>
        <w:t>- 35 081,4 тыс. рублей – в 2021 году на приобретение 13 жилых помещений в с. </w:t>
      </w:r>
      <w:proofErr w:type="spellStart"/>
      <w:r>
        <w:rPr>
          <w:sz w:val="28"/>
          <w:szCs w:val="28"/>
        </w:rPr>
        <w:t>Сиреники</w:t>
      </w:r>
      <w:proofErr w:type="spellEnd"/>
      <w:r>
        <w:rPr>
          <w:sz w:val="28"/>
          <w:szCs w:val="28"/>
        </w:rPr>
        <w:t xml:space="preserve"> со сроком исполнения – 01.12.2021 года;</w:t>
      </w:r>
    </w:p>
    <w:p w:rsidR="00C404B9" w:rsidRDefault="00C404B9" w:rsidP="00C404B9">
      <w:pPr>
        <w:ind w:left="57" w:right="57" w:firstLine="651"/>
        <w:jc w:val="both"/>
        <w:rPr>
          <w:sz w:val="28"/>
          <w:szCs w:val="28"/>
        </w:rPr>
      </w:pPr>
      <w:r>
        <w:rPr>
          <w:sz w:val="28"/>
          <w:szCs w:val="28"/>
        </w:rPr>
        <w:t xml:space="preserve">- 68 794,9 тыс. рублей – в 2021 году на приобретение </w:t>
      </w:r>
      <w:r w:rsidRPr="00F00126">
        <w:rPr>
          <w:sz w:val="28"/>
          <w:szCs w:val="28"/>
        </w:rPr>
        <w:t xml:space="preserve">27 жилых помещений </w:t>
      </w:r>
      <w:r>
        <w:rPr>
          <w:sz w:val="28"/>
          <w:szCs w:val="28"/>
        </w:rPr>
        <w:t>в с. </w:t>
      </w:r>
      <w:proofErr w:type="spellStart"/>
      <w:r>
        <w:rPr>
          <w:sz w:val="28"/>
          <w:szCs w:val="28"/>
        </w:rPr>
        <w:t>Сиреники</w:t>
      </w:r>
      <w:proofErr w:type="spellEnd"/>
      <w:r>
        <w:rPr>
          <w:sz w:val="28"/>
          <w:szCs w:val="28"/>
        </w:rPr>
        <w:t xml:space="preserve"> </w:t>
      </w:r>
      <w:r w:rsidRPr="00F00126">
        <w:rPr>
          <w:sz w:val="28"/>
          <w:szCs w:val="28"/>
        </w:rPr>
        <w:t xml:space="preserve">со сроком исполнения – 01.12.2022 года; </w:t>
      </w:r>
    </w:p>
    <w:p w:rsidR="00C404B9" w:rsidRDefault="00C404B9" w:rsidP="00C404B9">
      <w:pPr>
        <w:ind w:left="57" w:right="57" w:firstLine="651"/>
        <w:jc w:val="both"/>
        <w:rPr>
          <w:sz w:val="28"/>
          <w:szCs w:val="28"/>
        </w:rPr>
      </w:pPr>
      <w:r>
        <w:rPr>
          <w:sz w:val="28"/>
          <w:szCs w:val="28"/>
        </w:rPr>
        <w:t xml:space="preserve">- 18 545,6 тыс. рублей – в 2021 году на приобретение </w:t>
      </w:r>
      <w:r w:rsidRPr="00F00126">
        <w:rPr>
          <w:sz w:val="28"/>
          <w:szCs w:val="28"/>
        </w:rPr>
        <w:t xml:space="preserve">8 жилых помещений </w:t>
      </w:r>
      <w:r>
        <w:rPr>
          <w:sz w:val="28"/>
          <w:szCs w:val="28"/>
        </w:rPr>
        <w:t>в с. </w:t>
      </w:r>
      <w:proofErr w:type="spellStart"/>
      <w:r>
        <w:rPr>
          <w:sz w:val="28"/>
          <w:szCs w:val="28"/>
        </w:rPr>
        <w:t>Конергино</w:t>
      </w:r>
      <w:proofErr w:type="spellEnd"/>
      <w:r>
        <w:rPr>
          <w:sz w:val="28"/>
          <w:szCs w:val="28"/>
        </w:rPr>
        <w:t xml:space="preserve"> со</w:t>
      </w:r>
      <w:r w:rsidRPr="00F00126">
        <w:rPr>
          <w:sz w:val="28"/>
          <w:szCs w:val="28"/>
        </w:rPr>
        <w:t xml:space="preserve"> сроком исполнения </w:t>
      </w:r>
      <w:r>
        <w:rPr>
          <w:sz w:val="28"/>
          <w:szCs w:val="28"/>
        </w:rPr>
        <w:t>–</w:t>
      </w:r>
      <w:r w:rsidRPr="00F00126">
        <w:rPr>
          <w:sz w:val="28"/>
          <w:szCs w:val="28"/>
        </w:rPr>
        <w:t xml:space="preserve"> 01.12.2022</w:t>
      </w:r>
      <w:r>
        <w:rPr>
          <w:sz w:val="28"/>
          <w:szCs w:val="28"/>
        </w:rPr>
        <w:t xml:space="preserve"> </w:t>
      </w:r>
      <w:r w:rsidRPr="00F00126">
        <w:rPr>
          <w:sz w:val="28"/>
          <w:szCs w:val="28"/>
        </w:rPr>
        <w:t>г</w:t>
      </w:r>
      <w:r>
        <w:rPr>
          <w:sz w:val="28"/>
          <w:szCs w:val="28"/>
        </w:rPr>
        <w:t xml:space="preserve">ода. </w:t>
      </w:r>
    </w:p>
    <w:p w:rsidR="00C404B9" w:rsidRDefault="00C404B9" w:rsidP="00C404B9">
      <w:pPr>
        <w:ind w:left="57" w:right="57" w:firstLine="651"/>
        <w:jc w:val="both"/>
        <w:rPr>
          <w:rFonts w:eastAsia="Calibri"/>
          <w:sz w:val="28"/>
          <w:szCs w:val="28"/>
          <w:lang w:eastAsia="en-US"/>
        </w:rPr>
      </w:pPr>
      <w:r w:rsidRPr="006F3FE2">
        <w:rPr>
          <w:rFonts w:eastAsia="Calibri"/>
          <w:sz w:val="28"/>
          <w:szCs w:val="28"/>
          <w:lang w:eastAsia="en-US"/>
        </w:rPr>
        <w:t xml:space="preserve">В 2021 году, в связи с невозможностью осуществления строительства </w:t>
      </w:r>
      <w:r>
        <w:rPr>
          <w:rFonts w:eastAsia="Calibri"/>
          <w:sz w:val="28"/>
          <w:szCs w:val="28"/>
          <w:lang w:eastAsia="en-US"/>
        </w:rPr>
        <w:t xml:space="preserve">двух </w:t>
      </w:r>
      <w:r w:rsidRPr="006F3FE2">
        <w:rPr>
          <w:rFonts w:eastAsia="Calibri"/>
          <w:sz w:val="28"/>
          <w:szCs w:val="28"/>
          <w:lang w:eastAsia="en-US"/>
        </w:rPr>
        <w:t>двухэтажн</w:t>
      </w:r>
      <w:r>
        <w:rPr>
          <w:rFonts w:eastAsia="Calibri"/>
          <w:sz w:val="28"/>
          <w:szCs w:val="28"/>
          <w:lang w:eastAsia="en-US"/>
        </w:rPr>
        <w:t>ых</w:t>
      </w:r>
      <w:r w:rsidRPr="006F3FE2">
        <w:rPr>
          <w:rFonts w:eastAsia="Calibri"/>
          <w:sz w:val="28"/>
          <w:szCs w:val="28"/>
          <w:lang w:eastAsia="en-US"/>
        </w:rPr>
        <w:t xml:space="preserve"> многоквартирн</w:t>
      </w:r>
      <w:r>
        <w:rPr>
          <w:rFonts w:eastAsia="Calibri"/>
          <w:sz w:val="28"/>
          <w:szCs w:val="28"/>
          <w:lang w:eastAsia="en-US"/>
        </w:rPr>
        <w:t>ых</w:t>
      </w:r>
      <w:r w:rsidRPr="006F3FE2">
        <w:rPr>
          <w:rFonts w:eastAsia="Calibri"/>
          <w:sz w:val="28"/>
          <w:szCs w:val="28"/>
          <w:lang w:eastAsia="en-US"/>
        </w:rPr>
        <w:t xml:space="preserve"> жил</w:t>
      </w:r>
      <w:r>
        <w:rPr>
          <w:rFonts w:eastAsia="Calibri"/>
          <w:sz w:val="28"/>
          <w:szCs w:val="28"/>
          <w:lang w:eastAsia="en-US"/>
        </w:rPr>
        <w:t>ых</w:t>
      </w:r>
      <w:r w:rsidRPr="006F3FE2">
        <w:rPr>
          <w:rFonts w:eastAsia="Calibri"/>
          <w:sz w:val="28"/>
          <w:szCs w:val="28"/>
          <w:lang w:eastAsia="en-US"/>
        </w:rPr>
        <w:t xml:space="preserve"> дом</w:t>
      </w:r>
      <w:r>
        <w:rPr>
          <w:rFonts w:eastAsia="Calibri"/>
          <w:sz w:val="28"/>
          <w:szCs w:val="28"/>
          <w:lang w:eastAsia="en-US"/>
        </w:rPr>
        <w:t>ов</w:t>
      </w:r>
      <w:r w:rsidRPr="006F3FE2">
        <w:rPr>
          <w:rFonts w:eastAsia="Calibri"/>
          <w:sz w:val="28"/>
          <w:szCs w:val="28"/>
          <w:lang w:eastAsia="en-US"/>
        </w:rPr>
        <w:t xml:space="preserve"> </w:t>
      </w:r>
      <w:r>
        <w:rPr>
          <w:rFonts w:eastAsia="Calibri"/>
          <w:sz w:val="28"/>
          <w:szCs w:val="28"/>
          <w:lang w:eastAsia="en-US"/>
        </w:rPr>
        <w:t xml:space="preserve">(с. </w:t>
      </w:r>
      <w:proofErr w:type="spellStart"/>
      <w:r>
        <w:rPr>
          <w:rFonts w:eastAsia="Calibri"/>
          <w:sz w:val="28"/>
          <w:szCs w:val="28"/>
          <w:lang w:eastAsia="en-US"/>
        </w:rPr>
        <w:t>Сиреники</w:t>
      </w:r>
      <w:proofErr w:type="spellEnd"/>
      <w:r>
        <w:rPr>
          <w:rFonts w:eastAsia="Calibri"/>
          <w:sz w:val="28"/>
          <w:szCs w:val="28"/>
          <w:lang w:eastAsia="en-US"/>
        </w:rPr>
        <w:t xml:space="preserve">) </w:t>
      </w:r>
      <w:r w:rsidRPr="006F3FE2">
        <w:rPr>
          <w:rFonts w:eastAsia="Calibri"/>
          <w:sz w:val="28"/>
          <w:szCs w:val="28"/>
          <w:lang w:eastAsia="en-US"/>
        </w:rPr>
        <w:t>на выделенн</w:t>
      </w:r>
      <w:r>
        <w:rPr>
          <w:rFonts w:eastAsia="Calibri"/>
          <w:sz w:val="28"/>
          <w:szCs w:val="28"/>
          <w:lang w:eastAsia="en-US"/>
        </w:rPr>
        <w:t>ых</w:t>
      </w:r>
      <w:r w:rsidRPr="006F3FE2">
        <w:rPr>
          <w:rFonts w:eastAsia="Calibri"/>
          <w:sz w:val="28"/>
          <w:szCs w:val="28"/>
          <w:lang w:eastAsia="en-US"/>
        </w:rPr>
        <w:t xml:space="preserve"> земельн</w:t>
      </w:r>
      <w:r>
        <w:rPr>
          <w:rFonts w:eastAsia="Calibri"/>
          <w:sz w:val="28"/>
          <w:szCs w:val="28"/>
          <w:lang w:eastAsia="en-US"/>
        </w:rPr>
        <w:t>ых</w:t>
      </w:r>
      <w:r w:rsidRPr="006F3FE2">
        <w:rPr>
          <w:rFonts w:eastAsia="Calibri"/>
          <w:sz w:val="28"/>
          <w:szCs w:val="28"/>
          <w:lang w:eastAsia="en-US"/>
        </w:rPr>
        <w:t xml:space="preserve"> участк</w:t>
      </w:r>
      <w:r>
        <w:rPr>
          <w:rFonts w:eastAsia="Calibri"/>
          <w:sz w:val="28"/>
          <w:szCs w:val="28"/>
          <w:lang w:eastAsia="en-US"/>
        </w:rPr>
        <w:t>ах</w:t>
      </w:r>
      <w:r w:rsidRPr="006F3FE2">
        <w:rPr>
          <w:rFonts w:eastAsia="Calibri"/>
          <w:sz w:val="28"/>
          <w:szCs w:val="28"/>
          <w:lang w:eastAsia="en-US"/>
        </w:rPr>
        <w:t xml:space="preserve"> по причине сложных геологических условий (невозможность восприятия грунтами расчетных проектных нагрузок)</w:t>
      </w:r>
      <w:r>
        <w:rPr>
          <w:rFonts w:eastAsia="Calibri"/>
          <w:sz w:val="28"/>
          <w:szCs w:val="28"/>
          <w:lang w:eastAsia="en-US"/>
        </w:rPr>
        <w:t>,</w:t>
      </w:r>
      <w:r w:rsidRPr="006F3FE2">
        <w:rPr>
          <w:rFonts w:eastAsia="Calibri"/>
          <w:sz w:val="28"/>
          <w:szCs w:val="28"/>
          <w:lang w:eastAsia="en-US"/>
        </w:rPr>
        <w:t xml:space="preserve"> </w:t>
      </w:r>
      <w:r>
        <w:rPr>
          <w:rFonts w:eastAsia="Calibri"/>
          <w:sz w:val="28"/>
          <w:szCs w:val="28"/>
          <w:lang w:eastAsia="en-US"/>
        </w:rPr>
        <w:t xml:space="preserve">два </w:t>
      </w:r>
      <w:r>
        <w:rPr>
          <w:rFonts w:eastAsia="Calibri"/>
          <w:sz w:val="28"/>
          <w:szCs w:val="28"/>
          <w:lang w:eastAsia="en-US"/>
        </w:rPr>
        <w:lastRenderedPageBreak/>
        <w:t>м</w:t>
      </w:r>
      <w:r w:rsidRPr="006F3FE2">
        <w:rPr>
          <w:rFonts w:eastAsia="Calibri"/>
          <w:sz w:val="28"/>
          <w:szCs w:val="28"/>
          <w:lang w:eastAsia="en-US"/>
        </w:rPr>
        <w:t>униципальны</w:t>
      </w:r>
      <w:r>
        <w:rPr>
          <w:rFonts w:eastAsia="Calibri"/>
          <w:sz w:val="28"/>
          <w:szCs w:val="28"/>
          <w:lang w:eastAsia="en-US"/>
        </w:rPr>
        <w:t>х</w:t>
      </w:r>
      <w:r w:rsidRPr="006F3FE2">
        <w:rPr>
          <w:rFonts w:eastAsia="Calibri"/>
          <w:sz w:val="28"/>
          <w:szCs w:val="28"/>
          <w:lang w:eastAsia="en-US"/>
        </w:rPr>
        <w:t xml:space="preserve"> контракт</w:t>
      </w:r>
      <w:r>
        <w:rPr>
          <w:rFonts w:eastAsia="Calibri"/>
          <w:sz w:val="28"/>
          <w:szCs w:val="28"/>
          <w:lang w:eastAsia="en-US"/>
        </w:rPr>
        <w:t>а</w:t>
      </w:r>
      <w:r w:rsidRPr="006F3FE2">
        <w:rPr>
          <w:rFonts w:eastAsia="Calibri"/>
          <w:sz w:val="28"/>
          <w:szCs w:val="28"/>
          <w:lang w:eastAsia="en-US"/>
        </w:rPr>
        <w:t xml:space="preserve"> </w:t>
      </w:r>
      <w:r>
        <w:rPr>
          <w:rFonts w:eastAsia="Calibri"/>
          <w:sz w:val="28"/>
          <w:szCs w:val="28"/>
          <w:lang w:eastAsia="en-US"/>
        </w:rPr>
        <w:t xml:space="preserve">от 21.12.2020 и 19.02.2021 </w:t>
      </w:r>
      <w:r w:rsidRPr="006F3FE2">
        <w:rPr>
          <w:rFonts w:eastAsia="Calibri"/>
          <w:sz w:val="28"/>
          <w:szCs w:val="28"/>
          <w:lang w:eastAsia="en-US"/>
        </w:rPr>
        <w:t>с</w:t>
      </w:r>
      <w:r>
        <w:rPr>
          <w:rFonts w:eastAsia="Calibri"/>
          <w:sz w:val="28"/>
          <w:szCs w:val="28"/>
          <w:lang w:eastAsia="en-US"/>
        </w:rPr>
        <w:t> застройщ</w:t>
      </w:r>
      <w:r w:rsidRPr="006F3FE2">
        <w:rPr>
          <w:rFonts w:eastAsia="Calibri"/>
          <w:sz w:val="28"/>
          <w:szCs w:val="28"/>
          <w:lang w:eastAsia="en-US"/>
        </w:rPr>
        <w:t xml:space="preserve">иком </w:t>
      </w:r>
      <w:r>
        <w:rPr>
          <w:rFonts w:eastAsia="Calibri"/>
          <w:sz w:val="28"/>
          <w:szCs w:val="28"/>
          <w:lang w:eastAsia="en-US"/>
        </w:rPr>
        <w:t xml:space="preserve">(НАО «ЧТК») </w:t>
      </w:r>
      <w:r w:rsidRPr="006F3FE2">
        <w:rPr>
          <w:rFonts w:eastAsia="Calibri"/>
          <w:sz w:val="28"/>
          <w:szCs w:val="28"/>
          <w:lang w:eastAsia="en-US"/>
        </w:rPr>
        <w:t>расторгнут</w:t>
      </w:r>
      <w:r>
        <w:rPr>
          <w:rFonts w:eastAsia="Calibri"/>
          <w:sz w:val="28"/>
          <w:szCs w:val="28"/>
          <w:lang w:eastAsia="en-US"/>
        </w:rPr>
        <w:t>ы</w:t>
      </w:r>
      <w:r w:rsidRPr="006F3FE2">
        <w:rPr>
          <w:rFonts w:eastAsia="Calibri"/>
          <w:sz w:val="28"/>
          <w:szCs w:val="28"/>
          <w:lang w:eastAsia="en-US"/>
        </w:rPr>
        <w:t xml:space="preserve"> 29 октября 2021 года</w:t>
      </w:r>
      <w:r>
        <w:rPr>
          <w:rFonts w:eastAsia="Calibri"/>
          <w:sz w:val="28"/>
          <w:szCs w:val="28"/>
          <w:lang w:eastAsia="en-US"/>
        </w:rPr>
        <w:t>.</w:t>
      </w:r>
      <w:r w:rsidRPr="006F3FE2">
        <w:rPr>
          <w:rFonts w:eastAsia="Calibri"/>
          <w:sz w:val="28"/>
          <w:szCs w:val="28"/>
          <w:lang w:eastAsia="en-US"/>
        </w:rPr>
        <w:t xml:space="preserve"> Администрацией </w:t>
      </w:r>
      <w:proofErr w:type="spellStart"/>
      <w:r w:rsidRPr="006F3FE2">
        <w:rPr>
          <w:rFonts w:eastAsia="Calibri"/>
          <w:sz w:val="28"/>
          <w:szCs w:val="28"/>
          <w:lang w:eastAsia="en-US"/>
        </w:rPr>
        <w:t>Провиденского</w:t>
      </w:r>
      <w:proofErr w:type="spellEnd"/>
      <w:r w:rsidRPr="006F3FE2">
        <w:rPr>
          <w:rFonts w:eastAsia="Calibri"/>
          <w:sz w:val="28"/>
          <w:szCs w:val="28"/>
          <w:lang w:eastAsia="en-US"/>
        </w:rPr>
        <w:t xml:space="preserve"> городского округа осуществлен возврат в окружной бюджет средств субсидии в сумме </w:t>
      </w:r>
      <w:r>
        <w:rPr>
          <w:rFonts w:eastAsia="Calibri"/>
          <w:sz w:val="28"/>
          <w:szCs w:val="28"/>
          <w:lang w:eastAsia="en-US"/>
        </w:rPr>
        <w:t>67 063,3 </w:t>
      </w:r>
      <w:r w:rsidRPr="006F3FE2">
        <w:rPr>
          <w:rFonts w:eastAsia="Calibri"/>
          <w:sz w:val="28"/>
          <w:szCs w:val="28"/>
          <w:lang w:eastAsia="en-US"/>
        </w:rPr>
        <w:t>тыс. рублей. Соглашени</w:t>
      </w:r>
      <w:r>
        <w:rPr>
          <w:rFonts w:eastAsia="Calibri"/>
          <w:sz w:val="28"/>
          <w:szCs w:val="28"/>
          <w:lang w:eastAsia="en-US"/>
        </w:rPr>
        <w:t>я</w:t>
      </w:r>
      <w:r w:rsidRPr="006F3FE2">
        <w:rPr>
          <w:rFonts w:eastAsia="Calibri"/>
          <w:sz w:val="28"/>
          <w:szCs w:val="28"/>
          <w:lang w:eastAsia="en-US"/>
        </w:rPr>
        <w:t xml:space="preserve"> </w:t>
      </w:r>
      <w:r>
        <w:rPr>
          <w:rFonts w:eastAsia="Calibri"/>
          <w:sz w:val="28"/>
          <w:szCs w:val="28"/>
          <w:lang w:eastAsia="en-US"/>
        </w:rPr>
        <w:t xml:space="preserve">от 21.12.2020г. </w:t>
      </w:r>
      <w:r w:rsidRPr="006F3FE2">
        <w:rPr>
          <w:rFonts w:eastAsia="Calibri"/>
          <w:sz w:val="28"/>
          <w:szCs w:val="28"/>
          <w:lang w:eastAsia="en-US"/>
        </w:rPr>
        <w:t>№</w:t>
      </w:r>
      <w:r>
        <w:rPr>
          <w:rFonts w:eastAsia="Calibri"/>
          <w:sz w:val="28"/>
          <w:szCs w:val="28"/>
          <w:lang w:eastAsia="en-US"/>
        </w:rPr>
        <w:t>69</w:t>
      </w:r>
      <w:r w:rsidRPr="006F3FE2">
        <w:rPr>
          <w:rFonts w:eastAsia="Calibri"/>
          <w:sz w:val="28"/>
          <w:szCs w:val="28"/>
          <w:lang w:eastAsia="en-US"/>
        </w:rPr>
        <w:t xml:space="preserve"> </w:t>
      </w:r>
      <w:r>
        <w:rPr>
          <w:rFonts w:eastAsia="Calibri"/>
          <w:sz w:val="28"/>
          <w:szCs w:val="28"/>
          <w:lang w:eastAsia="en-US"/>
        </w:rPr>
        <w:t xml:space="preserve">и от 12.02.2021г. №13 </w:t>
      </w:r>
      <w:r w:rsidRPr="006F3FE2">
        <w:rPr>
          <w:rFonts w:eastAsia="Calibri"/>
          <w:sz w:val="28"/>
          <w:szCs w:val="28"/>
          <w:lang w:eastAsia="en-US"/>
        </w:rPr>
        <w:t xml:space="preserve">между Департаментом промышленности и Администрацией </w:t>
      </w:r>
      <w:proofErr w:type="spellStart"/>
      <w:r w:rsidRPr="006F3FE2">
        <w:rPr>
          <w:rFonts w:eastAsia="Calibri"/>
          <w:sz w:val="28"/>
          <w:szCs w:val="28"/>
          <w:lang w:eastAsia="en-US"/>
        </w:rPr>
        <w:t>Провиденского</w:t>
      </w:r>
      <w:proofErr w:type="spellEnd"/>
      <w:r w:rsidRPr="006F3FE2">
        <w:rPr>
          <w:rFonts w:eastAsia="Calibri"/>
          <w:sz w:val="28"/>
          <w:szCs w:val="28"/>
          <w:lang w:eastAsia="en-US"/>
        </w:rPr>
        <w:t xml:space="preserve"> городского округа расторгнут</w:t>
      </w:r>
      <w:r>
        <w:rPr>
          <w:rFonts w:eastAsia="Calibri"/>
          <w:sz w:val="28"/>
          <w:szCs w:val="28"/>
          <w:lang w:eastAsia="en-US"/>
        </w:rPr>
        <w:t>ы</w:t>
      </w:r>
      <w:r w:rsidRPr="006F3FE2">
        <w:rPr>
          <w:rFonts w:eastAsia="Calibri"/>
          <w:sz w:val="28"/>
          <w:szCs w:val="28"/>
          <w:lang w:eastAsia="en-US"/>
        </w:rPr>
        <w:t xml:space="preserve"> 2 декабря 2021 года.</w:t>
      </w:r>
      <w:r>
        <w:rPr>
          <w:rFonts w:eastAsia="Calibri"/>
          <w:sz w:val="28"/>
          <w:szCs w:val="28"/>
          <w:lang w:eastAsia="en-US"/>
        </w:rPr>
        <w:t xml:space="preserve"> </w:t>
      </w:r>
    </w:p>
    <w:p w:rsidR="00C404B9" w:rsidRPr="00BC6A71" w:rsidRDefault="00C404B9" w:rsidP="00C404B9">
      <w:pPr>
        <w:ind w:firstLine="709"/>
        <w:jc w:val="both"/>
        <w:rPr>
          <w:sz w:val="28"/>
          <w:szCs w:val="28"/>
        </w:rPr>
      </w:pPr>
      <w:r>
        <w:rPr>
          <w:sz w:val="28"/>
          <w:szCs w:val="28"/>
        </w:rPr>
        <w:t>В</w:t>
      </w:r>
      <w:r w:rsidRPr="00BC6A71">
        <w:rPr>
          <w:sz w:val="28"/>
          <w:szCs w:val="28"/>
        </w:rPr>
        <w:t xml:space="preserve"> связи с расторжением Муниципальных контрактов от 21.12.2020</w:t>
      </w:r>
      <w:r>
        <w:rPr>
          <w:sz w:val="28"/>
          <w:szCs w:val="28"/>
        </w:rPr>
        <w:t xml:space="preserve"> и</w:t>
      </w:r>
      <w:r w:rsidRPr="00BC6A71">
        <w:rPr>
          <w:sz w:val="28"/>
          <w:szCs w:val="28"/>
        </w:rPr>
        <w:t xml:space="preserve"> от 19.02.2021, списки граждан, планируемых к переселению, в рамках Муниципального контракта от 24.03.2021, изменены и не соответствуют списку, представленному в комплекте документов к заключению Соглашения №39</w:t>
      </w:r>
      <w:r>
        <w:rPr>
          <w:sz w:val="28"/>
          <w:szCs w:val="28"/>
        </w:rPr>
        <w:t xml:space="preserve">, в результате чего в новый список </w:t>
      </w:r>
      <w:r w:rsidRPr="00BC6A71">
        <w:rPr>
          <w:rFonts w:eastAsia="Calibri"/>
          <w:sz w:val="28"/>
          <w:szCs w:val="28"/>
          <w:lang w:eastAsia="en-US"/>
        </w:rPr>
        <w:t xml:space="preserve">граждан, планируемых к переселению в рамках </w:t>
      </w:r>
      <w:r w:rsidRPr="00BC6A71">
        <w:rPr>
          <w:sz w:val="28"/>
          <w:szCs w:val="28"/>
        </w:rPr>
        <w:t>Муниципального контракта от 24.03.2021 не включены 28 граждан-квартиросъемщиков</w:t>
      </w:r>
      <w:r w:rsidRPr="00BC6A71">
        <w:rPr>
          <w:rStyle w:val="ab"/>
          <w:sz w:val="28"/>
          <w:szCs w:val="28"/>
        </w:rPr>
        <w:footnoteReference w:id="189"/>
      </w:r>
      <w:r w:rsidRPr="00BC6A71">
        <w:rPr>
          <w:sz w:val="28"/>
          <w:szCs w:val="28"/>
        </w:rPr>
        <w:t>, ранее планируемых к переселению</w:t>
      </w:r>
      <w:r>
        <w:rPr>
          <w:rStyle w:val="ab"/>
          <w:sz w:val="28"/>
          <w:szCs w:val="28"/>
        </w:rPr>
        <w:footnoteReference w:id="190"/>
      </w:r>
      <w:r>
        <w:rPr>
          <w:sz w:val="28"/>
          <w:szCs w:val="28"/>
        </w:rPr>
        <w:t>.</w:t>
      </w:r>
    </w:p>
    <w:p w:rsidR="00C404B9" w:rsidRPr="00F00126" w:rsidRDefault="00C404B9" w:rsidP="00C404B9">
      <w:pPr>
        <w:ind w:right="57" w:firstLine="708"/>
        <w:jc w:val="both"/>
        <w:rPr>
          <w:sz w:val="28"/>
          <w:szCs w:val="28"/>
        </w:rPr>
      </w:pPr>
      <w:r>
        <w:rPr>
          <w:sz w:val="28"/>
          <w:szCs w:val="28"/>
        </w:rPr>
        <w:t xml:space="preserve">Неиспользованные </w:t>
      </w:r>
      <w:r w:rsidRPr="00F00126">
        <w:rPr>
          <w:sz w:val="28"/>
          <w:szCs w:val="28"/>
        </w:rPr>
        <w:t>администрациям</w:t>
      </w:r>
      <w:r>
        <w:rPr>
          <w:sz w:val="28"/>
          <w:szCs w:val="28"/>
        </w:rPr>
        <w:t>и</w:t>
      </w:r>
      <w:r w:rsidRPr="00F00126">
        <w:rPr>
          <w:sz w:val="28"/>
          <w:szCs w:val="28"/>
        </w:rPr>
        <w:t xml:space="preserve"> муниципальны</w:t>
      </w:r>
      <w:r>
        <w:rPr>
          <w:sz w:val="28"/>
          <w:szCs w:val="28"/>
        </w:rPr>
        <w:t>х</w:t>
      </w:r>
      <w:r w:rsidRPr="00F00126">
        <w:rPr>
          <w:sz w:val="28"/>
          <w:szCs w:val="28"/>
        </w:rPr>
        <w:t xml:space="preserve"> образовани</w:t>
      </w:r>
      <w:r>
        <w:rPr>
          <w:sz w:val="28"/>
          <w:szCs w:val="28"/>
        </w:rPr>
        <w:t xml:space="preserve">й средства </w:t>
      </w:r>
      <w:r w:rsidRPr="00F00126">
        <w:rPr>
          <w:sz w:val="28"/>
          <w:szCs w:val="28"/>
        </w:rPr>
        <w:t>субсидии на обеспечение мероприятий по развитию жилищного строительства</w:t>
      </w:r>
      <w:r>
        <w:rPr>
          <w:sz w:val="28"/>
          <w:szCs w:val="28"/>
        </w:rPr>
        <w:t xml:space="preserve"> по состоянию на 01.01.2022 года составили 95 553,0 тыс. рублей и в полном объеме возвращены в окружной бюджет в январе 2022 года, в том числе</w:t>
      </w:r>
      <w:r w:rsidRPr="00F00126">
        <w:rPr>
          <w:sz w:val="28"/>
          <w:szCs w:val="28"/>
        </w:rPr>
        <w:t>:</w:t>
      </w:r>
    </w:p>
    <w:p w:rsidR="00C404B9" w:rsidRDefault="00C404B9" w:rsidP="00C404B9">
      <w:pPr>
        <w:ind w:left="57" w:right="57" w:firstLine="651"/>
        <w:jc w:val="both"/>
        <w:rPr>
          <w:sz w:val="28"/>
          <w:szCs w:val="28"/>
        </w:rPr>
      </w:pPr>
      <w:r>
        <w:rPr>
          <w:sz w:val="28"/>
          <w:szCs w:val="28"/>
        </w:rPr>
        <w:t xml:space="preserve">- </w:t>
      </w:r>
      <w:r w:rsidRPr="00F00126">
        <w:rPr>
          <w:sz w:val="28"/>
          <w:szCs w:val="28"/>
        </w:rPr>
        <w:t>37</w:t>
      </w:r>
      <w:r>
        <w:rPr>
          <w:sz w:val="28"/>
          <w:szCs w:val="28"/>
        </w:rPr>
        <w:t> 026,1 тыс</w:t>
      </w:r>
      <w:r w:rsidRPr="00F00126">
        <w:rPr>
          <w:sz w:val="28"/>
          <w:szCs w:val="28"/>
        </w:rPr>
        <w:t>. рублей в с</w:t>
      </w:r>
      <w:r>
        <w:rPr>
          <w:sz w:val="28"/>
          <w:szCs w:val="28"/>
        </w:rPr>
        <w:t>. </w:t>
      </w:r>
      <w:r w:rsidRPr="00F00126">
        <w:rPr>
          <w:sz w:val="28"/>
          <w:szCs w:val="28"/>
        </w:rPr>
        <w:t>Уэлен на приобретение 16 жилых помещений площадью не менее 752 кв.</w:t>
      </w:r>
      <w:r>
        <w:rPr>
          <w:sz w:val="28"/>
          <w:szCs w:val="28"/>
        </w:rPr>
        <w:t xml:space="preserve"> </w:t>
      </w:r>
      <w:r w:rsidRPr="00F00126">
        <w:rPr>
          <w:sz w:val="28"/>
          <w:szCs w:val="28"/>
        </w:rPr>
        <w:t>м, общей стоимостью 141</w:t>
      </w:r>
      <w:r>
        <w:rPr>
          <w:sz w:val="28"/>
          <w:szCs w:val="28"/>
        </w:rPr>
        <w:t> 695,6</w:t>
      </w:r>
      <w:r w:rsidRPr="00F00126">
        <w:rPr>
          <w:sz w:val="28"/>
          <w:szCs w:val="28"/>
        </w:rPr>
        <w:t xml:space="preserve"> </w:t>
      </w:r>
      <w:r>
        <w:rPr>
          <w:sz w:val="28"/>
          <w:szCs w:val="28"/>
        </w:rPr>
        <w:t>тыс</w:t>
      </w:r>
      <w:r w:rsidRPr="00F00126">
        <w:rPr>
          <w:sz w:val="28"/>
          <w:szCs w:val="28"/>
        </w:rPr>
        <w:t>. рублей и сроком исполнения – 15.11.2023 года</w:t>
      </w:r>
      <w:r>
        <w:rPr>
          <w:sz w:val="28"/>
          <w:szCs w:val="28"/>
        </w:rPr>
        <w:t>;</w:t>
      </w:r>
    </w:p>
    <w:p w:rsidR="00C404B9" w:rsidRDefault="00C404B9" w:rsidP="00C404B9">
      <w:pPr>
        <w:ind w:left="57" w:right="57" w:firstLine="651"/>
        <w:jc w:val="both"/>
        <w:rPr>
          <w:sz w:val="28"/>
          <w:szCs w:val="28"/>
        </w:rPr>
      </w:pPr>
      <w:r>
        <w:rPr>
          <w:sz w:val="28"/>
          <w:szCs w:val="28"/>
        </w:rPr>
        <w:t xml:space="preserve">- </w:t>
      </w:r>
      <w:r w:rsidRPr="00F00126">
        <w:rPr>
          <w:sz w:val="28"/>
          <w:szCs w:val="28"/>
        </w:rPr>
        <w:t>58</w:t>
      </w:r>
      <w:r>
        <w:rPr>
          <w:sz w:val="28"/>
          <w:szCs w:val="28"/>
        </w:rPr>
        <w:t> 526,9 тыс. рублей</w:t>
      </w:r>
      <w:r w:rsidRPr="00F00126">
        <w:rPr>
          <w:sz w:val="28"/>
          <w:szCs w:val="28"/>
        </w:rPr>
        <w:t xml:space="preserve"> в селе </w:t>
      </w:r>
      <w:proofErr w:type="spellStart"/>
      <w:r w:rsidRPr="00F00126">
        <w:rPr>
          <w:sz w:val="28"/>
          <w:szCs w:val="28"/>
        </w:rPr>
        <w:t>Янракыннот</w:t>
      </w:r>
      <w:proofErr w:type="spellEnd"/>
      <w:r w:rsidRPr="00F00126">
        <w:rPr>
          <w:sz w:val="28"/>
          <w:szCs w:val="28"/>
        </w:rPr>
        <w:t xml:space="preserve"> на выкуп 7 жилых помещений общей площадью не менее 314 кв.</w:t>
      </w:r>
      <w:r>
        <w:rPr>
          <w:sz w:val="28"/>
          <w:szCs w:val="28"/>
        </w:rPr>
        <w:t xml:space="preserve"> </w:t>
      </w:r>
      <w:r w:rsidRPr="00F00126">
        <w:rPr>
          <w:sz w:val="28"/>
          <w:szCs w:val="28"/>
        </w:rPr>
        <w:t>м</w:t>
      </w:r>
      <w:r>
        <w:rPr>
          <w:sz w:val="28"/>
          <w:szCs w:val="28"/>
        </w:rPr>
        <w:t>,</w:t>
      </w:r>
      <w:r w:rsidRPr="00F00126">
        <w:rPr>
          <w:sz w:val="28"/>
          <w:szCs w:val="28"/>
        </w:rPr>
        <w:t xml:space="preserve"> стоимостью 58</w:t>
      </w:r>
      <w:r>
        <w:rPr>
          <w:sz w:val="28"/>
          <w:szCs w:val="28"/>
        </w:rPr>
        <w:t> 585,5 тыс</w:t>
      </w:r>
      <w:r w:rsidRPr="00F00126">
        <w:rPr>
          <w:sz w:val="28"/>
          <w:szCs w:val="28"/>
        </w:rPr>
        <w:t>. рублей и сроком исполнения</w:t>
      </w:r>
      <w:r>
        <w:rPr>
          <w:sz w:val="28"/>
          <w:szCs w:val="28"/>
        </w:rPr>
        <w:t> </w:t>
      </w:r>
      <w:r w:rsidRPr="00F00126">
        <w:rPr>
          <w:sz w:val="28"/>
          <w:szCs w:val="28"/>
        </w:rPr>
        <w:t>– 01.</w:t>
      </w:r>
      <w:r>
        <w:rPr>
          <w:sz w:val="28"/>
          <w:szCs w:val="28"/>
        </w:rPr>
        <w:t>12</w:t>
      </w:r>
      <w:r w:rsidRPr="00F00126">
        <w:rPr>
          <w:sz w:val="28"/>
          <w:szCs w:val="28"/>
        </w:rPr>
        <w:t>.202</w:t>
      </w:r>
      <w:r>
        <w:rPr>
          <w:sz w:val="28"/>
          <w:szCs w:val="28"/>
        </w:rPr>
        <w:t xml:space="preserve">1 </w:t>
      </w:r>
      <w:r w:rsidRPr="00F00126">
        <w:rPr>
          <w:sz w:val="28"/>
          <w:szCs w:val="28"/>
        </w:rPr>
        <w:t>г</w:t>
      </w:r>
      <w:r>
        <w:rPr>
          <w:sz w:val="28"/>
          <w:szCs w:val="28"/>
        </w:rPr>
        <w:t>ода</w:t>
      </w:r>
      <w:r w:rsidRPr="00F00126">
        <w:rPr>
          <w:sz w:val="28"/>
          <w:szCs w:val="28"/>
        </w:rPr>
        <w:t xml:space="preserve">. Контракт </w:t>
      </w:r>
      <w:r>
        <w:rPr>
          <w:sz w:val="28"/>
          <w:szCs w:val="28"/>
        </w:rPr>
        <w:t>застройщиком</w:t>
      </w:r>
      <w:r w:rsidRPr="00F00126">
        <w:rPr>
          <w:sz w:val="28"/>
          <w:szCs w:val="28"/>
        </w:rPr>
        <w:t xml:space="preserve"> не исполнен</w:t>
      </w:r>
      <w:r>
        <w:rPr>
          <w:sz w:val="28"/>
          <w:szCs w:val="28"/>
        </w:rPr>
        <w:t xml:space="preserve">. По результатам проверки в Администрации </w:t>
      </w:r>
      <w:proofErr w:type="spellStart"/>
      <w:r>
        <w:rPr>
          <w:sz w:val="28"/>
          <w:szCs w:val="28"/>
        </w:rPr>
        <w:t>Провиденского</w:t>
      </w:r>
      <w:proofErr w:type="spellEnd"/>
      <w:r>
        <w:rPr>
          <w:sz w:val="28"/>
          <w:szCs w:val="28"/>
        </w:rPr>
        <w:t xml:space="preserve"> городского округа установлено, </w:t>
      </w:r>
      <w:r w:rsidRPr="00FA276E">
        <w:rPr>
          <w:sz w:val="28"/>
          <w:szCs w:val="28"/>
        </w:rPr>
        <w:t>что несмотря на то, что обязательства застройщика ЗАО «СПК «</w:t>
      </w:r>
      <w:proofErr w:type="spellStart"/>
      <w:r w:rsidRPr="00FA276E">
        <w:rPr>
          <w:sz w:val="28"/>
          <w:szCs w:val="28"/>
        </w:rPr>
        <w:t>Зевра</w:t>
      </w:r>
      <w:proofErr w:type="spellEnd"/>
      <w:r w:rsidRPr="00FA276E">
        <w:rPr>
          <w:sz w:val="28"/>
          <w:szCs w:val="28"/>
        </w:rPr>
        <w:t>» по передаче жилых помещений Администрации не исполнены</w:t>
      </w:r>
      <w:r>
        <w:rPr>
          <w:sz w:val="28"/>
          <w:szCs w:val="28"/>
        </w:rPr>
        <w:t xml:space="preserve"> (срок исполнения контракта – 01.12.2021)</w:t>
      </w:r>
      <w:r w:rsidRPr="00FA276E">
        <w:rPr>
          <w:sz w:val="28"/>
          <w:szCs w:val="28"/>
        </w:rPr>
        <w:t>, Администрацией в адрес Департамента промышленности 23 декабря 2021 была необоснованно направлена заявка на получение Субсидии в рамках заключенного Соглашения №73.</w:t>
      </w:r>
      <w:r>
        <w:rPr>
          <w:sz w:val="28"/>
          <w:szCs w:val="28"/>
        </w:rPr>
        <w:t> </w:t>
      </w:r>
      <w:r w:rsidRPr="00FA276E">
        <w:rPr>
          <w:sz w:val="28"/>
          <w:szCs w:val="28"/>
        </w:rPr>
        <w:t>Субсидия Департаментом промышленности предоставлена</w:t>
      </w:r>
      <w:r>
        <w:rPr>
          <w:sz w:val="28"/>
          <w:szCs w:val="28"/>
        </w:rPr>
        <w:t xml:space="preserve"> в запрашиваемом объеме.</w:t>
      </w:r>
      <w:r w:rsidRPr="00FA276E">
        <w:rPr>
          <w:sz w:val="28"/>
          <w:szCs w:val="28"/>
        </w:rPr>
        <w:t xml:space="preserve"> Администрацией оплата ЗАО «СПК «</w:t>
      </w:r>
      <w:proofErr w:type="spellStart"/>
      <w:r w:rsidRPr="00FA276E">
        <w:rPr>
          <w:sz w:val="28"/>
          <w:szCs w:val="28"/>
        </w:rPr>
        <w:t>Зевра</w:t>
      </w:r>
      <w:proofErr w:type="spellEnd"/>
      <w:r w:rsidRPr="00FA276E">
        <w:rPr>
          <w:sz w:val="28"/>
          <w:szCs w:val="28"/>
        </w:rPr>
        <w:t>»</w:t>
      </w:r>
      <w:r>
        <w:rPr>
          <w:sz w:val="28"/>
          <w:szCs w:val="28"/>
        </w:rPr>
        <w:t xml:space="preserve"> </w:t>
      </w:r>
      <w:r w:rsidRPr="00FA276E">
        <w:rPr>
          <w:sz w:val="28"/>
          <w:szCs w:val="28"/>
        </w:rPr>
        <w:t xml:space="preserve">по Муниципальному контракту от 09.07.2021 не осуществлялась, так как условиями контракта оплата предусмотрена после приема-передачи приобретаемых жилых помещений. Администрацией </w:t>
      </w:r>
      <w:proofErr w:type="spellStart"/>
      <w:r w:rsidRPr="00FA276E">
        <w:rPr>
          <w:sz w:val="28"/>
          <w:szCs w:val="28"/>
        </w:rPr>
        <w:t>Провиденского</w:t>
      </w:r>
      <w:proofErr w:type="spellEnd"/>
      <w:r w:rsidRPr="00FA276E">
        <w:rPr>
          <w:sz w:val="28"/>
          <w:szCs w:val="28"/>
        </w:rPr>
        <w:t xml:space="preserve"> городского округа подтверждена потребность в неиспользованных в 2021 году средствах субсидии для оплаты Муниципального контракта </w:t>
      </w:r>
      <w:r>
        <w:rPr>
          <w:sz w:val="28"/>
          <w:szCs w:val="28"/>
        </w:rPr>
        <w:t>в 2022 году</w:t>
      </w:r>
      <w:r w:rsidRPr="00FA276E">
        <w:rPr>
          <w:sz w:val="28"/>
          <w:szCs w:val="28"/>
        </w:rPr>
        <w:t xml:space="preserve">. </w:t>
      </w:r>
    </w:p>
    <w:p w:rsidR="00C404B9" w:rsidRPr="00DB117D" w:rsidRDefault="00C404B9" w:rsidP="00C404B9">
      <w:pPr>
        <w:jc w:val="both"/>
        <w:rPr>
          <w:rFonts w:eastAsia="Calibri"/>
          <w:sz w:val="28"/>
          <w:szCs w:val="28"/>
          <w:lang w:eastAsia="en-US"/>
        </w:rPr>
      </w:pPr>
      <w:r w:rsidRPr="004E4C4C">
        <w:rPr>
          <w:sz w:val="28"/>
          <w:szCs w:val="28"/>
        </w:rPr>
        <w:lastRenderedPageBreak/>
        <w:tab/>
      </w:r>
      <w:r w:rsidRPr="00B47A3F">
        <w:rPr>
          <w:rFonts w:eastAsia="Calibri"/>
          <w:sz w:val="28"/>
          <w:szCs w:val="28"/>
          <w:lang w:eastAsia="en-US"/>
        </w:rPr>
        <w:t xml:space="preserve"> </w:t>
      </w:r>
      <w:r w:rsidRPr="00DB117D">
        <w:rPr>
          <w:rFonts w:eastAsia="Calibri"/>
          <w:sz w:val="28"/>
          <w:szCs w:val="28"/>
          <w:lang w:eastAsia="en-US"/>
        </w:rPr>
        <w:t>На момент проведения проверки ф</w:t>
      </w:r>
      <w:r w:rsidRPr="00DB117D">
        <w:rPr>
          <w:sz w:val="28"/>
          <w:szCs w:val="28"/>
        </w:rPr>
        <w:t>актическое исполнение</w:t>
      </w:r>
      <w:r w:rsidRPr="00DB117D">
        <w:rPr>
          <w:rFonts w:eastAsia="Calibri"/>
          <w:sz w:val="28"/>
          <w:szCs w:val="28"/>
          <w:lang w:eastAsia="en-US"/>
        </w:rPr>
        <w:t xml:space="preserve"> муниципальных контрактов, предполагаемых к исполнению в 2021-2022 годах, отсутствует.</w:t>
      </w:r>
    </w:p>
    <w:p w:rsidR="00C404B9" w:rsidRPr="00DB117D" w:rsidRDefault="00C404B9" w:rsidP="00C404B9">
      <w:pPr>
        <w:autoSpaceDE w:val="0"/>
        <w:autoSpaceDN w:val="0"/>
        <w:adjustRightInd w:val="0"/>
        <w:ind w:firstLine="709"/>
        <w:jc w:val="both"/>
        <w:rPr>
          <w:rFonts w:eastAsia="Calibri"/>
          <w:sz w:val="28"/>
          <w:szCs w:val="28"/>
          <w:lang w:eastAsia="en-US"/>
        </w:rPr>
      </w:pPr>
      <w:r w:rsidRPr="00DB117D">
        <w:rPr>
          <w:sz w:val="28"/>
          <w:szCs w:val="28"/>
        </w:rPr>
        <w:t xml:space="preserve"> </w:t>
      </w:r>
      <w:r w:rsidRPr="00DB117D">
        <w:rPr>
          <w:rFonts w:eastAsia="Calibri"/>
          <w:sz w:val="28"/>
          <w:szCs w:val="28"/>
          <w:lang w:eastAsia="en-US"/>
        </w:rPr>
        <w:t>В 1 квартале 2022 года уполномоченными органами муниципальные контракты на приобретение жилых помещений не заключались, проводятся мероприятия в целях проведения конкурентных процедур по определению исполнителей в соответствии с законодательством о контрактной системе.</w:t>
      </w:r>
    </w:p>
    <w:p w:rsidR="00C404B9" w:rsidRDefault="00C404B9" w:rsidP="00C404B9">
      <w:pPr>
        <w:pStyle w:val="Style2"/>
        <w:widowControl/>
        <w:tabs>
          <w:tab w:val="left" w:pos="567"/>
          <w:tab w:val="left" w:pos="709"/>
        </w:tabs>
        <w:spacing w:line="240" w:lineRule="auto"/>
        <w:ind w:firstLine="708"/>
        <w:rPr>
          <w:rFonts w:eastAsia="Calibri"/>
          <w:sz w:val="28"/>
          <w:szCs w:val="28"/>
          <w:lang w:eastAsia="en-US"/>
        </w:rPr>
      </w:pPr>
      <w:r w:rsidRPr="006126F3">
        <w:rPr>
          <w:rFonts w:eastAsia="Calibri"/>
          <w:sz w:val="28"/>
        </w:rPr>
        <w:tab/>
      </w:r>
      <w:r w:rsidRPr="006126F3">
        <w:rPr>
          <w:rFonts w:eastAsia="Calibri"/>
          <w:sz w:val="28"/>
          <w:szCs w:val="28"/>
          <w:lang w:eastAsia="en-US"/>
        </w:rPr>
        <w:t xml:space="preserve">В </w:t>
      </w:r>
      <w:r>
        <w:rPr>
          <w:rFonts w:eastAsia="Calibri"/>
          <w:sz w:val="28"/>
          <w:szCs w:val="28"/>
          <w:lang w:eastAsia="en-US"/>
        </w:rPr>
        <w:t xml:space="preserve">1 квартале </w:t>
      </w:r>
      <w:r w:rsidRPr="006126F3">
        <w:rPr>
          <w:rFonts w:eastAsia="Calibri"/>
          <w:sz w:val="28"/>
          <w:szCs w:val="28"/>
          <w:lang w:eastAsia="en-US"/>
        </w:rPr>
        <w:t>202</w:t>
      </w:r>
      <w:r>
        <w:rPr>
          <w:rFonts w:eastAsia="Calibri"/>
          <w:sz w:val="28"/>
          <w:szCs w:val="28"/>
          <w:lang w:eastAsia="en-US"/>
        </w:rPr>
        <w:t>2</w:t>
      </w:r>
      <w:r w:rsidRPr="006126F3">
        <w:rPr>
          <w:rFonts w:eastAsia="Calibri"/>
          <w:sz w:val="28"/>
          <w:szCs w:val="28"/>
          <w:lang w:eastAsia="en-US"/>
        </w:rPr>
        <w:t xml:space="preserve"> год</w:t>
      </w:r>
      <w:r>
        <w:rPr>
          <w:rFonts w:eastAsia="Calibri"/>
          <w:sz w:val="28"/>
          <w:szCs w:val="28"/>
          <w:lang w:eastAsia="en-US"/>
        </w:rPr>
        <w:t>а</w:t>
      </w:r>
      <w:r w:rsidRPr="006126F3">
        <w:rPr>
          <w:rFonts w:eastAsia="Calibri"/>
          <w:sz w:val="28"/>
          <w:szCs w:val="28"/>
          <w:lang w:eastAsia="en-US"/>
        </w:rPr>
        <w:t xml:space="preserve"> Департаментом предоставлен</w:t>
      </w:r>
      <w:r>
        <w:rPr>
          <w:rFonts w:eastAsia="Calibri"/>
          <w:sz w:val="28"/>
          <w:szCs w:val="28"/>
          <w:lang w:eastAsia="en-US"/>
        </w:rPr>
        <w:t>ие</w:t>
      </w:r>
      <w:r w:rsidRPr="006126F3">
        <w:rPr>
          <w:rFonts w:eastAsia="Calibri"/>
          <w:sz w:val="28"/>
          <w:szCs w:val="28"/>
          <w:lang w:eastAsia="en-US"/>
        </w:rPr>
        <w:t xml:space="preserve"> субсидии </w:t>
      </w:r>
      <w:r>
        <w:rPr>
          <w:rFonts w:eastAsia="Calibri"/>
          <w:sz w:val="28"/>
          <w:szCs w:val="28"/>
          <w:lang w:eastAsia="en-US"/>
        </w:rPr>
        <w:t>на развитие жилищного строительства не осуществлялось.</w:t>
      </w:r>
    </w:p>
    <w:p w:rsidR="00C404B9" w:rsidRDefault="00C404B9" w:rsidP="00C404B9">
      <w:pPr>
        <w:ind w:left="57" w:right="57"/>
        <w:jc w:val="both"/>
        <w:rPr>
          <w:rFonts w:eastAsia="Calibri"/>
          <w:sz w:val="16"/>
          <w:szCs w:val="16"/>
        </w:rPr>
      </w:pPr>
      <w:r w:rsidRPr="00F00126">
        <w:rPr>
          <w:sz w:val="28"/>
          <w:szCs w:val="28"/>
        </w:rPr>
        <w:tab/>
      </w:r>
    </w:p>
    <w:p w:rsidR="00C404B9" w:rsidRPr="0077170F" w:rsidRDefault="00C404B9" w:rsidP="00C404B9">
      <w:pPr>
        <w:shd w:val="clear" w:color="auto" w:fill="FFFFFF"/>
        <w:autoSpaceDE w:val="0"/>
        <w:autoSpaceDN w:val="0"/>
        <w:adjustRightInd w:val="0"/>
        <w:ind w:firstLine="709"/>
        <w:jc w:val="both"/>
        <w:rPr>
          <w:b/>
          <w:i/>
          <w:sz w:val="28"/>
          <w:szCs w:val="28"/>
        </w:rPr>
      </w:pPr>
      <w:r w:rsidRPr="009E5BE6">
        <w:rPr>
          <w:b/>
          <w:i/>
          <w:sz w:val="28"/>
          <w:szCs w:val="28"/>
        </w:rPr>
        <w:t>8.2.</w:t>
      </w:r>
      <w:r>
        <w:rPr>
          <w:b/>
          <w:i/>
          <w:sz w:val="28"/>
          <w:szCs w:val="28"/>
        </w:rPr>
        <w:t xml:space="preserve"> </w:t>
      </w:r>
      <w:r w:rsidRPr="0077170F">
        <w:rPr>
          <w:b/>
          <w:i/>
          <w:sz w:val="28"/>
          <w:szCs w:val="28"/>
        </w:rPr>
        <w:t>Оценка достижения запланированных результатов мероприятий подпрограммы «Развитие жилищного строительства»</w:t>
      </w:r>
    </w:p>
    <w:p w:rsidR="00C404B9" w:rsidRPr="0077170F" w:rsidRDefault="00C404B9" w:rsidP="00C404B9">
      <w:pPr>
        <w:shd w:val="clear" w:color="auto" w:fill="FFFFFF"/>
        <w:autoSpaceDE w:val="0"/>
        <w:autoSpaceDN w:val="0"/>
        <w:adjustRightInd w:val="0"/>
        <w:ind w:firstLine="709"/>
        <w:jc w:val="both"/>
        <w:rPr>
          <w:sz w:val="16"/>
          <w:szCs w:val="16"/>
        </w:rPr>
      </w:pPr>
    </w:p>
    <w:p w:rsidR="00C404B9" w:rsidRDefault="00C404B9" w:rsidP="00C404B9">
      <w:pPr>
        <w:shd w:val="clear" w:color="auto" w:fill="FFFFFF"/>
        <w:autoSpaceDE w:val="0"/>
        <w:autoSpaceDN w:val="0"/>
        <w:adjustRightInd w:val="0"/>
        <w:ind w:firstLine="708"/>
        <w:jc w:val="both"/>
        <w:rPr>
          <w:sz w:val="28"/>
          <w:szCs w:val="28"/>
        </w:rPr>
      </w:pPr>
      <w:r>
        <w:rPr>
          <w:sz w:val="28"/>
          <w:szCs w:val="28"/>
        </w:rPr>
        <w:t xml:space="preserve">В проверяемом периоде Департаментом промышленности на реализацию мероприятий подпрограммы «Развитие жилищного строительства» направлено бюджетных ассигнований за счет средств окружного бюджета 244 875,4 тыс. рублей или 27,3% от утвержденных плановых назначений, в том числе: в 2020 году – 31 981,9 тыс. рублей, в 2021 году – 212 893,5 тыс.  рублей. В 1 квартале 2022 года – финансирование не осуществлялось. </w:t>
      </w:r>
    </w:p>
    <w:p w:rsidR="00C404B9" w:rsidRDefault="00C404B9" w:rsidP="00C404B9">
      <w:pPr>
        <w:shd w:val="clear" w:color="auto" w:fill="FFFFFF"/>
        <w:autoSpaceDE w:val="0"/>
        <w:autoSpaceDN w:val="0"/>
        <w:adjustRightInd w:val="0"/>
        <w:ind w:firstLine="708"/>
        <w:jc w:val="both"/>
        <w:rPr>
          <w:rFonts w:eastAsia="Calibri"/>
          <w:sz w:val="28"/>
          <w:szCs w:val="28"/>
          <w:lang w:eastAsia="en-US"/>
        </w:rPr>
      </w:pPr>
      <w:r w:rsidRPr="005519AD">
        <w:rPr>
          <w:color w:val="000000"/>
          <w:sz w:val="28"/>
          <w:szCs w:val="28"/>
        </w:rPr>
        <w:t>По состоянию на 0</w:t>
      </w:r>
      <w:r>
        <w:rPr>
          <w:color w:val="000000"/>
          <w:sz w:val="28"/>
          <w:szCs w:val="28"/>
        </w:rPr>
        <w:t>1</w:t>
      </w:r>
      <w:r w:rsidRPr="005519AD">
        <w:rPr>
          <w:color w:val="000000"/>
          <w:sz w:val="28"/>
          <w:szCs w:val="28"/>
        </w:rPr>
        <w:t>.</w:t>
      </w:r>
      <w:r>
        <w:rPr>
          <w:color w:val="000000"/>
          <w:sz w:val="28"/>
          <w:szCs w:val="28"/>
        </w:rPr>
        <w:t>04</w:t>
      </w:r>
      <w:r w:rsidRPr="005519AD">
        <w:rPr>
          <w:color w:val="000000"/>
          <w:sz w:val="28"/>
          <w:szCs w:val="28"/>
        </w:rPr>
        <w:t>.202</w:t>
      </w:r>
      <w:r>
        <w:rPr>
          <w:color w:val="000000"/>
          <w:sz w:val="28"/>
          <w:szCs w:val="28"/>
        </w:rPr>
        <w:t>2 </w:t>
      </w:r>
      <w:r w:rsidRPr="005519AD">
        <w:rPr>
          <w:color w:val="000000"/>
          <w:sz w:val="28"/>
          <w:szCs w:val="28"/>
        </w:rPr>
        <w:t xml:space="preserve">г. объем неисполненных плановых назначений </w:t>
      </w:r>
      <w:r w:rsidRPr="005519AD">
        <w:rPr>
          <w:rFonts w:eastAsia="Calibri"/>
          <w:sz w:val="28"/>
          <w:szCs w:val="28"/>
          <w:lang w:eastAsia="en-US"/>
        </w:rPr>
        <w:t xml:space="preserve">составляет </w:t>
      </w:r>
      <w:r>
        <w:rPr>
          <w:rFonts w:eastAsia="Calibri"/>
          <w:sz w:val="28"/>
          <w:szCs w:val="28"/>
          <w:lang w:eastAsia="en-US"/>
        </w:rPr>
        <w:t>652 632,9</w:t>
      </w:r>
      <w:r w:rsidRPr="005519AD">
        <w:rPr>
          <w:rFonts w:eastAsia="Calibri"/>
          <w:sz w:val="28"/>
          <w:szCs w:val="28"/>
          <w:lang w:eastAsia="en-US"/>
        </w:rPr>
        <w:t xml:space="preserve"> тыс. рублей</w:t>
      </w:r>
      <w:r>
        <w:rPr>
          <w:rFonts w:eastAsia="Calibri"/>
          <w:sz w:val="28"/>
          <w:szCs w:val="28"/>
          <w:lang w:eastAsia="en-US"/>
        </w:rPr>
        <w:t>, из них 517 523,2 тыс. рублей или 79,3% приходится на долю плановых назначений на реализацию мероприятий Подпрограммы в 2022 году</w:t>
      </w:r>
      <w:r w:rsidRPr="005519AD">
        <w:rPr>
          <w:rFonts w:eastAsia="Calibri"/>
          <w:sz w:val="28"/>
          <w:szCs w:val="28"/>
          <w:lang w:eastAsia="en-US"/>
        </w:rPr>
        <w:t>.</w:t>
      </w:r>
    </w:p>
    <w:p w:rsidR="00C404B9" w:rsidRDefault="00C404B9" w:rsidP="00C404B9">
      <w:pPr>
        <w:pStyle w:val="Style2"/>
        <w:widowControl/>
        <w:shd w:val="clear" w:color="auto" w:fill="FFFFFF"/>
        <w:tabs>
          <w:tab w:val="left" w:pos="567"/>
          <w:tab w:val="left" w:pos="709"/>
        </w:tabs>
        <w:spacing w:line="240" w:lineRule="auto"/>
        <w:ind w:firstLine="708"/>
        <w:rPr>
          <w:rFonts w:eastAsia="Calibri"/>
          <w:sz w:val="28"/>
          <w:szCs w:val="28"/>
          <w:lang w:eastAsia="en-US"/>
        </w:rPr>
      </w:pPr>
      <w:r w:rsidRPr="00107B6C">
        <w:rPr>
          <w:rFonts w:eastAsia="Calibri"/>
          <w:sz w:val="28"/>
          <w:szCs w:val="28"/>
          <w:lang w:eastAsia="en-US"/>
        </w:rPr>
        <w:t xml:space="preserve">Фактическое </w:t>
      </w:r>
      <w:r>
        <w:rPr>
          <w:rFonts w:eastAsia="Calibri"/>
          <w:sz w:val="28"/>
          <w:szCs w:val="28"/>
          <w:lang w:eastAsia="en-US"/>
        </w:rPr>
        <w:t xml:space="preserve">выполнение мероприятия «Субсидии застройщикам на возмещение недополученных доходов, возникающих при реализации квартир гражданам» в 2021 году составило 30 000,0 тыс. рублей. </w:t>
      </w:r>
    </w:p>
    <w:p w:rsidR="00C404B9" w:rsidRDefault="00C404B9" w:rsidP="00C404B9">
      <w:pPr>
        <w:pStyle w:val="Style2"/>
        <w:widowControl/>
        <w:shd w:val="clear" w:color="auto" w:fill="FFFFFF"/>
        <w:tabs>
          <w:tab w:val="left" w:pos="567"/>
          <w:tab w:val="left" w:pos="709"/>
        </w:tabs>
        <w:spacing w:line="240" w:lineRule="auto"/>
        <w:ind w:firstLine="708"/>
        <w:rPr>
          <w:rFonts w:eastAsia="Calibri"/>
          <w:sz w:val="28"/>
          <w:szCs w:val="28"/>
          <w:lang w:eastAsia="en-US"/>
        </w:rPr>
      </w:pPr>
      <w:r w:rsidRPr="00A2353C">
        <w:rPr>
          <w:rFonts w:eastAsia="Calibri"/>
          <w:sz w:val="28"/>
          <w:szCs w:val="28"/>
          <w:lang w:eastAsia="en-US"/>
        </w:rPr>
        <w:t>Исполнение мероприятия «Субсидии на обеспечение мероприятий по развитию жилищного строительства» в проверяемом периоде отсутствует</w:t>
      </w:r>
      <w:r>
        <w:rPr>
          <w:rFonts w:eastAsia="Calibri"/>
          <w:sz w:val="28"/>
          <w:szCs w:val="28"/>
          <w:lang w:eastAsia="en-US"/>
        </w:rPr>
        <w:t xml:space="preserve">. </w:t>
      </w:r>
    </w:p>
    <w:p w:rsidR="00C404B9" w:rsidRDefault="00C404B9" w:rsidP="00C404B9">
      <w:pPr>
        <w:pStyle w:val="Style2"/>
        <w:widowControl/>
        <w:shd w:val="clear" w:color="auto" w:fill="FFFFFF"/>
        <w:tabs>
          <w:tab w:val="left" w:pos="567"/>
          <w:tab w:val="left" w:pos="709"/>
        </w:tabs>
        <w:spacing w:line="240" w:lineRule="auto"/>
        <w:ind w:firstLine="708"/>
        <w:rPr>
          <w:rFonts w:eastAsia="Calibri"/>
          <w:sz w:val="28"/>
          <w:szCs w:val="28"/>
          <w:lang w:eastAsia="en-US"/>
        </w:rPr>
      </w:pPr>
      <w:r>
        <w:rPr>
          <w:rFonts w:eastAsia="Calibri"/>
          <w:sz w:val="28"/>
          <w:szCs w:val="28"/>
          <w:lang w:eastAsia="en-US"/>
        </w:rPr>
        <w:t>Невыполнение мероприятия</w:t>
      </w:r>
      <w:r w:rsidRPr="00A2353C">
        <w:rPr>
          <w:rFonts w:eastAsia="Calibri"/>
          <w:sz w:val="28"/>
          <w:szCs w:val="28"/>
          <w:lang w:eastAsia="en-US"/>
        </w:rPr>
        <w:t xml:space="preserve"> </w:t>
      </w:r>
      <w:r>
        <w:rPr>
          <w:rFonts w:eastAsia="Calibri"/>
          <w:sz w:val="28"/>
          <w:szCs w:val="28"/>
          <w:lang w:eastAsia="en-US"/>
        </w:rPr>
        <w:t>обусловлено:</w:t>
      </w:r>
    </w:p>
    <w:p w:rsidR="00C404B9" w:rsidRPr="00623AF8" w:rsidRDefault="00C404B9" w:rsidP="00C404B9">
      <w:pPr>
        <w:pStyle w:val="Style2"/>
        <w:widowControl/>
        <w:shd w:val="clear" w:color="auto" w:fill="FFFFFF"/>
        <w:tabs>
          <w:tab w:val="left" w:pos="567"/>
          <w:tab w:val="left" w:pos="709"/>
        </w:tabs>
        <w:spacing w:line="240" w:lineRule="auto"/>
        <w:ind w:firstLine="708"/>
        <w:rPr>
          <w:rFonts w:eastAsia="Calibri"/>
          <w:sz w:val="28"/>
          <w:szCs w:val="28"/>
          <w:lang w:eastAsia="en-US"/>
        </w:rPr>
      </w:pPr>
      <w:r w:rsidRPr="00623AF8">
        <w:rPr>
          <w:rFonts w:eastAsia="Calibri"/>
          <w:sz w:val="28"/>
          <w:szCs w:val="28"/>
          <w:lang w:eastAsia="en-US"/>
        </w:rPr>
        <w:t>- расторжением двух муниципальных контрактов, что привело к недостижению</w:t>
      </w:r>
      <w:r w:rsidRPr="00623AF8">
        <w:rPr>
          <w:sz w:val="28"/>
          <w:szCs w:val="28"/>
        </w:rPr>
        <w:t xml:space="preserve"> результата – приобретение 27 жилых помещений общей площадью 1 187,0 кв. м в с. </w:t>
      </w:r>
      <w:proofErr w:type="spellStart"/>
      <w:r w:rsidRPr="00623AF8">
        <w:rPr>
          <w:sz w:val="28"/>
          <w:szCs w:val="28"/>
        </w:rPr>
        <w:t>Сиреники</w:t>
      </w:r>
      <w:proofErr w:type="spellEnd"/>
      <w:r w:rsidRPr="00623AF8">
        <w:rPr>
          <w:sz w:val="28"/>
          <w:szCs w:val="28"/>
        </w:rPr>
        <w:t xml:space="preserve"> с целью переселения граждан из аварийного жилищного фонда к 1 декабря 2021 года. </w:t>
      </w:r>
      <w:r w:rsidRPr="00623AF8">
        <w:rPr>
          <w:rFonts w:eastAsia="Calibri"/>
          <w:sz w:val="28"/>
          <w:szCs w:val="28"/>
          <w:lang w:eastAsia="en-US"/>
        </w:rPr>
        <w:t xml:space="preserve">Перечисленные из окружного бюджета муниципальному образованию </w:t>
      </w:r>
      <w:proofErr w:type="spellStart"/>
      <w:r w:rsidRPr="00623AF8">
        <w:rPr>
          <w:rFonts w:eastAsia="Calibri"/>
          <w:sz w:val="28"/>
          <w:szCs w:val="28"/>
          <w:lang w:eastAsia="en-US"/>
        </w:rPr>
        <w:t>Провиденского</w:t>
      </w:r>
      <w:proofErr w:type="spellEnd"/>
      <w:r w:rsidRPr="00623AF8">
        <w:rPr>
          <w:rFonts w:eastAsia="Calibri"/>
          <w:sz w:val="28"/>
          <w:szCs w:val="28"/>
          <w:lang w:eastAsia="en-US"/>
        </w:rPr>
        <w:t xml:space="preserve"> городского округа средства субсидии в сумме 67 063,3 тыс. рублей в течение длительного времени (11 месяцев и 7 месяцев) не использовались;</w:t>
      </w:r>
    </w:p>
    <w:p w:rsidR="00C404B9" w:rsidRPr="00B90C67" w:rsidRDefault="00C404B9" w:rsidP="00C404B9">
      <w:pPr>
        <w:pStyle w:val="Style2"/>
        <w:widowControl/>
        <w:shd w:val="clear" w:color="auto" w:fill="FFFFFF"/>
        <w:tabs>
          <w:tab w:val="left" w:pos="567"/>
          <w:tab w:val="left" w:pos="709"/>
        </w:tabs>
        <w:spacing w:line="240" w:lineRule="auto"/>
        <w:ind w:firstLine="708"/>
        <w:rPr>
          <w:rFonts w:eastAsia="Calibri"/>
          <w:sz w:val="28"/>
          <w:szCs w:val="28"/>
          <w:lang w:eastAsia="en-US"/>
        </w:rPr>
      </w:pPr>
      <w:r w:rsidRPr="00623AF8">
        <w:rPr>
          <w:rFonts w:eastAsia="Calibri"/>
          <w:sz w:val="28"/>
          <w:szCs w:val="28"/>
          <w:lang w:eastAsia="en-US"/>
        </w:rPr>
        <w:t xml:space="preserve">- нарушением срока исполнения муниципального контракта на сумму 58 526,9 тыс. рублей, что привело к </w:t>
      </w:r>
      <w:r w:rsidRPr="00623AF8">
        <w:rPr>
          <w:sz w:val="28"/>
          <w:szCs w:val="28"/>
        </w:rPr>
        <w:t>недостижению результата – приобретение 7</w:t>
      </w:r>
      <w:r>
        <w:rPr>
          <w:sz w:val="28"/>
          <w:szCs w:val="28"/>
        </w:rPr>
        <w:t> </w:t>
      </w:r>
      <w:r w:rsidRPr="00623AF8">
        <w:rPr>
          <w:sz w:val="28"/>
          <w:szCs w:val="28"/>
        </w:rPr>
        <w:t>жилых помещений общей площадью 314,0 кв. м с целью переселения граждан из аварийного и непригодного для проживания жилищного фонда в селе</w:t>
      </w:r>
      <w:r w:rsidRPr="00B90C67">
        <w:rPr>
          <w:sz w:val="28"/>
          <w:szCs w:val="28"/>
        </w:rPr>
        <w:t xml:space="preserve"> </w:t>
      </w:r>
      <w:proofErr w:type="spellStart"/>
      <w:r w:rsidRPr="00B90C67">
        <w:rPr>
          <w:sz w:val="28"/>
          <w:szCs w:val="28"/>
        </w:rPr>
        <w:t>Янракы</w:t>
      </w:r>
      <w:r>
        <w:rPr>
          <w:sz w:val="28"/>
          <w:szCs w:val="28"/>
        </w:rPr>
        <w:t>н</w:t>
      </w:r>
      <w:r w:rsidRPr="00B90C67">
        <w:rPr>
          <w:sz w:val="28"/>
          <w:szCs w:val="28"/>
        </w:rPr>
        <w:t>нот</w:t>
      </w:r>
      <w:proofErr w:type="spellEnd"/>
      <w:r w:rsidRPr="00B90C67">
        <w:rPr>
          <w:sz w:val="28"/>
          <w:szCs w:val="28"/>
        </w:rPr>
        <w:t xml:space="preserve"> к 1 декабря 2021 года.  </w:t>
      </w:r>
    </w:p>
    <w:p w:rsidR="00C404B9" w:rsidRDefault="00C404B9" w:rsidP="00C404B9">
      <w:pPr>
        <w:autoSpaceDE w:val="0"/>
        <w:autoSpaceDN w:val="0"/>
        <w:adjustRightInd w:val="0"/>
        <w:ind w:firstLine="708"/>
        <w:jc w:val="both"/>
        <w:rPr>
          <w:sz w:val="28"/>
          <w:szCs w:val="28"/>
        </w:rPr>
      </w:pPr>
      <w:r w:rsidRPr="00F86A0E">
        <w:rPr>
          <w:sz w:val="28"/>
          <w:szCs w:val="28"/>
        </w:rPr>
        <w:t>Информация о достижении целевых показателей, предусмотренных в рамках реализации мероприятий подпрограммы «</w:t>
      </w:r>
      <w:r>
        <w:rPr>
          <w:sz w:val="28"/>
          <w:szCs w:val="28"/>
        </w:rPr>
        <w:t>Развитие жилищного строительства</w:t>
      </w:r>
      <w:r w:rsidRPr="00F86A0E">
        <w:rPr>
          <w:sz w:val="28"/>
          <w:szCs w:val="28"/>
        </w:rPr>
        <w:t>» с использованием средств окружного бюджета представлена в таблице №</w:t>
      </w:r>
      <w:r>
        <w:rPr>
          <w:sz w:val="28"/>
          <w:szCs w:val="28"/>
        </w:rPr>
        <w:t>5</w:t>
      </w:r>
      <w:r w:rsidRPr="00F86A0E">
        <w:rPr>
          <w:sz w:val="28"/>
          <w:szCs w:val="28"/>
        </w:rPr>
        <w:t>.</w:t>
      </w:r>
    </w:p>
    <w:p w:rsidR="00C404B9" w:rsidRDefault="00C404B9" w:rsidP="00C404B9">
      <w:pPr>
        <w:pStyle w:val="Style2"/>
        <w:widowControl/>
        <w:tabs>
          <w:tab w:val="left" w:pos="567"/>
          <w:tab w:val="left" w:pos="709"/>
        </w:tabs>
        <w:spacing w:line="240" w:lineRule="auto"/>
        <w:ind w:firstLine="708"/>
        <w:jc w:val="right"/>
        <w:rPr>
          <w:rFonts w:eastAsia="Calibri"/>
          <w:sz w:val="28"/>
          <w:szCs w:val="28"/>
          <w:lang w:eastAsia="en-US"/>
        </w:rPr>
      </w:pPr>
      <w:r>
        <w:rPr>
          <w:rFonts w:eastAsia="Calibri"/>
          <w:sz w:val="28"/>
          <w:szCs w:val="28"/>
          <w:lang w:eastAsia="en-US"/>
        </w:rPr>
        <w:t>Таблица №5</w:t>
      </w:r>
    </w:p>
    <w:p w:rsidR="00C404B9" w:rsidRDefault="00C404B9" w:rsidP="00C404B9">
      <w:pPr>
        <w:pStyle w:val="Style2"/>
        <w:widowControl/>
        <w:tabs>
          <w:tab w:val="left" w:pos="567"/>
          <w:tab w:val="left" w:pos="709"/>
        </w:tabs>
        <w:spacing w:line="240" w:lineRule="auto"/>
        <w:ind w:firstLine="708"/>
        <w:jc w:val="right"/>
        <w:rPr>
          <w:rFonts w:eastAsia="Calibri"/>
          <w:sz w:val="28"/>
          <w:szCs w:val="28"/>
          <w:lang w:eastAsia="en-US"/>
        </w:rPr>
      </w:pPr>
      <w:r w:rsidRPr="00B3109C">
        <w:rPr>
          <w:rFonts w:eastAsia="Calibri"/>
          <w:sz w:val="28"/>
          <w:szCs w:val="28"/>
          <w:lang w:eastAsia="en-US"/>
        </w:rPr>
        <w:t>(тыс. рублей)</w:t>
      </w:r>
    </w:p>
    <w:p w:rsidR="00C404B9" w:rsidRPr="000A00E9" w:rsidRDefault="00C404B9" w:rsidP="00C404B9">
      <w:pPr>
        <w:shd w:val="clear" w:color="auto" w:fill="FFFFFF"/>
        <w:autoSpaceDE w:val="0"/>
        <w:autoSpaceDN w:val="0"/>
        <w:adjustRightInd w:val="0"/>
        <w:jc w:val="both"/>
        <w:rPr>
          <w:sz w:val="10"/>
          <w:szCs w:val="28"/>
        </w:rPr>
      </w:pPr>
    </w:p>
    <w:tbl>
      <w:tblPr>
        <w:tblW w:w="0" w:type="auto"/>
        <w:tblInd w:w="113" w:type="dxa"/>
        <w:tblLayout w:type="fixed"/>
        <w:tblLook w:val="04A0" w:firstRow="1" w:lastRow="0" w:firstColumn="1" w:lastColumn="0" w:noHBand="0" w:noVBand="1"/>
      </w:tblPr>
      <w:tblGrid>
        <w:gridCol w:w="563"/>
        <w:gridCol w:w="4961"/>
        <w:gridCol w:w="850"/>
        <w:gridCol w:w="851"/>
        <w:gridCol w:w="850"/>
        <w:gridCol w:w="709"/>
        <w:gridCol w:w="850"/>
      </w:tblGrid>
      <w:tr w:rsidR="00C404B9" w:rsidRPr="00FB1452" w:rsidTr="00000E53">
        <w:trPr>
          <w:trHeight w:val="159"/>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04B9" w:rsidRDefault="00C404B9" w:rsidP="00000E53">
            <w:pPr>
              <w:ind w:left="-113" w:right="-104"/>
              <w:jc w:val="center"/>
              <w:rPr>
                <w:color w:val="000000"/>
                <w:sz w:val="18"/>
                <w:szCs w:val="18"/>
              </w:rPr>
            </w:pPr>
            <w:r w:rsidRPr="00FB1452">
              <w:rPr>
                <w:color w:val="000000"/>
                <w:sz w:val="18"/>
                <w:szCs w:val="18"/>
              </w:rPr>
              <w:t>№</w:t>
            </w:r>
          </w:p>
          <w:p w:rsidR="00C404B9" w:rsidRPr="00FB1452" w:rsidRDefault="00C404B9" w:rsidP="00000E53">
            <w:pPr>
              <w:ind w:left="-113" w:right="-104"/>
              <w:jc w:val="center"/>
              <w:rPr>
                <w:color w:val="000000"/>
                <w:sz w:val="18"/>
                <w:szCs w:val="18"/>
              </w:rPr>
            </w:pPr>
            <w:r w:rsidRPr="00FB1452">
              <w:rPr>
                <w:color w:val="000000"/>
                <w:sz w:val="18"/>
                <w:szCs w:val="18"/>
              </w:rPr>
              <w:t xml:space="preserve"> п/п</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04B9" w:rsidRPr="00FB1452" w:rsidRDefault="00C404B9" w:rsidP="00000E53">
            <w:pPr>
              <w:ind w:left="-109"/>
              <w:jc w:val="center"/>
              <w:rPr>
                <w:color w:val="000000"/>
                <w:sz w:val="18"/>
                <w:szCs w:val="18"/>
              </w:rPr>
            </w:pPr>
            <w:r w:rsidRPr="00FB1452">
              <w:rPr>
                <w:color w:val="000000"/>
                <w:sz w:val="18"/>
                <w:szCs w:val="18"/>
              </w:rPr>
              <w:t>наименование показателя (индикатора)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04B9" w:rsidRPr="00FB1452" w:rsidRDefault="00C404B9" w:rsidP="00000E53">
            <w:pPr>
              <w:ind w:left="-105" w:right="-106"/>
              <w:jc w:val="center"/>
              <w:rPr>
                <w:color w:val="000000"/>
                <w:sz w:val="18"/>
                <w:szCs w:val="18"/>
              </w:rPr>
            </w:pPr>
            <w:r w:rsidRPr="00FB1452">
              <w:rPr>
                <w:color w:val="000000"/>
                <w:sz w:val="18"/>
                <w:szCs w:val="18"/>
              </w:rPr>
              <w:t>ед. изм.</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2020</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2021</w:t>
            </w:r>
          </w:p>
        </w:tc>
      </w:tr>
      <w:tr w:rsidR="00C404B9" w:rsidRPr="00FB1452" w:rsidTr="00000E53">
        <w:trPr>
          <w:trHeight w:val="135"/>
          <w:tblHead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C404B9" w:rsidRPr="00FB1452" w:rsidRDefault="00C404B9" w:rsidP="00000E53">
            <w:pPr>
              <w:rPr>
                <w:color w:val="000000"/>
                <w:sz w:val="18"/>
                <w:szCs w:val="18"/>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C404B9" w:rsidRPr="00FB1452" w:rsidRDefault="00C404B9" w:rsidP="00000E53">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404B9" w:rsidRPr="00FB1452" w:rsidRDefault="00C404B9" w:rsidP="00000E53">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план</w:t>
            </w:r>
          </w:p>
        </w:tc>
        <w:tc>
          <w:tcPr>
            <w:tcW w:w="850"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факт</w:t>
            </w:r>
          </w:p>
        </w:tc>
        <w:tc>
          <w:tcPr>
            <w:tcW w:w="709"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ind w:left="-104" w:right="-65"/>
              <w:jc w:val="center"/>
              <w:rPr>
                <w:color w:val="000000"/>
                <w:sz w:val="18"/>
                <w:szCs w:val="18"/>
              </w:rPr>
            </w:pPr>
            <w:r w:rsidRPr="00FB1452">
              <w:rPr>
                <w:color w:val="000000"/>
                <w:sz w:val="18"/>
                <w:szCs w:val="18"/>
              </w:rPr>
              <w:t>план</w:t>
            </w:r>
          </w:p>
        </w:tc>
        <w:tc>
          <w:tcPr>
            <w:tcW w:w="850"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ind w:left="-160" w:right="-109"/>
              <w:jc w:val="center"/>
              <w:rPr>
                <w:color w:val="000000"/>
                <w:sz w:val="18"/>
                <w:szCs w:val="18"/>
              </w:rPr>
            </w:pPr>
            <w:r w:rsidRPr="00FB1452">
              <w:rPr>
                <w:color w:val="000000"/>
                <w:sz w:val="18"/>
                <w:szCs w:val="18"/>
              </w:rPr>
              <w:t>факт</w:t>
            </w:r>
          </w:p>
        </w:tc>
      </w:tr>
      <w:tr w:rsidR="00C404B9" w:rsidRPr="00FB1452" w:rsidTr="00000E53">
        <w:trPr>
          <w:trHeight w:val="56"/>
          <w:tblHeader/>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 1</w:t>
            </w:r>
          </w:p>
        </w:tc>
        <w:tc>
          <w:tcPr>
            <w:tcW w:w="4961"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2 </w:t>
            </w:r>
          </w:p>
        </w:tc>
        <w:tc>
          <w:tcPr>
            <w:tcW w:w="850"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3 </w:t>
            </w:r>
          </w:p>
        </w:tc>
        <w:tc>
          <w:tcPr>
            <w:tcW w:w="851"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 4</w:t>
            </w:r>
          </w:p>
        </w:tc>
        <w:tc>
          <w:tcPr>
            <w:tcW w:w="850"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5 </w:t>
            </w:r>
          </w:p>
        </w:tc>
        <w:tc>
          <w:tcPr>
            <w:tcW w:w="709"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 6</w:t>
            </w:r>
          </w:p>
        </w:tc>
        <w:tc>
          <w:tcPr>
            <w:tcW w:w="850"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 7</w:t>
            </w:r>
          </w:p>
        </w:tc>
      </w:tr>
      <w:tr w:rsidR="00C404B9" w:rsidRPr="00FB1452" w:rsidTr="00000E53">
        <w:trPr>
          <w:trHeight w:val="155"/>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1.</w:t>
            </w:r>
          </w:p>
        </w:tc>
        <w:tc>
          <w:tcPr>
            <w:tcW w:w="9071" w:type="dxa"/>
            <w:gridSpan w:val="6"/>
            <w:tcBorders>
              <w:top w:val="single" w:sz="4" w:space="0" w:color="auto"/>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b/>
                <w:bCs/>
                <w:color w:val="000000"/>
                <w:sz w:val="18"/>
                <w:szCs w:val="18"/>
              </w:rPr>
            </w:pPr>
            <w:r w:rsidRPr="00FB1452">
              <w:rPr>
                <w:b/>
                <w:bCs/>
                <w:color w:val="000000"/>
                <w:sz w:val="18"/>
                <w:szCs w:val="18"/>
              </w:rPr>
              <w:t>Государственная программа «Развитие жилищного строительства»</w:t>
            </w:r>
          </w:p>
        </w:tc>
      </w:tr>
      <w:tr w:rsidR="00C404B9" w:rsidRPr="00FB1452" w:rsidTr="00000E53">
        <w:trPr>
          <w:trHeight w:val="698"/>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1.1.</w:t>
            </w:r>
          </w:p>
        </w:tc>
        <w:tc>
          <w:tcPr>
            <w:tcW w:w="4961"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ind w:right="35"/>
              <w:jc w:val="both"/>
              <w:rPr>
                <w:color w:val="000000"/>
                <w:sz w:val="18"/>
                <w:szCs w:val="18"/>
              </w:rPr>
            </w:pPr>
            <w:r w:rsidRPr="00FB1452">
              <w:rPr>
                <w:color w:val="000000"/>
                <w:sz w:val="18"/>
                <w:szCs w:val="18"/>
              </w:rPr>
              <w:t>Удельный вес общей площади жилых помещений, предоставленных гражданам, состоящим на учете в качестве нуждающихся в улучшении жилищных условий, по отношению к общей площади жилищного фонд</w:t>
            </w:r>
          </w:p>
        </w:tc>
        <w:tc>
          <w:tcPr>
            <w:tcW w:w="850"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х</w:t>
            </w:r>
          </w:p>
        </w:tc>
        <w:tc>
          <w:tcPr>
            <w:tcW w:w="850"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0,03</w:t>
            </w:r>
          </w:p>
        </w:tc>
        <w:tc>
          <w:tcPr>
            <w:tcW w:w="850"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sz w:val="18"/>
                <w:szCs w:val="18"/>
              </w:rPr>
            </w:pPr>
            <w:r w:rsidRPr="00FB1452">
              <w:rPr>
                <w:sz w:val="18"/>
                <w:szCs w:val="18"/>
              </w:rPr>
              <w:t>0,14</w:t>
            </w:r>
          </w:p>
        </w:tc>
      </w:tr>
      <w:tr w:rsidR="00C404B9" w:rsidRPr="00FB1452" w:rsidTr="00000E53">
        <w:trPr>
          <w:trHeight w:val="167"/>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2.</w:t>
            </w:r>
          </w:p>
        </w:tc>
        <w:tc>
          <w:tcPr>
            <w:tcW w:w="9071" w:type="dxa"/>
            <w:gridSpan w:val="6"/>
            <w:tcBorders>
              <w:top w:val="single" w:sz="4" w:space="0" w:color="auto"/>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b/>
                <w:bCs/>
                <w:color w:val="000000"/>
                <w:sz w:val="18"/>
                <w:szCs w:val="18"/>
              </w:rPr>
            </w:pPr>
            <w:r w:rsidRPr="00FB1452">
              <w:rPr>
                <w:b/>
                <w:bCs/>
                <w:color w:val="000000"/>
                <w:sz w:val="18"/>
                <w:szCs w:val="18"/>
              </w:rPr>
              <w:t>Подпрограмма «Развитие жилищного строительства»</w:t>
            </w:r>
          </w:p>
        </w:tc>
      </w:tr>
      <w:tr w:rsidR="00C404B9" w:rsidRPr="00FB1452" w:rsidTr="00000E53">
        <w:trPr>
          <w:trHeight w:val="143"/>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2.1.</w:t>
            </w:r>
          </w:p>
        </w:tc>
        <w:tc>
          <w:tcPr>
            <w:tcW w:w="4961"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both"/>
              <w:rPr>
                <w:color w:val="000000"/>
                <w:sz w:val="18"/>
                <w:szCs w:val="18"/>
              </w:rPr>
            </w:pPr>
            <w:r w:rsidRPr="00FB1452">
              <w:rPr>
                <w:color w:val="000000"/>
                <w:sz w:val="18"/>
                <w:szCs w:val="18"/>
              </w:rPr>
              <w:t>Количество приобретенных у застройщиков квартир</w:t>
            </w:r>
          </w:p>
        </w:tc>
        <w:tc>
          <w:tcPr>
            <w:tcW w:w="850"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ед.</w:t>
            </w:r>
          </w:p>
        </w:tc>
        <w:tc>
          <w:tcPr>
            <w:tcW w:w="851"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х</w:t>
            </w:r>
          </w:p>
        </w:tc>
        <w:tc>
          <w:tcPr>
            <w:tcW w:w="850"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7</w:t>
            </w:r>
          </w:p>
        </w:tc>
        <w:tc>
          <w:tcPr>
            <w:tcW w:w="850"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0</w:t>
            </w:r>
          </w:p>
        </w:tc>
      </w:tr>
      <w:tr w:rsidR="00C404B9" w:rsidRPr="00FB1452" w:rsidTr="00000E53">
        <w:trPr>
          <w:trHeight w:val="317"/>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2.2.</w:t>
            </w:r>
          </w:p>
        </w:tc>
        <w:tc>
          <w:tcPr>
            <w:tcW w:w="4961"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both"/>
              <w:rPr>
                <w:color w:val="000000"/>
                <w:sz w:val="18"/>
                <w:szCs w:val="18"/>
              </w:rPr>
            </w:pPr>
            <w:r w:rsidRPr="00FB1452">
              <w:rPr>
                <w:color w:val="000000"/>
                <w:sz w:val="18"/>
                <w:szCs w:val="18"/>
              </w:rPr>
              <w:t>Объем жилищного строительства</w:t>
            </w:r>
          </w:p>
        </w:tc>
        <w:tc>
          <w:tcPr>
            <w:tcW w:w="850"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млн. м</w:t>
            </w:r>
            <w:r w:rsidRPr="00FB1452">
              <w:rPr>
                <w:color w:val="000000"/>
                <w:sz w:val="18"/>
                <w:szCs w:val="18"/>
                <w:vertAlign w:val="superscript"/>
              </w:rPr>
              <w:t>2</w:t>
            </w:r>
            <w:r w:rsidRPr="00FB1452">
              <w:rPr>
                <w:color w:val="00000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0,001</w:t>
            </w:r>
          </w:p>
        </w:tc>
        <w:tc>
          <w:tcPr>
            <w:tcW w:w="850"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0,0017</w:t>
            </w:r>
          </w:p>
        </w:tc>
        <w:tc>
          <w:tcPr>
            <w:tcW w:w="709"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0,001</w:t>
            </w:r>
          </w:p>
        </w:tc>
        <w:tc>
          <w:tcPr>
            <w:tcW w:w="850"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sz w:val="18"/>
                <w:szCs w:val="18"/>
              </w:rPr>
            </w:pPr>
            <w:r w:rsidRPr="00FB1452">
              <w:rPr>
                <w:sz w:val="18"/>
                <w:szCs w:val="18"/>
              </w:rPr>
              <w:t>0,0028</w:t>
            </w:r>
          </w:p>
        </w:tc>
      </w:tr>
      <w:tr w:rsidR="00C404B9" w:rsidRPr="00FB1452" w:rsidTr="00000E53">
        <w:trPr>
          <w:trHeight w:val="529"/>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2.3.</w:t>
            </w:r>
          </w:p>
        </w:tc>
        <w:tc>
          <w:tcPr>
            <w:tcW w:w="4961"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both"/>
              <w:rPr>
                <w:color w:val="000000"/>
                <w:sz w:val="18"/>
                <w:szCs w:val="18"/>
              </w:rPr>
            </w:pPr>
            <w:r w:rsidRPr="00FB1452">
              <w:rPr>
                <w:color w:val="000000"/>
                <w:sz w:val="18"/>
                <w:szCs w:val="18"/>
              </w:rPr>
              <w:t>Количество квартир, реализованных по цене за один квадратный метр не выше среднерыночной стоимости</w:t>
            </w:r>
          </w:p>
        </w:tc>
        <w:tc>
          <w:tcPr>
            <w:tcW w:w="850"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ед.</w:t>
            </w:r>
          </w:p>
        </w:tc>
        <w:tc>
          <w:tcPr>
            <w:tcW w:w="851"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х</w:t>
            </w:r>
          </w:p>
        </w:tc>
        <w:tc>
          <w:tcPr>
            <w:tcW w:w="850"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6</w:t>
            </w:r>
          </w:p>
        </w:tc>
        <w:tc>
          <w:tcPr>
            <w:tcW w:w="850" w:type="dxa"/>
            <w:tcBorders>
              <w:top w:val="nil"/>
              <w:left w:val="nil"/>
              <w:bottom w:val="single" w:sz="4" w:space="0" w:color="auto"/>
              <w:right w:val="single" w:sz="4" w:space="0" w:color="auto"/>
            </w:tcBorders>
            <w:shd w:val="clear" w:color="auto" w:fill="auto"/>
            <w:vAlign w:val="center"/>
            <w:hideMark/>
          </w:tcPr>
          <w:p w:rsidR="00C404B9" w:rsidRPr="00FB1452" w:rsidRDefault="00C404B9" w:rsidP="00000E53">
            <w:pPr>
              <w:jc w:val="center"/>
              <w:rPr>
                <w:color w:val="000000"/>
                <w:sz w:val="18"/>
                <w:szCs w:val="18"/>
              </w:rPr>
            </w:pPr>
            <w:r w:rsidRPr="00FB1452">
              <w:rPr>
                <w:color w:val="000000"/>
                <w:sz w:val="18"/>
                <w:szCs w:val="18"/>
              </w:rPr>
              <w:t>6</w:t>
            </w:r>
          </w:p>
        </w:tc>
      </w:tr>
    </w:tbl>
    <w:p w:rsidR="00C404B9" w:rsidRPr="00807F6D" w:rsidRDefault="00C404B9" w:rsidP="00C404B9">
      <w:pPr>
        <w:ind w:left="57" w:right="57" w:firstLine="651"/>
        <w:jc w:val="both"/>
        <w:rPr>
          <w:sz w:val="16"/>
          <w:szCs w:val="16"/>
        </w:rPr>
      </w:pPr>
    </w:p>
    <w:p w:rsidR="00C404B9" w:rsidRDefault="00C404B9" w:rsidP="00C404B9">
      <w:pPr>
        <w:ind w:left="57" w:right="57" w:firstLine="651"/>
        <w:jc w:val="both"/>
        <w:rPr>
          <w:sz w:val="28"/>
          <w:szCs w:val="28"/>
        </w:rPr>
      </w:pPr>
      <w:r>
        <w:rPr>
          <w:sz w:val="28"/>
          <w:szCs w:val="28"/>
        </w:rPr>
        <w:t>П</w:t>
      </w:r>
      <w:r w:rsidRPr="00F00126">
        <w:rPr>
          <w:sz w:val="28"/>
          <w:szCs w:val="28"/>
        </w:rPr>
        <w:t xml:space="preserve">о </w:t>
      </w:r>
      <w:r>
        <w:rPr>
          <w:sz w:val="28"/>
          <w:szCs w:val="28"/>
        </w:rPr>
        <w:t>данным ответственного исполнителя Подпрограммы за 2020 и</w:t>
      </w:r>
      <w:r w:rsidRPr="00F00126">
        <w:rPr>
          <w:sz w:val="28"/>
          <w:szCs w:val="28"/>
        </w:rPr>
        <w:t xml:space="preserve"> 2021 год</w:t>
      </w:r>
      <w:r>
        <w:rPr>
          <w:sz w:val="28"/>
          <w:szCs w:val="28"/>
        </w:rPr>
        <w:t>ы</w:t>
      </w:r>
      <w:r w:rsidRPr="00F00126">
        <w:rPr>
          <w:sz w:val="28"/>
          <w:szCs w:val="28"/>
        </w:rPr>
        <w:t xml:space="preserve"> дости</w:t>
      </w:r>
      <w:r>
        <w:rPr>
          <w:sz w:val="28"/>
          <w:szCs w:val="28"/>
        </w:rPr>
        <w:t xml:space="preserve">гнуты 3 из 4 целевых показателей. </w:t>
      </w:r>
    </w:p>
    <w:p w:rsidR="00C404B9" w:rsidRDefault="00C404B9" w:rsidP="00C404B9">
      <w:pPr>
        <w:ind w:left="57" w:right="57" w:firstLine="651"/>
        <w:jc w:val="both"/>
        <w:rPr>
          <w:sz w:val="28"/>
          <w:szCs w:val="28"/>
        </w:rPr>
      </w:pPr>
      <w:r>
        <w:rPr>
          <w:sz w:val="28"/>
          <w:szCs w:val="28"/>
        </w:rPr>
        <w:t>Целевой п</w:t>
      </w:r>
      <w:r w:rsidRPr="00F00126">
        <w:rPr>
          <w:sz w:val="28"/>
          <w:szCs w:val="28"/>
        </w:rPr>
        <w:t>оказател</w:t>
      </w:r>
      <w:r>
        <w:rPr>
          <w:sz w:val="28"/>
          <w:szCs w:val="28"/>
        </w:rPr>
        <w:t>ь</w:t>
      </w:r>
      <w:r w:rsidRPr="00F00126">
        <w:rPr>
          <w:sz w:val="28"/>
          <w:szCs w:val="28"/>
        </w:rPr>
        <w:t xml:space="preserve"> </w:t>
      </w:r>
      <w:r>
        <w:rPr>
          <w:sz w:val="28"/>
          <w:szCs w:val="28"/>
        </w:rPr>
        <w:t xml:space="preserve">Подпрограммы «Объем жилищного строительства», являющийся одновременно показателем </w:t>
      </w:r>
      <w:r w:rsidRPr="00F00126">
        <w:rPr>
          <w:sz w:val="28"/>
          <w:szCs w:val="28"/>
        </w:rPr>
        <w:t xml:space="preserve">результативности </w:t>
      </w:r>
      <w:r>
        <w:rPr>
          <w:sz w:val="28"/>
          <w:szCs w:val="28"/>
        </w:rPr>
        <w:t>Р</w:t>
      </w:r>
      <w:r w:rsidRPr="00F00126">
        <w:rPr>
          <w:sz w:val="28"/>
          <w:szCs w:val="28"/>
        </w:rPr>
        <w:t>егионального проекта</w:t>
      </w:r>
      <w:r>
        <w:rPr>
          <w:sz w:val="28"/>
          <w:szCs w:val="28"/>
        </w:rPr>
        <w:t xml:space="preserve"> «Жилье» –</w:t>
      </w:r>
      <w:r w:rsidRPr="00F00126">
        <w:rPr>
          <w:sz w:val="28"/>
          <w:szCs w:val="28"/>
        </w:rPr>
        <w:t xml:space="preserve"> «Увеличение объема жилищного строительства не менее чем до </w:t>
      </w:r>
      <w:r>
        <w:rPr>
          <w:sz w:val="28"/>
          <w:szCs w:val="28"/>
        </w:rPr>
        <w:t>0,00</w:t>
      </w:r>
      <w:r w:rsidRPr="00F00126">
        <w:rPr>
          <w:sz w:val="28"/>
          <w:szCs w:val="28"/>
        </w:rPr>
        <w:t>12 млн.</w:t>
      </w:r>
      <w:r>
        <w:rPr>
          <w:sz w:val="28"/>
          <w:szCs w:val="28"/>
        </w:rPr>
        <w:t xml:space="preserve"> </w:t>
      </w:r>
      <w:r w:rsidRPr="00F00126">
        <w:rPr>
          <w:sz w:val="28"/>
          <w:szCs w:val="28"/>
        </w:rPr>
        <w:t>кв. метров в год»</w:t>
      </w:r>
      <w:r>
        <w:rPr>
          <w:sz w:val="28"/>
          <w:szCs w:val="28"/>
        </w:rPr>
        <w:t xml:space="preserve">, </w:t>
      </w:r>
      <w:r w:rsidRPr="00F00126">
        <w:rPr>
          <w:sz w:val="28"/>
          <w:szCs w:val="28"/>
        </w:rPr>
        <w:t>состав</w:t>
      </w:r>
      <w:r>
        <w:rPr>
          <w:sz w:val="28"/>
          <w:szCs w:val="28"/>
        </w:rPr>
        <w:t>ил в 2020 и 2021 годах</w:t>
      </w:r>
      <w:r w:rsidRPr="00F00126">
        <w:rPr>
          <w:sz w:val="28"/>
          <w:szCs w:val="28"/>
        </w:rPr>
        <w:t xml:space="preserve"> </w:t>
      </w:r>
      <w:r>
        <w:rPr>
          <w:sz w:val="28"/>
          <w:szCs w:val="28"/>
        </w:rPr>
        <w:t xml:space="preserve">170% и </w:t>
      </w:r>
      <w:r w:rsidRPr="00F00126">
        <w:rPr>
          <w:sz w:val="28"/>
          <w:szCs w:val="28"/>
        </w:rPr>
        <w:t>280%</w:t>
      </w:r>
      <w:r>
        <w:rPr>
          <w:sz w:val="28"/>
          <w:szCs w:val="28"/>
        </w:rPr>
        <w:t xml:space="preserve"> соответственно</w:t>
      </w:r>
      <w:r w:rsidRPr="00F00126">
        <w:rPr>
          <w:sz w:val="28"/>
          <w:szCs w:val="28"/>
        </w:rPr>
        <w:t xml:space="preserve">. При этом, в </w:t>
      </w:r>
      <w:r>
        <w:rPr>
          <w:sz w:val="28"/>
          <w:szCs w:val="28"/>
        </w:rPr>
        <w:t>проверяемом</w:t>
      </w:r>
      <w:r w:rsidRPr="00F00126">
        <w:rPr>
          <w:sz w:val="28"/>
          <w:szCs w:val="28"/>
        </w:rPr>
        <w:t xml:space="preserve"> периоде осуществлялось только авансирование </w:t>
      </w:r>
      <w:r>
        <w:rPr>
          <w:sz w:val="28"/>
          <w:szCs w:val="28"/>
        </w:rPr>
        <w:t>застройщи</w:t>
      </w:r>
      <w:r w:rsidRPr="00F00126">
        <w:rPr>
          <w:sz w:val="28"/>
          <w:szCs w:val="28"/>
        </w:rPr>
        <w:t xml:space="preserve">ков по заключенным контрактам. </w:t>
      </w:r>
    </w:p>
    <w:p w:rsidR="00C404B9" w:rsidRDefault="00C404B9" w:rsidP="00C404B9">
      <w:pPr>
        <w:autoSpaceDE w:val="0"/>
        <w:autoSpaceDN w:val="0"/>
        <w:adjustRightInd w:val="0"/>
        <w:ind w:firstLine="708"/>
        <w:jc w:val="both"/>
        <w:rPr>
          <w:sz w:val="28"/>
          <w:szCs w:val="28"/>
        </w:rPr>
      </w:pPr>
      <w:r>
        <w:rPr>
          <w:sz w:val="28"/>
          <w:szCs w:val="28"/>
        </w:rPr>
        <w:t>Установленный в Подпрограмме и Региональном проекте «Жилье» п</w:t>
      </w:r>
      <w:r w:rsidRPr="00F00126">
        <w:rPr>
          <w:sz w:val="28"/>
          <w:szCs w:val="28"/>
        </w:rPr>
        <w:t xml:space="preserve">оказатель </w:t>
      </w:r>
      <w:r>
        <w:rPr>
          <w:sz w:val="28"/>
          <w:szCs w:val="28"/>
        </w:rPr>
        <w:t xml:space="preserve">«Объем жилищного строительства» представляет собой общую площадь жилых помещений во введенных в эксплуатацию жилых и нежилых зданиях, жилых домах, которая определяется как сумма площадей всех частей жилых помещений,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площадей лоджий, балконов, веранд, террас, подсчитываемых с соответствующими понижающими коэффициентами, </w:t>
      </w:r>
      <w:r w:rsidRPr="00D04215">
        <w:rPr>
          <w:sz w:val="28"/>
          <w:szCs w:val="28"/>
        </w:rPr>
        <w:t xml:space="preserve">а также жилых и подсобных помещений в построенных населением индивидуальных жилых домах на территории округа, отражаемый в форме федерального статистического наблюдения </w:t>
      </w:r>
      <w:hyperlink r:id="rId30" w:history="1">
        <w:r>
          <w:rPr>
            <w:sz w:val="28"/>
            <w:szCs w:val="28"/>
          </w:rPr>
          <w:t>№</w:t>
        </w:r>
        <w:r w:rsidRPr="00D04215">
          <w:rPr>
            <w:sz w:val="28"/>
            <w:szCs w:val="28"/>
          </w:rPr>
          <w:t>С-1</w:t>
        </w:r>
      </w:hyperlink>
      <w:r w:rsidRPr="00D04215">
        <w:rPr>
          <w:sz w:val="28"/>
          <w:szCs w:val="28"/>
        </w:rPr>
        <w:t xml:space="preserve"> </w:t>
      </w:r>
      <w:r>
        <w:rPr>
          <w:sz w:val="28"/>
          <w:szCs w:val="28"/>
        </w:rPr>
        <w:t>«</w:t>
      </w:r>
      <w:r w:rsidRPr="00D04215">
        <w:rPr>
          <w:sz w:val="28"/>
          <w:szCs w:val="28"/>
        </w:rPr>
        <w:t>Сведения о вводе в эксплуатацию зданий и сооружений</w:t>
      </w:r>
      <w:r>
        <w:rPr>
          <w:sz w:val="28"/>
          <w:szCs w:val="28"/>
        </w:rPr>
        <w:t>»</w:t>
      </w:r>
      <w:r w:rsidRPr="00D04215">
        <w:rPr>
          <w:sz w:val="28"/>
          <w:szCs w:val="28"/>
        </w:rPr>
        <w:t xml:space="preserve"> и </w:t>
      </w:r>
      <w:hyperlink r:id="rId31" w:history="1">
        <w:r>
          <w:rPr>
            <w:sz w:val="28"/>
            <w:szCs w:val="28"/>
          </w:rPr>
          <w:t>№</w:t>
        </w:r>
        <w:r w:rsidRPr="00D04215">
          <w:rPr>
            <w:sz w:val="28"/>
            <w:szCs w:val="28"/>
          </w:rPr>
          <w:t>ИЖС</w:t>
        </w:r>
      </w:hyperlink>
      <w:r w:rsidRPr="00D04215">
        <w:rPr>
          <w:sz w:val="28"/>
          <w:szCs w:val="28"/>
        </w:rPr>
        <w:t xml:space="preserve"> </w:t>
      </w:r>
      <w:r>
        <w:rPr>
          <w:sz w:val="28"/>
          <w:szCs w:val="28"/>
        </w:rPr>
        <w:t>«</w:t>
      </w:r>
      <w:r w:rsidRPr="00D04215">
        <w:rPr>
          <w:sz w:val="28"/>
          <w:szCs w:val="28"/>
        </w:rPr>
        <w:t>Сведения о построенных населением жилых домах</w:t>
      </w:r>
      <w:r>
        <w:rPr>
          <w:sz w:val="28"/>
          <w:szCs w:val="28"/>
        </w:rPr>
        <w:t>»</w:t>
      </w:r>
      <w:r w:rsidRPr="00D04215">
        <w:rPr>
          <w:sz w:val="28"/>
          <w:szCs w:val="28"/>
        </w:rPr>
        <w:t xml:space="preserve"> (утверждены приказом Росстата от 15 июля 2020 г</w:t>
      </w:r>
      <w:r>
        <w:rPr>
          <w:sz w:val="28"/>
          <w:szCs w:val="28"/>
        </w:rPr>
        <w:t>ода №</w:t>
      </w:r>
      <w:r w:rsidRPr="00D04215">
        <w:rPr>
          <w:sz w:val="28"/>
          <w:szCs w:val="28"/>
        </w:rPr>
        <w:t>383), который</w:t>
      </w:r>
      <w:r w:rsidRPr="00F00126">
        <w:rPr>
          <w:sz w:val="28"/>
          <w:szCs w:val="28"/>
        </w:rPr>
        <w:t xml:space="preserve"> не взаимоувязан с</w:t>
      </w:r>
      <w:r>
        <w:rPr>
          <w:sz w:val="28"/>
          <w:szCs w:val="28"/>
        </w:rPr>
        <w:t xml:space="preserve"> объемами финансирования мероприятий при </w:t>
      </w:r>
      <w:r w:rsidRPr="00F00126">
        <w:rPr>
          <w:sz w:val="28"/>
          <w:szCs w:val="28"/>
        </w:rPr>
        <w:t>реализаци</w:t>
      </w:r>
      <w:r>
        <w:rPr>
          <w:sz w:val="28"/>
          <w:szCs w:val="28"/>
        </w:rPr>
        <w:t>и</w:t>
      </w:r>
      <w:r w:rsidRPr="00F00126">
        <w:rPr>
          <w:sz w:val="28"/>
          <w:szCs w:val="28"/>
        </w:rPr>
        <w:t xml:space="preserve"> </w:t>
      </w:r>
      <w:r>
        <w:rPr>
          <w:sz w:val="28"/>
          <w:szCs w:val="28"/>
        </w:rPr>
        <w:t>Р</w:t>
      </w:r>
      <w:r w:rsidRPr="00F00126">
        <w:rPr>
          <w:sz w:val="28"/>
          <w:szCs w:val="28"/>
        </w:rPr>
        <w:t>егионального проекта</w:t>
      </w:r>
      <w:r>
        <w:rPr>
          <w:sz w:val="28"/>
          <w:szCs w:val="28"/>
        </w:rPr>
        <w:t xml:space="preserve"> «Жилье» и Государственной программой №316</w:t>
      </w:r>
      <w:r w:rsidRPr="00F00126">
        <w:rPr>
          <w:sz w:val="28"/>
          <w:szCs w:val="28"/>
        </w:rPr>
        <w:t>.</w:t>
      </w:r>
      <w:r>
        <w:rPr>
          <w:sz w:val="28"/>
          <w:szCs w:val="28"/>
        </w:rPr>
        <w:t xml:space="preserve"> </w:t>
      </w:r>
    </w:p>
    <w:p w:rsidR="00C404B9" w:rsidRDefault="00C404B9" w:rsidP="00C404B9">
      <w:pPr>
        <w:autoSpaceDE w:val="0"/>
        <w:autoSpaceDN w:val="0"/>
        <w:adjustRightInd w:val="0"/>
        <w:ind w:firstLine="708"/>
        <w:jc w:val="both"/>
        <w:rPr>
          <w:sz w:val="28"/>
          <w:szCs w:val="28"/>
        </w:rPr>
      </w:pPr>
      <w:r>
        <w:rPr>
          <w:sz w:val="28"/>
          <w:szCs w:val="28"/>
        </w:rPr>
        <w:t xml:space="preserve">Формирование показателя «Объем жилищного строительства» осуществляется в целом по юридическим лицам (организациям-застройщикам), которым выдано разрешение на ввод объектов капитального строительства в эксплуатацию или уведомление о соответствии построенного или реконструированного объекта индивидуального жилищного строительства требованиям законодательства о градостроительной деятельности (при строительстве индивидуальных жилых домов). Указанные сведения </w:t>
      </w:r>
      <w:r>
        <w:rPr>
          <w:sz w:val="28"/>
          <w:szCs w:val="28"/>
        </w:rPr>
        <w:lastRenderedPageBreak/>
        <w:t>предоставляются органами местного самоуправления в рамках информационного взаимодействия</w:t>
      </w:r>
      <w:r>
        <w:rPr>
          <w:rStyle w:val="ab"/>
          <w:sz w:val="28"/>
          <w:szCs w:val="28"/>
        </w:rPr>
        <w:footnoteReference w:id="191"/>
      </w:r>
      <w:r>
        <w:rPr>
          <w:sz w:val="28"/>
          <w:szCs w:val="28"/>
        </w:rPr>
        <w:t>.</w:t>
      </w:r>
    </w:p>
    <w:p w:rsidR="00C404B9" w:rsidRPr="00623AF8" w:rsidRDefault="00C404B9" w:rsidP="00C404B9">
      <w:pPr>
        <w:autoSpaceDE w:val="0"/>
        <w:autoSpaceDN w:val="0"/>
        <w:adjustRightInd w:val="0"/>
        <w:ind w:firstLine="708"/>
        <w:jc w:val="both"/>
        <w:rPr>
          <w:sz w:val="28"/>
          <w:szCs w:val="28"/>
        </w:rPr>
      </w:pPr>
      <w:r>
        <w:rPr>
          <w:sz w:val="28"/>
          <w:szCs w:val="28"/>
        </w:rPr>
        <w:t xml:space="preserve">Так, ввод жилья в 2020 году в объеме </w:t>
      </w:r>
      <w:r w:rsidRPr="00623AF8">
        <w:rPr>
          <w:sz w:val="28"/>
          <w:szCs w:val="28"/>
        </w:rPr>
        <w:t>1,7 тыс. кв. м сложился за счет ввода следующих многоквартирных домов (далее – МКД), в том числе:</w:t>
      </w:r>
    </w:p>
    <w:p w:rsidR="00C404B9" w:rsidRPr="00623AF8" w:rsidRDefault="00C404B9" w:rsidP="00C404B9">
      <w:pPr>
        <w:autoSpaceDE w:val="0"/>
        <w:autoSpaceDN w:val="0"/>
        <w:adjustRightInd w:val="0"/>
        <w:ind w:firstLine="708"/>
        <w:jc w:val="both"/>
        <w:rPr>
          <w:sz w:val="28"/>
          <w:szCs w:val="28"/>
        </w:rPr>
      </w:pPr>
      <w:r w:rsidRPr="00623AF8">
        <w:rPr>
          <w:sz w:val="28"/>
          <w:szCs w:val="28"/>
        </w:rPr>
        <w:t>- 0,6 тыс. кв. м – 11 квартир в МКД, расположенных в п. Угольные Копи по ул. Первомайская, д.15 (Анадырский муниципальный район);</w:t>
      </w:r>
    </w:p>
    <w:p w:rsidR="00C404B9" w:rsidRPr="00623AF8" w:rsidRDefault="00C404B9" w:rsidP="00C404B9">
      <w:pPr>
        <w:autoSpaceDE w:val="0"/>
        <w:autoSpaceDN w:val="0"/>
        <w:adjustRightInd w:val="0"/>
        <w:ind w:firstLine="708"/>
        <w:jc w:val="both"/>
        <w:rPr>
          <w:sz w:val="28"/>
          <w:szCs w:val="28"/>
        </w:rPr>
      </w:pPr>
      <w:r w:rsidRPr="00623AF8">
        <w:rPr>
          <w:sz w:val="28"/>
          <w:szCs w:val="28"/>
        </w:rPr>
        <w:t>- 0,7 тыс. кв. м – 14 квартир в МКД, расположенных в п. Канчалан по ул. Школьная, д.18 (Анадырский муниципальный район);</w:t>
      </w:r>
    </w:p>
    <w:p w:rsidR="00C404B9" w:rsidRPr="00623AF8" w:rsidRDefault="00C404B9" w:rsidP="00C404B9">
      <w:pPr>
        <w:autoSpaceDE w:val="0"/>
        <w:autoSpaceDN w:val="0"/>
        <w:adjustRightInd w:val="0"/>
        <w:ind w:firstLine="708"/>
        <w:jc w:val="both"/>
        <w:rPr>
          <w:sz w:val="28"/>
          <w:szCs w:val="28"/>
        </w:rPr>
      </w:pPr>
      <w:r w:rsidRPr="00623AF8">
        <w:rPr>
          <w:sz w:val="28"/>
          <w:szCs w:val="28"/>
        </w:rPr>
        <w:t xml:space="preserve">- 0,4 тыс. кв. м – 6 квартир в МКД, расположенных в с. </w:t>
      </w:r>
      <w:proofErr w:type="spellStart"/>
      <w:r w:rsidRPr="00623AF8">
        <w:rPr>
          <w:sz w:val="28"/>
          <w:szCs w:val="28"/>
        </w:rPr>
        <w:t>Анюйск</w:t>
      </w:r>
      <w:proofErr w:type="spellEnd"/>
      <w:r w:rsidRPr="00623AF8">
        <w:rPr>
          <w:sz w:val="28"/>
          <w:szCs w:val="28"/>
        </w:rPr>
        <w:t xml:space="preserve"> по ул. Полярная, д.11 (</w:t>
      </w:r>
      <w:proofErr w:type="spellStart"/>
      <w:r w:rsidRPr="00623AF8">
        <w:rPr>
          <w:sz w:val="28"/>
          <w:szCs w:val="28"/>
        </w:rPr>
        <w:t>Билибинский</w:t>
      </w:r>
      <w:proofErr w:type="spellEnd"/>
      <w:r w:rsidRPr="00623AF8">
        <w:rPr>
          <w:sz w:val="28"/>
          <w:szCs w:val="28"/>
        </w:rPr>
        <w:t xml:space="preserve"> муниципальный район).</w:t>
      </w:r>
    </w:p>
    <w:p w:rsidR="00C404B9" w:rsidRDefault="00C404B9" w:rsidP="00C404B9">
      <w:pPr>
        <w:autoSpaceDE w:val="0"/>
        <w:autoSpaceDN w:val="0"/>
        <w:adjustRightInd w:val="0"/>
        <w:jc w:val="both"/>
        <w:rPr>
          <w:sz w:val="28"/>
          <w:szCs w:val="28"/>
        </w:rPr>
      </w:pPr>
      <w:r w:rsidRPr="00623AF8">
        <w:rPr>
          <w:sz w:val="28"/>
          <w:szCs w:val="28"/>
        </w:rPr>
        <w:tab/>
        <w:t>В 2021 году ввод жилья в объеме 2,84 тыс. кв.</w:t>
      </w:r>
      <w:r>
        <w:rPr>
          <w:sz w:val="28"/>
          <w:szCs w:val="28"/>
        </w:rPr>
        <w:t xml:space="preserve"> м сложился за счет ввода следующих МКД и ИЖС, в том числе:</w:t>
      </w:r>
    </w:p>
    <w:p w:rsidR="00C404B9" w:rsidRDefault="00C404B9" w:rsidP="00C404B9">
      <w:pPr>
        <w:autoSpaceDE w:val="0"/>
        <w:autoSpaceDN w:val="0"/>
        <w:adjustRightInd w:val="0"/>
        <w:ind w:firstLine="708"/>
        <w:jc w:val="both"/>
        <w:rPr>
          <w:sz w:val="28"/>
          <w:szCs w:val="28"/>
        </w:rPr>
      </w:pPr>
      <w:r>
        <w:rPr>
          <w:sz w:val="28"/>
          <w:szCs w:val="28"/>
        </w:rPr>
        <w:t>- 1,89 тыс. кв. м – 33 квартиры в 3-х МКД, расположенных в п. Угольные Копи по ул. Первомайская</w:t>
      </w:r>
      <w:r w:rsidRPr="00FB1452">
        <w:rPr>
          <w:sz w:val="28"/>
          <w:szCs w:val="28"/>
        </w:rPr>
        <w:t xml:space="preserve">, д. 16,17,18 </w:t>
      </w:r>
      <w:r>
        <w:rPr>
          <w:sz w:val="28"/>
          <w:szCs w:val="28"/>
        </w:rPr>
        <w:t>(Анадырский муниципальный район);</w:t>
      </w:r>
    </w:p>
    <w:p w:rsidR="00C404B9" w:rsidRDefault="00C404B9" w:rsidP="00C404B9">
      <w:pPr>
        <w:autoSpaceDE w:val="0"/>
        <w:autoSpaceDN w:val="0"/>
        <w:adjustRightInd w:val="0"/>
        <w:ind w:firstLine="708"/>
        <w:jc w:val="both"/>
        <w:rPr>
          <w:sz w:val="28"/>
          <w:szCs w:val="28"/>
        </w:rPr>
      </w:pPr>
      <w:r>
        <w:rPr>
          <w:sz w:val="28"/>
          <w:szCs w:val="28"/>
        </w:rPr>
        <w:t xml:space="preserve">- 0,67 тыс. кв. м – 14 квартир в 2-х МКД, расположенных в с. Лаврентия по ул. Дежнева, д.10,10а (Чукотский муниципальный район); </w:t>
      </w:r>
    </w:p>
    <w:p w:rsidR="00C404B9" w:rsidRDefault="00C404B9" w:rsidP="00C404B9">
      <w:pPr>
        <w:autoSpaceDE w:val="0"/>
        <w:autoSpaceDN w:val="0"/>
        <w:adjustRightInd w:val="0"/>
        <w:jc w:val="both"/>
        <w:rPr>
          <w:sz w:val="28"/>
          <w:szCs w:val="28"/>
        </w:rPr>
      </w:pPr>
      <w:r>
        <w:rPr>
          <w:sz w:val="28"/>
          <w:szCs w:val="28"/>
        </w:rPr>
        <w:tab/>
        <w:t xml:space="preserve">- 0,27 тыс. кв. м – два дома ИЖС (городской округ </w:t>
      </w:r>
      <w:proofErr w:type="spellStart"/>
      <w:r>
        <w:rPr>
          <w:sz w:val="28"/>
          <w:szCs w:val="28"/>
        </w:rPr>
        <w:t>Эгвекинот</w:t>
      </w:r>
      <w:proofErr w:type="spellEnd"/>
      <w:r>
        <w:rPr>
          <w:sz w:val="28"/>
          <w:szCs w:val="28"/>
        </w:rPr>
        <w:t xml:space="preserve">). </w:t>
      </w:r>
    </w:p>
    <w:p w:rsidR="00C404B9" w:rsidRPr="00F00126" w:rsidRDefault="00C404B9" w:rsidP="00C404B9">
      <w:pPr>
        <w:autoSpaceDE w:val="0"/>
        <w:autoSpaceDN w:val="0"/>
        <w:adjustRightInd w:val="0"/>
        <w:ind w:firstLine="708"/>
        <w:jc w:val="both"/>
        <w:rPr>
          <w:sz w:val="28"/>
          <w:szCs w:val="28"/>
        </w:rPr>
      </w:pPr>
      <w:r>
        <w:rPr>
          <w:sz w:val="28"/>
          <w:szCs w:val="28"/>
        </w:rPr>
        <w:t xml:space="preserve">Таким образом, в ходе проверки установлено, что достижение целевого показателя «Объем жилищного строительства» в 2020 и 2021 году сложилось фактически с использованием бюджетных средств на реализацию мероприятий других программ, не взаимоувязанных с Государственной программой «Развитие жилищного строительства». </w:t>
      </w:r>
    </w:p>
    <w:p w:rsidR="00C404B9" w:rsidRPr="00A4287B" w:rsidRDefault="00C404B9" w:rsidP="00C404B9">
      <w:pPr>
        <w:shd w:val="clear" w:color="auto" w:fill="FFFFFF"/>
        <w:ind w:firstLine="708"/>
        <w:jc w:val="both"/>
        <w:rPr>
          <w:sz w:val="28"/>
          <w:szCs w:val="28"/>
        </w:rPr>
      </w:pPr>
      <w:r>
        <w:rPr>
          <w:sz w:val="28"/>
          <w:szCs w:val="28"/>
        </w:rPr>
        <w:t xml:space="preserve">В проверяемом периоде (2021 год реализации мероприятия) – не приобретены планируемые жилые помещения для </w:t>
      </w:r>
      <w:r w:rsidRPr="00A4287B">
        <w:rPr>
          <w:sz w:val="28"/>
          <w:szCs w:val="28"/>
        </w:rPr>
        <w:t xml:space="preserve">переселения 34 семей из 1,7574 тыс. кв. м аварийного жилья, в том числе: </w:t>
      </w:r>
    </w:p>
    <w:p w:rsidR="00C404B9" w:rsidRPr="00A4287B" w:rsidRDefault="00C404B9" w:rsidP="00C404B9">
      <w:pPr>
        <w:shd w:val="clear" w:color="auto" w:fill="FFFFFF"/>
        <w:ind w:firstLine="708"/>
        <w:jc w:val="both"/>
        <w:rPr>
          <w:sz w:val="28"/>
          <w:szCs w:val="28"/>
        </w:rPr>
      </w:pPr>
      <w:r w:rsidRPr="00A4287B">
        <w:rPr>
          <w:sz w:val="28"/>
          <w:szCs w:val="28"/>
        </w:rPr>
        <w:t>-</w:t>
      </w:r>
      <w:r>
        <w:rPr>
          <w:sz w:val="28"/>
          <w:szCs w:val="28"/>
        </w:rPr>
        <w:t> </w:t>
      </w:r>
      <w:r w:rsidRPr="00A4287B">
        <w:rPr>
          <w:sz w:val="28"/>
          <w:szCs w:val="28"/>
        </w:rPr>
        <w:t>27 семей с общей площади аварийного жилья 1,5104 тыс.</w:t>
      </w:r>
      <w:r>
        <w:rPr>
          <w:sz w:val="28"/>
          <w:szCs w:val="28"/>
        </w:rPr>
        <w:t> </w:t>
      </w:r>
      <w:r w:rsidRPr="00A4287B">
        <w:rPr>
          <w:sz w:val="28"/>
          <w:szCs w:val="28"/>
        </w:rPr>
        <w:t>кв.</w:t>
      </w:r>
      <w:r>
        <w:rPr>
          <w:sz w:val="28"/>
          <w:szCs w:val="28"/>
        </w:rPr>
        <w:t> </w:t>
      </w:r>
      <w:r w:rsidRPr="00A4287B">
        <w:rPr>
          <w:sz w:val="28"/>
          <w:szCs w:val="28"/>
        </w:rPr>
        <w:t>м (с.</w:t>
      </w:r>
      <w:r>
        <w:rPr>
          <w:sz w:val="28"/>
          <w:szCs w:val="28"/>
        </w:rPr>
        <w:t> </w:t>
      </w:r>
      <w:proofErr w:type="spellStart"/>
      <w:r w:rsidRPr="00A4287B">
        <w:rPr>
          <w:sz w:val="28"/>
          <w:szCs w:val="28"/>
        </w:rPr>
        <w:t>Сиреники</w:t>
      </w:r>
      <w:proofErr w:type="spellEnd"/>
      <w:r w:rsidRPr="00A4287B">
        <w:rPr>
          <w:sz w:val="28"/>
          <w:szCs w:val="28"/>
        </w:rPr>
        <w:t>);</w:t>
      </w:r>
    </w:p>
    <w:p w:rsidR="00C404B9" w:rsidRPr="00A4287B" w:rsidRDefault="00C404B9" w:rsidP="00C404B9">
      <w:pPr>
        <w:shd w:val="clear" w:color="auto" w:fill="FFFFFF"/>
        <w:ind w:firstLine="708"/>
        <w:jc w:val="both"/>
        <w:rPr>
          <w:sz w:val="28"/>
          <w:szCs w:val="28"/>
        </w:rPr>
      </w:pPr>
      <w:r w:rsidRPr="00A4287B">
        <w:rPr>
          <w:sz w:val="28"/>
          <w:szCs w:val="28"/>
        </w:rPr>
        <w:t>-</w:t>
      </w:r>
      <w:r>
        <w:rPr>
          <w:sz w:val="28"/>
          <w:szCs w:val="28"/>
        </w:rPr>
        <w:t> </w:t>
      </w:r>
      <w:r w:rsidRPr="00A4287B">
        <w:rPr>
          <w:sz w:val="28"/>
          <w:szCs w:val="28"/>
        </w:rPr>
        <w:t>7 семей с общей площади аварийного жилья 0,247 тыс.</w:t>
      </w:r>
      <w:r>
        <w:rPr>
          <w:sz w:val="28"/>
          <w:szCs w:val="28"/>
        </w:rPr>
        <w:t> </w:t>
      </w:r>
      <w:r w:rsidRPr="00A4287B">
        <w:rPr>
          <w:sz w:val="28"/>
          <w:szCs w:val="28"/>
        </w:rPr>
        <w:t>кв.</w:t>
      </w:r>
      <w:r>
        <w:rPr>
          <w:sz w:val="28"/>
          <w:szCs w:val="28"/>
        </w:rPr>
        <w:t> </w:t>
      </w:r>
      <w:r w:rsidRPr="00A4287B">
        <w:rPr>
          <w:sz w:val="28"/>
          <w:szCs w:val="28"/>
        </w:rPr>
        <w:t>м (с.</w:t>
      </w:r>
      <w:r>
        <w:rPr>
          <w:sz w:val="28"/>
          <w:szCs w:val="28"/>
        </w:rPr>
        <w:t> </w:t>
      </w:r>
      <w:proofErr w:type="spellStart"/>
      <w:r w:rsidRPr="00A4287B">
        <w:rPr>
          <w:sz w:val="28"/>
          <w:szCs w:val="28"/>
        </w:rPr>
        <w:t>Янракыннот</w:t>
      </w:r>
      <w:proofErr w:type="spellEnd"/>
      <w:r w:rsidRPr="00A4287B">
        <w:rPr>
          <w:sz w:val="28"/>
          <w:szCs w:val="28"/>
        </w:rPr>
        <w:t>).</w:t>
      </w:r>
    </w:p>
    <w:p w:rsidR="00A21C38" w:rsidRDefault="00A21C38" w:rsidP="00C404B9">
      <w:pPr>
        <w:tabs>
          <w:tab w:val="left" w:pos="709"/>
        </w:tabs>
        <w:jc w:val="both"/>
        <w:rPr>
          <w:b/>
          <w:bCs/>
          <w:sz w:val="28"/>
          <w:szCs w:val="28"/>
        </w:rPr>
      </w:pPr>
    </w:p>
    <w:p w:rsidR="00C404B9" w:rsidRPr="00917368" w:rsidRDefault="00C404B9" w:rsidP="00C404B9">
      <w:pPr>
        <w:tabs>
          <w:tab w:val="left" w:pos="709"/>
        </w:tabs>
        <w:jc w:val="both"/>
        <w:rPr>
          <w:b/>
          <w:bCs/>
          <w:sz w:val="28"/>
          <w:szCs w:val="28"/>
        </w:rPr>
      </w:pPr>
      <w:r>
        <w:rPr>
          <w:b/>
          <w:bCs/>
          <w:sz w:val="28"/>
          <w:szCs w:val="28"/>
        </w:rPr>
        <w:tab/>
      </w:r>
      <w:r w:rsidRPr="00917368">
        <w:rPr>
          <w:b/>
          <w:bCs/>
          <w:sz w:val="28"/>
          <w:szCs w:val="28"/>
        </w:rPr>
        <w:t>Возражения или замечания руководителей объектов контрольного мероприятия на результаты контрольного мероприятия</w:t>
      </w:r>
      <w:r>
        <w:rPr>
          <w:b/>
          <w:bCs/>
          <w:sz w:val="28"/>
          <w:szCs w:val="28"/>
        </w:rPr>
        <w:t>:</w:t>
      </w:r>
    </w:p>
    <w:p w:rsidR="00C404B9" w:rsidRPr="00917368" w:rsidRDefault="00C404B9" w:rsidP="00C404B9">
      <w:pPr>
        <w:tabs>
          <w:tab w:val="left" w:pos="7513"/>
        </w:tabs>
        <w:jc w:val="both"/>
        <w:rPr>
          <w:bCs/>
          <w:sz w:val="16"/>
          <w:szCs w:val="16"/>
        </w:rPr>
      </w:pPr>
    </w:p>
    <w:p w:rsidR="00C404B9" w:rsidRDefault="00C404B9" w:rsidP="00C404B9">
      <w:pPr>
        <w:tabs>
          <w:tab w:val="left" w:pos="709"/>
        </w:tabs>
        <w:jc w:val="both"/>
        <w:rPr>
          <w:bCs/>
          <w:sz w:val="28"/>
          <w:szCs w:val="28"/>
        </w:rPr>
      </w:pPr>
      <w:r>
        <w:rPr>
          <w:bCs/>
          <w:sz w:val="28"/>
          <w:szCs w:val="28"/>
        </w:rPr>
        <w:tab/>
      </w:r>
      <w:r w:rsidRPr="00917368">
        <w:rPr>
          <w:bCs/>
          <w:sz w:val="28"/>
          <w:szCs w:val="28"/>
        </w:rPr>
        <w:t>По результатам проведения контрольного мероприятия</w:t>
      </w:r>
      <w:r>
        <w:rPr>
          <w:bCs/>
          <w:sz w:val="28"/>
          <w:szCs w:val="28"/>
        </w:rPr>
        <w:t xml:space="preserve"> </w:t>
      </w:r>
      <w:r w:rsidRPr="00917368">
        <w:rPr>
          <w:bCs/>
          <w:sz w:val="28"/>
          <w:szCs w:val="28"/>
        </w:rPr>
        <w:t>оформлены</w:t>
      </w:r>
      <w:r>
        <w:rPr>
          <w:bCs/>
          <w:sz w:val="28"/>
          <w:szCs w:val="28"/>
        </w:rPr>
        <w:t xml:space="preserve"> 5 актов:</w:t>
      </w:r>
    </w:p>
    <w:p w:rsidR="00C404B9" w:rsidRPr="00917368" w:rsidRDefault="00C404B9" w:rsidP="00C404B9">
      <w:pPr>
        <w:tabs>
          <w:tab w:val="left" w:pos="709"/>
        </w:tabs>
        <w:jc w:val="both"/>
        <w:rPr>
          <w:bCs/>
          <w:sz w:val="28"/>
          <w:szCs w:val="28"/>
        </w:rPr>
      </w:pPr>
      <w:r>
        <w:rPr>
          <w:bCs/>
          <w:sz w:val="28"/>
          <w:szCs w:val="28"/>
        </w:rPr>
        <w:tab/>
        <w:t xml:space="preserve">- от 30 мая 2022 года на объекте – Департамент промышленной политики Чукотского автономного округа, </w:t>
      </w:r>
      <w:r w:rsidRPr="00917368">
        <w:rPr>
          <w:bCs/>
          <w:sz w:val="28"/>
          <w:szCs w:val="28"/>
        </w:rPr>
        <w:t xml:space="preserve">подписан </w:t>
      </w:r>
      <w:r>
        <w:rPr>
          <w:bCs/>
          <w:sz w:val="28"/>
          <w:szCs w:val="28"/>
        </w:rPr>
        <w:t xml:space="preserve">3 июня 2022 года с возражениями, </w:t>
      </w:r>
      <w:r w:rsidRPr="009D61AF">
        <w:rPr>
          <w:bCs/>
          <w:sz w:val="28"/>
          <w:szCs w:val="28"/>
        </w:rPr>
        <w:t>которые не повлияли на</w:t>
      </w:r>
      <w:r>
        <w:rPr>
          <w:bCs/>
          <w:sz w:val="28"/>
          <w:szCs w:val="28"/>
        </w:rPr>
        <w:t xml:space="preserve"> выводы, сделанные в ходе проверки</w:t>
      </w:r>
      <w:r w:rsidRPr="00917368">
        <w:rPr>
          <w:bCs/>
          <w:sz w:val="28"/>
          <w:szCs w:val="28"/>
        </w:rPr>
        <w:t>;</w:t>
      </w:r>
    </w:p>
    <w:p w:rsidR="00C404B9" w:rsidRPr="00917368" w:rsidRDefault="00C404B9" w:rsidP="00C404B9">
      <w:pPr>
        <w:tabs>
          <w:tab w:val="left" w:pos="709"/>
        </w:tabs>
        <w:jc w:val="both"/>
        <w:rPr>
          <w:bCs/>
          <w:sz w:val="28"/>
          <w:szCs w:val="28"/>
        </w:rPr>
      </w:pPr>
      <w:r>
        <w:rPr>
          <w:bCs/>
          <w:sz w:val="28"/>
          <w:szCs w:val="28"/>
        </w:rPr>
        <w:tab/>
      </w:r>
      <w:r w:rsidRPr="00917368">
        <w:rPr>
          <w:bCs/>
          <w:sz w:val="28"/>
          <w:szCs w:val="28"/>
        </w:rPr>
        <w:t>-</w:t>
      </w:r>
      <w:r>
        <w:rPr>
          <w:bCs/>
          <w:sz w:val="28"/>
          <w:szCs w:val="28"/>
        </w:rPr>
        <w:t> </w:t>
      </w:r>
      <w:r w:rsidRPr="00917368">
        <w:rPr>
          <w:bCs/>
          <w:sz w:val="28"/>
          <w:szCs w:val="28"/>
        </w:rPr>
        <w:t xml:space="preserve">от </w:t>
      </w:r>
      <w:r>
        <w:rPr>
          <w:bCs/>
          <w:sz w:val="28"/>
          <w:szCs w:val="28"/>
        </w:rPr>
        <w:t>20</w:t>
      </w:r>
      <w:r w:rsidRPr="00917368">
        <w:rPr>
          <w:bCs/>
          <w:sz w:val="28"/>
          <w:szCs w:val="28"/>
        </w:rPr>
        <w:t xml:space="preserve"> </w:t>
      </w:r>
      <w:r>
        <w:rPr>
          <w:bCs/>
          <w:sz w:val="28"/>
          <w:szCs w:val="28"/>
        </w:rPr>
        <w:t>мая</w:t>
      </w:r>
      <w:r w:rsidRPr="00917368">
        <w:rPr>
          <w:bCs/>
          <w:sz w:val="28"/>
          <w:szCs w:val="28"/>
        </w:rPr>
        <w:t xml:space="preserve"> 202</w:t>
      </w:r>
      <w:r>
        <w:rPr>
          <w:bCs/>
          <w:sz w:val="28"/>
          <w:szCs w:val="28"/>
        </w:rPr>
        <w:t>2</w:t>
      </w:r>
      <w:r w:rsidRPr="00917368">
        <w:rPr>
          <w:bCs/>
          <w:sz w:val="28"/>
          <w:szCs w:val="28"/>
        </w:rPr>
        <w:t xml:space="preserve"> года</w:t>
      </w:r>
      <w:r>
        <w:rPr>
          <w:bCs/>
          <w:sz w:val="28"/>
          <w:szCs w:val="28"/>
        </w:rPr>
        <w:t xml:space="preserve"> на объекте</w:t>
      </w:r>
      <w:r w:rsidRPr="00917368">
        <w:rPr>
          <w:bCs/>
          <w:sz w:val="28"/>
          <w:szCs w:val="28"/>
        </w:rPr>
        <w:t xml:space="preserve"> </w:t>
      </w:r>
      <w:r>
        <w:rPr>
          <w:bCs/>
          <w:sz w:val="28"/>
          <w:szCs w:val="28"/>
        </w:rPr>
        <w:t xml:space="preserve">– Администрация </w:t>
      </w:r>
      <w:proofErr w:type="spellStart"/>
      <w:r>
        <w:rPr>
          <w:bCs/>
          <w:sz w:val="28"/>
          <w:szCs w:val="28"/>
        </w:rPr>
        <w:t>Провиденского</w:t>
      </w:r>
      <w:proofErr w:type="spellEnd"/>
      <w:r>
        <w:rPr>
          <w:bCs/>
          <w:sz w:val="28"/>
          <w:szCs w:val="28"/>
        </w:rPr>
        <w:t xml:space="preserve"> городского округа, </w:t>
      </w:r>
      <w:r w:rsidRPr="00917368">
        <w:rPr>
          <w:bCs/>
          <w:sz w:val="28"/>
          <w:szCs w:val="28"/>
        </w:rPr>
        <w:t xml:space="preserve">подписан </w:t>
      </w:r>
      <w:r>
        <w:rPr>
          <w:bCs/>
          <w:sz w:val="28"/>
          <w:szCs w:val="28"/>
        </w:rPr>
        <w:t>без разногласий 24 мая 2022 года</w:t>
      </w:r>
      <w:r w:rsidRPr="00917368">
        <w:rPr>
          <w:bCs/>
          <w:sz w:val="28"/>
          <w:szCs w:val="28"/>
        </w:rPr>
        <w:t>;</w:t>
      </w:r>
    </w:p>
    <w:p w:rsidR="00C404B9" w:rsidRPr="00917368" w:rsidRDefault="00C404B9" w:rsidP="00C404B9">
      <w:pPr>
        <w:tabs>
          <w:tab w:val="left" w:pos="709"/>
        </w:tabs>
        <w:jc w:val="both"/>
        <w:rPr>
          <w:bCs/>
          <w:sz w:val="28"/>
          <w:szCs w:val="28"/>
        </w:rPr>
      </w:pPr>
      <w:r>
        <w:rPr>
          <w:bCs/>
          <w:sz w:val="28"/>
          <w:szCs w:val="28"/>
        </w:rPr>
        <w:tab/>
      </w:r>
      <w:r w:rsidRPr="00917368">
        <w:rPr>
          <w:bCs/>
          <w:sz w:val="28"/>
          <w:szCs w:val="28"/>
        </w:rPr>
        <w:t>-</w:t>
      </w:r>
      <w:r>
        <w:rPr>
          <w:bCs/>
          <w:sz w:val="28"/>
          <w:szCs w:val="28"/>
        </w:rPr>
        <w:t> </w:t>
      </w:r>
      <w:r w:rsidRPr="00917368">
        <w:rPr>
          <w:bCs/>
          <w:sz w:val="28"/>
          <w:szCs w:val="28"/>
        </w:rPr>
        <w:t xml:space="preserve">от </w:t>
      </w:r>
      <w:r>
        <w:rPr>
          <w:bCs/>
          <w:sz w:val="28"/>
          <w:szCs w:val="28"/>
        </w:rPr>
        <w:t>23</w:t>
      </w:r>
      <w:r w:rsidRPr="00917368">
        <w:rPr>
          <w:bCs/>
          <w:sz w:val="28"/>
          <w:szCs w:val="28"/>
        </w:rPr>
        <w:t xml:space="preserve"> </w:t>
      </w:r>
      <w:r>
        <w:rPr>
          <w:bCs/>
          <w:sz w:val="28"/>
          <w:szCs w:val="28"/>
        </w:rPr>
        <w:t>мая</w:t>
      </w:r>
      <w:r w:rsidRPr="00917368">
        <w:rPr>
          <w:bCs/>
          <w:sz w:val="28"/>
          <w:szCs w:val="28"/>
        </w:rPr>
        <w:t xml:space="preserve"> 202</w:t>
      </w:r>
      <w:r>
        <w:rPr>
          <w:bCs/>
          <w:sz w:val="28"/>
          <w:szCs w:val="28"/>
        </w:rPr>
        <w:t>2</w:t>
      </w:r>
      <w:r w:rsidRPr="00917368">
        <w:rPr>
          <w:bCs/>
          <w:sz w:val="28"/>
          <w:szCs w:val="28"/>
        </w:rPr>
        <w:t xml:space="preserve"> года</w:t>
      </w:r>
      <w:r>
        <w:rPr>
          <w:bCs/>
          <w:sz w:val="28"/>
          <w:szCs w:val="28"/>
        </w:rPr>
        <w:t xml:space="preserve"> на объекте</w:t>
      </w:r>
      <w:r w:rsidRPr="00917368">
        <w:rPr>
          <w:bCs/>
          <w:sz w:val="28"/>
          <w:szCs w:val="28"/>
        </w:rPr>
        <w:t xml:space="preserve"> </w:t>
      </w:r>
      <w:r>
        <w:rPr>
          <w:bCs/>
          <w:sz w:val="28"/>
          <w:szCs w:val="28"/>
        </w:rPr>
        <w:t xml:space="preserve">– Администрация городского округа </w:t>
      </w:r>
      <w:proofErr w:type="spellStart"/>
      <w:r>
        <w:rPr>
          <w:bCs/>
          <w:sz w:val="28"/>
          <w:szCs w:val="28"/>
        </w:rPr>
        <w:t>Эгвекинот</w:t>
      </w:r>
      <w:proofErr w:type="spellEnd"/>
      <w:r>
        <w:rPr>
          <w:bCs/>
          <w:sz w:val="28"/>
          <w:szCs w:val="28"/>
        </w:rPr>
        <w:t xml:space="preserve">, </w:t>
      </w:r>
      <w:r w:rsidRPr="00917368">
        <w:rPr>
          <w:bCs/>
          <w:sz w:val="28"/>
          <w:szCs w:val="28"/>
        </w:rPr>
        <w:t xml:space="preserve">подписан </w:t>
      </w:r>
      <w:r>
        <w:rPr>
          <w:bCs/>
          <w:sz w:val="28"/>
          <w:szCs w:val="28"/>
        </w:rPr>
        <w:t>без разногласий 30 мая 2022 года</w:t>
      </w:r>
      <w:r w:rsidRPr="00917368">
        <w:rPr>
          <w:bCs/>
          <w:sz w:val="28"/>
          <w:szCs w:val="28"/>
        </w:rPr>
        <w:t>;</w:t>
      </w:r>
    </w:p>
    <w:p w:rsidR="00C404B9" w:rsidRDefault="00C404B9" w:rsidP="00C404B9">
      <w:pPr>
        <w:tabs>
          <w:tab w:val="left" w:pos="709"/>
        </w:tabs>
        <w:jc w:val="both"/>
        <w:rPr>
          <w:bCs/>
          <w:sz w:val="28"/>
          <w:szCs w:val="28"/>
        </w:rPr>
      </w:pPr>
      <w:r>
        <w:rPr>
          <w:bCs/>
          <w:sz w:val="28"/>
          <w:szCs w:val="28"/>
        </w:rPr>
        <w:lastRenderedPageBreak/>
        <w:tab/>
      </w:r>
      <w:r w:rsidRPr="00917368">
        <w:rPr>
          <w:bCs/>
          <w:sz w:val="28"/>
          <w:szCs w:val="28"/>
        </w:rPr>
        <w:t>-</w:t>
      </w:r>
      <w:r>
        <w:rPr>
          <w:bCs/>
          <w:sz w:val="28"/>
          <w:szCs w:val="28"/>
        </w:rPr>
        <w:t> </w:t>
      </w:r>
      <w:r w:rsidRPr="00917368">
        <w:rPr>
          <w:bCs/>
          <w:sz w:val="28"/>
          <w:szCs w:val="28"/>
        </w:rPr>
        <w:t xml:space="preserve">от </w:t>
      </w:r>
      <w:r>
        <w:rPr>
          <w:bCs/>
          <w:sz w:val="28"/>
          <w:szCs w:val="28"/>
        </w:rPr>
        <w:t>23</w:t>
      </w:r>
      <w:r w:rsidRPr="00917368">
        <w:rPr>
          <w:bCs/>
          <w:sz w:val="28"/>
          <w:szCs w:val="28"/>
        </w:rPr>
        <w:t xml:space="preserve"> </w:t>
      </w:r>
      <w:r>
        <w:rPr>
          <w:bCs/>
          <w:sz w:val="28"/>
          <w:szCs w:val="28"/>
        </w:rPr>
        <w:t xml:space="preserve">мая </w:t>
      </w:r>
      <w:r w:rsidRPr="00917368">
        <w:rPr>
          <w:bCs/>
          <w:sz w:val="28"/>
          <w:szCs w:val="28"/>
        </w:rPr>
        <w:t>202</w:t>
      </w:r>
      <w:r>
        <w:rPr>
          <w:bCs/>
          <w:sz w:val="28"/>
          <w:szCs w:val="28"/>
        </w:rPr>
        <w:t>2</w:t>
      </w:r>
      <w:r w:rsidRPr="00917368">
        <w:rPr>
          <w:bCs/>
          <w:sz w:val="28"/>
          <w:szCs w:val="28"/>
        </w:rPr>
        <w:t xml:space="preserve"> года</w:t>
      </w:r>
      <w:r>
        <w:rPr>
          <w:bCs/>
          <w:sz w:val="28"/>
          <w:szCs w:val="28"/>
        </w:rPr>
        <w:t xml:space="preserve"> на объекте</w:t>
      </w:r>
      <w:r w:rsidRPr="00917368">
        <w:rPr>
          <w:bCs/>
          <w:sz w:val="28"/>
          <w:szCs w:val="28"/>
        </w:rPr>
        <w:t xml:space="preserve"> </w:t>
      </w:r>
      <w:r>
        <w:rPr>
          <w:bCs/>
          <w:sz w:val="28"/>
          <w:szCs w:val="28"/>
        </w:rPr>
        <w:t xml:space="preserve">– Администрация сельского поселения Уэлен, подписан без разногласий </w:t>
      </w:r>
      <w:r w:rsidRPr="00170C97">
        <w:rPr>
          <w:bCs/>
          <w:sz w:val="28"/>
          <w:szCs w:val="28"/>
        </w:rPr>
        <w:t>24</w:t>
      </w:r>
      <w:r>
        <w:rPr>
          <w:bCs/>
          <w:sz w:val="28"/>
          <w:szCs w:val="28"/>
        </w:rPr>
        <w:t xml:space="preserve"> мая 2022 года;</w:t>
      </w:r>
    </w:p>
    <w:p w:rsidR="00C404B9" w:rsidRPr="0080060C" w:rsidRDefault="00C404B9" w:rsidP="00C404B9">
      <w:pPr>
        <w:tabs>
          <w:tab w:val="left" w:pos="709"/>
        </w:tabs>
        <w:jc w:val="both"/>
        <w:rPr>
          <w:bCs/>
          <w:sz w:val="28"/>
          <w:szCs w:val="28"/>
        </w:rPr>
      </w:pPr>
      <w:r>
        <w:rPr>
          <w:bCs/>
          <w:sz w:val="28"/>
          <w:szCs w:val="28"/>
        </w:rPr>
        <w:tab/>
      </w:r>
      <w:r w:rsidRPr="00917368">
        <w:rPr>
          <w:bCs/>
          <w:sz w:val="28"/>
          <w:szCs w:val="28"/>
        </w:rPr>
        <w:t>-</w:t>
      </w:r>
      <w:r>
        <w:rPr>
          <w:bCs/>
          <w:sz w:val="28"/>
          <w:szCs w:val="28"/>
        </w:rPr>
        <w:t> </w:t>
      </w:r>
      <w:r w:rsidRPr="00917368">
        <w:rPr>
          <w:bCs/>
          <w:sz w:val="28"/>
          <w:szCs w:val="28"/>
        </w:rPr>
        <w:t xml:space="preserve">от </w:t>
      </w:r>
      <w:r>
        <w:rPr>
          <w:bCs/>
          <w:sz w:val="28"/>
          <w:szCs w:val="28"/>
        </w:rPr>
        <w:t>23</w:t>
      </w:r>
      <w:r w:rsidRPr="00917368">
        <w:rPr>
          <w:bCs/>
          <w:sz w:val="28"/>
          <w:szCs w:val="28"/>
        </w:rPr>
        <w:t xml:space="preserve"> </w:t>
      </w:r>
      <w:r>
        <w:rPr>
          <w:bCs/>
          <w:sz w:val="28"/>
          <w:szCs w:val="28"/>
        </w:rPr>
        <w:t xml:space="preserve">мая </w:t>
      </w:r>
      <w:r w:rsidRPr="00917368">
        <w:rPr>
          <w:bCs/>
          <w:sz w:val="28"/>
          <w:szCs w:val="28"/>
        </w:rPr>
        <w:t>202</w:t>
      </w:r>
      <w:r>
        <w:rPr>
          <w:bCs/>
          <w:sz w:val="28"/>
          <w:szCs w:val="28"/>
        </w:rPr>
        <w:t>2</w:t>
      </w:r>
      <w:r w:rsidRPr="00917368">
        <w:rPr>
          <w:bCs/>
          <w:sz w:val="28"/>
          <w:szCs w:val="28"/>
        </w:rPr>
        <w:t xml:space="preserve"> года</w:t>
      </w:r>
      <w:r>
        <w:rPr>
          <w:bCs/>
          <w:sz w:val="28"/>
          <w:szCs w:val="28"/>
        </w:rPr>
        <w:t xml:space="preserve"> на объекте</w:t>
      </w:r>
      <w:r w:rsidRPr="00917368">
        <w:rPr>
          <w:bCs/>
          <w:sz w:val="28"/>
          <w:szCs w:val="28"/>
        </w:rPr>
        <w:t xml:space="preserve"> </w:t>
      </w:r>
      <w:r>
        <w:rPr>
          <w:bCs/>
          <w:sz w:val="28"/>
          <w:szCs w:val="28"/>
        </w:rPr>
        <w:t xml:space="preserve">– Администрация сельского поселения </w:t>
      </w:r>
      <w:proofErr w:type="spellStart"/>
      <w:r>
        <w:rPr>
          <w:bCs/>
          <w:sz w:val="28"/>
          <w:szCs w:val="28"/>
        </w:rPr>
        <w:t>Лорино</w:t>
      </w:r>
      <w:proofErr w:type="spellEnd"/>
      <w:r>
        <w:rPr>
          <w:bCs/>
          <w:sz w:val="28"/>
          <w:szCs w:val="28"/>
        </w:rPr>
        <w:t xml:space="preserve">, подписан без разногласий </w:t>
      </w:r>
      <w:r w:rsidRPr="00170C97">
        <w:rPr>
          <w:bCs/>
          <w:sz w:val="28"/>
          <w:szCs w:val="28"/>
        </w:rPr>
        <w:t>2</w:t>
      </w:r>
      <w:r>
        <w:rPr>
          <w:bCs/>
          <w:sz w:val="28"/>
          <w:szCs w:val="28"/>
        </w:rPr>
        <w:t>5 мая 2022 года.</w:t>
      </w:r>
    </w:p>
    <w:p w:rsidR="00C404B9" w:rsidRPr="00356B9F" w:rsidRDefault="00C404B9" w:rsidP="00C404B9">
      <w:pPr>
        <w:tabs>
          <w:tab w:val="left" w:pos="709"/>
        </w:tabs>
        <w:jc w:val="both"/>
        <w:rPr>
          <w:bCs/>
          <w:sz w:val="16"/>
          <w:szCs w:val="16"/>
        </w:rPr>
      </w:pPr>
    </w:p>
    <w:p w:rsidR="00C404B9" w:rsidRDefault="00C404B9" w:rsidP="00C404B9">
      <w:pPr>
        <w:tabs>
          <w:tab w:val="left" w:pos="709"/>
        </w:tabs>
        <w:jc w:val="both"/>
        <w:rPr>
          <w:b/>
          <w:bCs/>
          <w:sz w:val="28"/>
          <w:szCs w:val="28"/>
        </w:rPr>
      </w:pPr>
      <w:r>
        <w:rPr>
          <w:b/>
          <w:bCs/>
          <w:sz w:val="28"/>
          <w:szCs w:val="28"/>
        </w:rPr>
        <w:tab/>
      </w:r>
      <w:r w:rsidRPr="00C736C1">
        <w:rPr>
          <w:b/>
          <w:bCs/>
          <w:sz w:val="28"/>
          <w:szCs w:val="28"/>
        </w:rPr>
        <w:t>Выводы:</w:t>
      </w:r>
    </w:p>
    <w:p w:rsidR="00C404B9" w:rsidRPr="00356B9F" w:rsidRDefault="00C404B9" w:rsidP="00C404B9">
      <w:pPr>
        <w:tabs>
          <w:tab w:val="left" w:pos="709"/>
        </w:tabs>
        <w:jc w:val="both"/>
        <w:rPr>
          <w:b/>
          <w:bCs/>
          <w:sz w:val="16"/>
          <w:szCs w:val="16"/>
        </w:rPr>
      </w:pPr>
    </w:p>
    <w:p w:rsidR="00C404B9" w:rsidRDefault="00C404B9" w:rsidP="00C404B9">
      <w:pPr>
        <w:shd w:val="clear" w:color="auto" w:fill="FFFFFF"/>
        <w:autoSpaceDE w:val="0"/>
        <w:autoSpaceDN w:val="0"/>
        <w:adjustRightInd w:val="0"/>
        <w:ind w:firstLine="708"/>
        <w:jc w:val="both"/>
        <w:rPr>
          <w:color w:val="000000"/>
          <w:sz w:val="28"/>
          <w:szCs w:val="28"/>
        </w:rPr>
      </w:pPr>
      <w:r>
        <w:rPr>
          <w:bCs/>
          <w:sz w:val="28"/>
          <w:szCs w:val="28"/>
        </w:rPr>
        <w:t xml:space="preserve">1. В проверяемом периоде реализация Подпрограммы </w:t>
      </w:r>
      <w:r w:rsidRPr="00ED087D">
        <w:rPr>
          <w:sz w:val="28"/>
          <w:szCs w:val="28"/>
        </w:rPr>
        <w:t>«</w:t>
      </w:r>
      <w:r>
        <w:rPr>
          <w:sz w:val="28"/>
          <w:szCs w:val="28"/>
        </w:rPr>
        <w:t>Развитие жилищного строительства</w:t>
      </w:r>
      <w:r w:rsidRPr="00ED087D">
        <w:rPr>
          <w:sz w:val="28"/>
          <w:szCs w:val="28"/>
        </w:rPr>
        <w:t>»</w:t>
      </w:r>
      <w:r>
        <w:rPr>
          <w:sz w:val="28"/>
          <w:szCs w:val="28"/>
        </w:rPr>
        <w:t xml:space="preserve"> </w:t>
      </w:r>
      <w:r>
        <w:rPr>
          <w:bCs/>
          <w:sz w:val="28"/>
          <w:szCs w:val="28"/>
        </w:rPr>
        <w:t xml:space="preserve">осуществлялась путем предоставления </w:t>
      </w:r>
      <w:r w:rsidRPr="00DF76D6">
        <w:rPr>
          <w:bCs/>
          <w:sz w:val="28"/>
          <w:szCs w:val="28"/>
        </w:rPr>
        <w:t>субсиди</w:t>
      </w:r>
      <w:r>
        <w:rPr>
          <w:bCs/>
          <w:sz w:val="28"/>
          <w:szCs w:val="28"/>
        </w:rPr>
        <w:t>и</w:t>
      </w:r>
      <w:r w:rsidRPr="00DF76D6">
        <w:rPr>
          <w:bCs/>
          <w:sz w:val="28"/>
          <w:szCs w:val="28"/>
        </w:rPr>
        <w:t xml:space="preserve"> </w:t>
      </w:r>
      <w:r w:rsidRPr="00DF76D6">
        <w:rPr>
          <w:color w:val="000000"/>
          <w:sz w:val="28"/>
          <w:szCs w:val="28"/>
        </w:rPr>
        <w:t>на обеспечение мероприятий по развитию жилищного строительства</w:t>
      </w:r>
      <w:r>
        <w:rPr>
          <w:color w:val="000000"/>
          <w:sz w:val="28"/>
          <w:szCs w:val="28"/>
        </w:rPr>
        <w:t xml:space="preserve"> </w:t>
      </w:r>
      <w:r w:rsidRPr="00DF76D6">
        <w:rPr>
          <w:color w:val="000000"/>
          <w:sz w:val="28"/>
          <w:szCs w:val="28"/>
        </w:rPr>
        <w:t>и</w:t>
      </w:r>
      <w:r>
        <w:rPr>
          <w:color w:val="000000"/>
          <w:sz w:val="28"/>
          <w:szCs w:val="28"/>
        </w:rPr>
        <w:t xml:space="preserve"> субсидии</w:t>
      </w:r>
      <w:r w:rsidRPr="00DF76D6">
        <w:rPr>
          <w:color w:val="000000"/>
          <w:sz w:val="28"/>
          <w:szCs w:val="28"/>
        </w:rPr>
        <w:t xml:space="preserve"> застройщикам на возмещение недополученных доходов, возникающих при реализации квартир гражданам.</w:t>
      </w:r>
      <w:r>
        <w:rPr>
          <w:color w:val="000000"/>
          <w:sz w:val="28"/>
          <w:szCs w:val="28"/>
        </w:rPr>
        <w:t xml:space="preserve"> </w:t>
      </w:r>
    </w:p>
    <w:p w:rsidR="00C404B9" w:rsidRDefault="00C404B9" w:rsidP="00C404B9">
      <w:pPr>
        <w:shd w:val="clear" w:color="auto" w:fill="FFFFFF"/>
        <w:autoSpaceDE w:val="0"/>
        <w:autoSpaceDN w:val="0"/>
        <w:adjustRightInd w:val="0"/>
        <w:ind w:firstLine="708"/>
        <w:jc w:val="both"/>
        <w:rPr>
          <w:sz w:val="28"/>
          <w:szCs w:val="28"/>
        </w:rPr>
      </w:pPr>
      <w:r>
        <w:rPr>
          <w:color w:val="000000"/>
          <w:sz w:val="28"/>
          <w:szCs w:val="28"/>
        </w:rPr>
        <w:t xml:space="preserve">Ресурсное обеспечение Подпрограммы </w:t>
      </w:r>
      <w:r w:rsidRPr="00ED087D">
        <w:rPr>
          <w:sz w:val="28"/>
          <w:szCs w:val="28"/>
        </w:rPr>
        <w:t>предусмотрено</w:t>
      </w:r>
      <w:r>
        <w:rPr>
          <w:sz w:val="28"/>
          <w:szCs w:val="28"/>
        </w:rPr>
        <w:t xml:space="preserve"> </w:t>
      </w:r>
      <w:r w:rsidRPr="00ED087D">
        <w:rPr>
          <w:sz w:val="28"/>
          <w:szCs w:val="28"/>
        </w:rPr>
        <w:t>с</w:t>
      </w:r>
      <w:r>
        <w:rPr>
          <w:sz w:val="28"/>
          <w:szCs w:val="28"/>
        </w:rPr>
        <w:t xml:space="preserve"> </w:t>
      </w:r>
      <w:r w:rsidRPr="00ED087D">
        <w:rPr>
          <w:sz w:val="28"/>
          <w:szCs w:val="28"/>
        </w:rPr>
        <w:t xml:space="preserve">использованием средств окружного бюджета в общем объеме </w:t>
      </w:r>
      <w:r w:rsidRPr="00682377">
        <w:rPr>
          <w:bCs/>
          <w:color w:val="000000"/>
          <w:sz w:val="28"/>
          <w:szCs w:val="28"/>
        </w:rPr>
        <w:t>897</w:t>
      </w:r>
      <w:r>
        <w:rPr>
          <w:bCs/>
          <w:color w:val="000000"/>
          <w:sz w:val="28"/>
          <w:szCs w:val="28"/>
        </w:rPr>
        <w:t> </w:t>
      </w:r>
      <w:r w:rsidRPr="00682377">
        <w:rPr>
          <w:bCs/>
          <w:color w:val="000000"/>
          <w:sz w:val="28"/>
          <w:szCs w:val="28"/>
        </w:rPr>
        <w:t>511,3</w:t>
      </w:r>
      <w:r>
        <w:rPr>
          <w:b/>
          <w:bCs/>
          <w:color w:val="000000"/>
          <w:sz w:val="20"/>
          <w:szCs w:val="20"/>
        </w:rPr>
        <w:t xml:space="preserve"> </w:t>
      </w:r>
      <w:r w:rsidRPr="00ED087D">
        <w:rPr>
          <w:sz w:val="28"/>
          <w:szCs w:val="28"/>
        </w:rPr>
        <w:t>тыс. рублей</w:t>
      </w:r>
      <w:r>
        <w:rPr>
          <w:sz w:val="28"/>
          <w:szCs w:val="28"/>
        </w:rPr>
        <w:t xml:space="preserve"> (</w:t>
      </w:r>
      <w:r w:rsidRPr="00ED087D">
        <w:rPr>
          <w:sz w:val="28"/>
          <w:szCs w:val="28"/>
        </w:rPr>
        <w:t>в 2020 году</w:t>
      </w:r>
      <w:r>
        <w:rPr>
          <w:sz w:val="28"/>
          <w:szCs w:val="28"/>
        </w:rPr>
        <w:t> </w:t>
      </w:r>
      <w:r w:rsidRPr="00ED087D">
        <w:rPr>
          <w:sz w:val="28"/>
          <w:szCs w:val="28"/>
        </w:rPr>
        <w:t>–</w:t>
      </w:r>
      <w:r>
        <w:rPr>
          <w:sz w:val="28"/>
          <w:szCs w:val="28"/>
        </w:rPr>
        <w:t xml:space="preserve"> 31 981,9 </w:t>
      </w:r>
      <w:r w:rsidRPr="00ED087D">
        <w:rPr>
          <w:sz w:val="28"/>
          <w:szCs w:val="28"/>
        </w:rPr>
        <w:t xml:space="preserve">тыс. рублей, в 2021 году – </w:t>
      </w:r>
      <w:r>
        <w:rPr>
          <w:sz w:val="28"/>
          <w:szCs w:val="28"/>
        </w:rPr>
        <w:t>348 006,2 </w:t>
      </w:r>
      <w:r w:rsidRPr="00ED087D">
        <w:rPr>
          <w:sz w:val="28"/>
          <w:szCs w:val="28"/>
        </w:rPr>
        <w:t>тыс. рублей</w:t>
      </w:r>
      <w:r>
        <w:rPr>
          <w:sz w:val="28"/>
          <w:szCs w:val="28"/>
        </w:rPr>
        <w:t xml:space="preserve">, в 2022 году – 517 523,2 тыс. рублей). </w:t>
      </w:r>
    </w:p>
    <w:p w:rsidR="00C404B9" w:rsidRDefault="00C404B9" w:rsidP="00C404B9">
      <w:pPr>
        <w:shd w:val="clear" w:color="auto" w:fill="FFFFFF"/>
        <w:autoSpaceDE w:val="0"/>
        <w:autoSpaceDN w:val="0"/>
        <w:adjustRightInd w:val="0"/>
        <w:ind w:firstLine="708"/>
        <w:jc w:val="both"/>
        <w:rPr>
          <w:sz w:val="28"/>
          <w:szCs w:val="28"/>
        </w:rPr>
      </w:pPr>
      <w:r>
        <w:rPr>
          <w:sz w:val="28"/>
          <w:szCs w:val="28"/>
        </w:rPr>
        <w:t xml:space="preserve">Департаментом промышленности на реализацию мероприятий Подпрограммы направлено бюджетных ассигнований в общей сумме 244 875,4 тыс. рублей или 27,3% от утвержденных плановых назначений, в том числе: в 2020 году – 31 981,9 тыс. рублей, в 2021 году – 212 893,5 тыс.  рублей. В 1 квартале 2022 года – финансирование мероприятий не осуществлялось. </w:t>
      </w:r>
    </w:p>
    <w:p w:rsidR="00C404B9" w:rsidRDefault="00C404B9" w:rsidP="00C404B9">
      <w:pPr>
        <w:shd w:val="clear" w:color="auto" w:fill="FFFFFF"/>
        <w:autoSpaceDE w:val="0"/>
        <w:autoSpaceDN w:val="0"/>
        <w:adjustRightInd w:val="0"/>
        <w:ind w:firstLine="709"/>
        <w:jc w:val="both"/>
        <w:rPr>
          <w:b/>
          <w:bCs/>
          <w:sz w:val="16"/>
          <w:szCs w:val="16"/>
        </w:rPr>
      </w:pPr>
    </w:p>
    <w:p w:rsidR="00C404B9" w:rsidRDefault="00C404B9" w:rsidP="00C404B9">
      <w:pPr>
        <w:shd w:val="clear" w:color="auto" w:fill="FFFFFF"/>
        <w:autoSpaceDE w:val="0"/>
        <w:autoSpaceDN w:val="0"/>
        <w:adjustRightInd w:val="0"/>
        <w:ind w:firstLine="708"/>
        <w:jc w:val="both"/>
        <w:rPr>
          <w:sz w:val="28"/>
          <w:szCs w:val="28"/>
        </w:rPr>
      </w:pPr>
      <w:r>
        <w:rPr>
          <w:bCs/>
          <w:color w:val="000000"/>
          <w:sz w:val="28"/>
          <w:szCs w:val="28"/>
        </w:rPr>
        <w:t>2. </w:t>
      </w:r>
      <w:r w:rsidRPr="00332549">
        <w:rPr>
          <w:bCs/>
          <w:color w:val="000000"/>
          <w:sz w:val="28"/>
          <w:szCs w:val="28"/>
        </w:rPr>
        <w:t>Субсиди</w:t>
      </w:r>
      <w:r>
        <w:rPr>
          <w:bCs/>
          <w:color w:val="000000"/>
          <w:sz w:val="28"/>
          <w:szCs w:val="28"/>
        </w:rPr>
        <w:t>я</w:t>
      </w:r>
      <w:r w:rsidRPr="00332549">
        <w:rPr>
          <w:bCs/>
          <w:color w:val="000000"/>
          <w:sz w:val="28"/>
          <w:szCs w:val="28"/>
        </w:rPr>
        <w:t xml:space="preserve"> </w:t>
      </w:r>
      <w:r w:rsidRPr="00374FB4">
        <w:rPr>
          <w:color w:val="000000"/>
          <w:sz w:val="28"/>
          <w:szCs w:val="28"/>
        </w:rPr>
        <w:t>застройщикам на возмещение недополученных доходов, возникающих при реализации квартир гражданам</w:t>
      </w:r>
      <w:r>
        <w:rPr>
          <w:color w:val="000000"/>
          <w:sz w:val="28"/>
          <w:szCs w:val="28"/>
        </w:rPr>
        <w:t xml:space="preserve"> в 2021 году предоставлена</w:t>
      </w:r>
      <w:r>
        <w:rPr>
          <w:sz w:val="28"/>
          <w:szCs w:val="28"/>
        </w:rPr>
        <w:t xml:space="preserve"> из окружного бюджета </w:t>
      </w:r>
      <w:r w:rsidRPr="006950F3">
        <w:rPr>
          <w:sz w:val="28"/>
          <w:szCs w:val="28"/>
        </w:rPr>
        <w:t>в сумме 30 000,0</w:t>
      </w:r>
      <w:r w:rsidRPr="006950F3">
        <w:rPr>
          <w:bCs/>
          <w:sz w:val="28"/>
          <w:szCs w:val="28"/>
        </w:rPr>
        <w:t xml:space="preserve"> </w:t>
      </w:r>
      <w:r w:rsidRPr="006950F3">
        <w:rPr>
          <w:sz w:val="28"/>
          <w:szCs w:val="28"/>
        </w:rPr>
        <w:t>тыс. рублей</w:t>
      </w:r>
      <w:r>
        <w:rPr>
          <w:sz w:val="28"/>
          <w:szCs w:val="28"/>
        </w:rPr>
        <w:t xml:space="preserve"> в целях возмещения застройщикам недополученных доходов, возникающих при реализации квартир гражданам на территории Чукотского автономного округа (за исключением города Анадыря) по ценам ниже сметной стоимости строительства, в том числе с применением механизма поддержки «Дальневосточная ипотека». </w:t>
      </w:r>
    </w:p>
    <w:p w:rsidR="00C404B9" w:rsidRDefault="00C404B9" w:rsidP="00C404B9">
      <w:pPr>
        <w:shd w:val="clear" w:color="auto" w:fill="FFFFFF"/>
        <w:autoSpaceDE w:val="0"/>
        <w:autoSpaceDN w:val="0"/>
        <w:adjustRightInd w:val="0"/>
        <w:ind w:firstLine="708"/>
        <w:jc w:val="both"/>
        <w:rPr>
          <w:sz w:val="28"/>
          <w:szCs w:val="28"/>
        </w:rPr>
      </w:pPr>
      <w:r>
        <w:rPr>
          <w:sz w:val="28"/>
          <w:szCs w:val="28"/>
        </w:rPr>
        <w:t xml:space="preserve">В ходе контрольного мероприятия установлены нарушения требований Порядка </w:t>
      </w:r>
      <w:r w:rsidRPr="00A25F5F">
        <w:rPr>
          <w:sz w:val="28"/>
          <w:szCs w:val="28"/>
        </w:rPr>
        <w:t>предоставления субсидий застройщикам на возмещение недополученных доходов, возникающих при реализации квартир гражданам</w:t>
      </w:r>
      <w:r>
        <w:rPr>
          <w:sz w:val="28"/>
          <w:szCs w:val="28"/>
        </w:rPr>
        <w:t>, допущенные при заключении соглашения в 2021 году Департаментом промышленности и получателем субсидии НАО «ЧТК».</w:t>
      </w:r>
    </w:p>
    <w:p w:rsidR="00C404B9" w:rsidRPr="002D4EAA" w:rsidRDefault="00C404B9" w:rsidP="00C404B9">
      <w:pPr>
        <w:shd w:val="clear" w:color="auto" w:fill="FFFFFF"/>
        <w:ind w:firstLine="708"/>
        <w:jc w:val="both"/>
        <w:rPr>
          <w:color w:val="000000"/>
          <w:sz w:val="28"/>
          <w:szCs w:val="28"/>
        </w:rPr>
      </w:pPr>
      <w:r>
        <w:rPr>
          <w:color w:val="000000"/>
          <w:sz w:val="28"/>
          <w:szCs w:val="28"/>
        </w:rPr>
        <w:t>У</w:t>
      </w:r>
      <w:r w:rsidRPr="002D4EAA">
        <w:rPr>
          <w:color w:val="000000"/>
          <w:sz w:val="28"/>
          <w:szCs w:val="28"/>
        </w:rPr>
        <w:t>становленные значения показателей результативности предоставления субсидии достигнуты НАО «ЧТК»</w:t>
      </w:r>
      <w:r>
        <w:rPr>
          <w:color w:val="000000"/>
          <w:sz w:val="28"/>
          <w:szCs w:val="28"/>
        </w:rPr>
        <w:t xml:space="preserve"> </w:t>
      </w:r>
      <w:r w:rsidRPr="002D4EAA">
        <w:rPr>
          <w:color w:val="000000"/>
          <w:sz w:val="28"/>
          <w:szCs w:val="28"/>
        </w:rPr>
        <w:t>в 2021 году в полном объеме.</w:t>
      </w:r>
    </w:p>
    <w:p w:rsidR="00C404B9" w:rsidRDefault="00C404B9" w:rsidP="00C404B9">
      <w:pPr>
        <w:shd w:val="clear" w:color="auto" w:fill="FFFFFF"/>
        <w:autoSpaceDE w:val="0"/>
        <w:autoSpaceDN w:val="0"/>
        <w:adjustRightInd w:val="0"/>
        <w:ind w:firstLine="709"/>
        <w:jc w:val="both"/>
        <w:rPr>
          <w:b/>
          <w:bCs/>
          <w:sz w:val="16"/>
          <w:szCs w:val="16"/>
        </w:rPr>
      </w:pPr>
    </w:p>
    <w:p w:rsidR="00C404B9" w:rsidRDefault="00C404B9" w:rsidP="00C404B9">
      <w:pPr>
        <w:shd w:val="clear" w:color="auto" w:fill="FFFFFF"/>
        <w:autoSpaceDE w:val="0"/>
        <w:autoSpaceDN w:val="0"/>
        <w:adjustRightInd w:val="0"/>
        <w:ind w:firstLine="709"/>
        <w:jc w:val="both"/>
        <w:rPr>
          <w:sz w:val="28"/>
          <w:szCs w:val="28"/>
        </w:rPr>
      </w:pPr>
      <w:r>
        <w:rPr>
          <w:bCs/>
          <w:sz w:val="28"/>
          <w:szCs w:val="28"/>
        </w:rPr>
        <w:t>3. </w:t>
      </w:r>
      <w:r w:rsidRPr="0018353A">
        <w:rPr>
          <w:bCs/>
          <w:sz w:val="28"/>
          <w:szCs w:val="28"/>
        </w:rPr>
        <w:t xml:space="preserve">Общий объем утвержденных бюджетных ассигнований </w:t>
      </w:r>
      <w:r>
        <w:rPr>
          <w:bCs/>
          <w:sz w:val="28"/>
          <w:szCs w:val="28"/>
        </w:rPr>
        <w:t xml:space="preserve">на реализацию мероприятия «Субсидии на обеспечение мероприятий по развитию жилищного строительства» </w:t>
      </w:r>
      <w:r w:rsidRPr="0018353A">
        <w:rPr>
          <w:bCs/>
          <w:sz w:val="28"/>
          <w:szCs w:val="28"/>
        </w:rPr>
        <w:t xml:space="preserve">составил </w:t>
      </w:r>
      <w:r w:rsidRPr="00CB53C5">
        <w:rPr>
          <w:bCs/>
          <w:color w:val="000000"/>
          <w:sz w:val="28"/>
          <w:szCs w:val="28"/>
        </w:rPr>
        <w:t>841 632,2</w:t>
      </w:r>
      <w:r>
        <w:rPr>
          <w:b/>
          <w:bCs/>
          <w:color w:val="000000"/>
          <w:sz w:val="20"/>
          <w:szCs w:val="20"/>
        </w:rPr>
        <w:t xml:space="preserve"> </w:t>
      </w:r>
      <w:r w:rsidRPr="00ED087D">
        <w:rPr>
          <w:sz w:val="28"/>
          <w:szCs w:val="28"/>
        </w:rPr>
        <w:t>тыс. рублей</w:t>
      </w:r>
      <w:r>
        <w:rPr>
          <w:sz w:val="28"/>
          <w:szCs w:val="28"/>
        </w:rPr>
        <w:t xml:space="preserve">. </w:t>
      </w:r>
    </w:p>
    <w:p w:rsidR="00C404B9" w:rsidRDefault="00C404B9" w:rsidP="00C404B9">
      <w:pPr>
        <w:autoSpaceDE w:val="0"/>
        <w:autoSpaceDN w:val="0"/>
        <w:adjustRightInd w:val="0"/>
        <w:ind w:firstLine="709"/>
        <w:jc w:val="both"/>
        <w:rPr>
          <w:rFonts w:eastAsia="Calibri"/>
          <w:sz w:val="28"/>
        </w:rPr>
      </w:pPr>
      <w:r>
        <w:rPr>
          <w:rFonts w:eastAsia="Calibri"/>
          <w:sz w:val="28"/>
        </w:rPr>
        <w:t>В проверяемом периоде Департаментом промышленности с муниципальными образованиями округа заключено 10 соглашений о предоставлении с</w:t>
      </w:r>
      <w:r w:rsidRPr="00DF76D6">
        <w:rPr>
          <w:color w:val="000000"/>
          <w:sz w:val="28"/>
          <w:szCs w:val="28"/>
        </w:rPr>
        <w:t>убсидии на обеспечение мероприятий по развитию жилищного строительства</w:t>
      </w:r>
      <w:r>
        <w:rPr>
          <w:rFonts w:eastAsia="Calibri"/>
          <w:sz w:val="28"/>
        </w:rPr>
        <w:t xml:space="preserve"> на общую сумму </w:t>
      </w:r>
      <w:r w:rsidRPr="0004568E">
        <w:rPr>
          <w:bCs/>
          <w:color w:val="000000"/>
          <w:sz w:val="28"/>
          <w:szCs w:val="28"/>
        </w:rPr>
        <w:t>1</w:t>
      </w:r>
      <w:r>
        <w:rPr>
          <w:bCs/>
          <w:color w:val="000000"/>
          <w:sz w:val="28"/>
          <w:szCs w:val="28"/>
        </w:rPr>
        <w:t> </w:t>
      </w:r>
      <w:r w:rsidRPr="0004568E">
        <w:rPr>
          <w:bCs/>
          <w:color w:val="000000"/>
          <w:sz w:val="28"/>
          <w:szCs w:val="28"/>
        </w:rPr>
        <w:t>237</w:t>
      </w:r>
      <w:r>
        <w:rPr>
          <w:bCs/>
          <w:color w:val="000000"/>
          <w:sz w:val="28"/>
          <w:szCs w:val="28"/>
        </w:rPr>
        <w:t> </w:t>
      </w:r>
      <w:r w:rsidRPr="0004568E">
        <w:rPr>
          <w:bCs/>
          <w:color w:val="000000"/>
          <w:sz w:val="28"/>
          <w:szCs w:val="28"/>
        </w:rPr>
        <w:t>072,0</w:t>
      </w:r>
      <w:r>
        <w:rPr>
          <w:b/>
          <w:bCs/>
          <w:color w:val="000000"/>
          <w:sz w:val="16"/>
          <w:szCs w:val="16"/>
        </w:rPr>
        <w:t xml:space="preserve"> </w:t>
      </w:r>
      <w:r>
        <w:rPr>
          <w:rFonts w:eastAsia="Calibri"/>
          <w:sz w:val="28"/>
        </w:rPr>
        <w:t>тыс. рублей со сроками реализации в 2020-2023 годах, из них с использованием средств окружного бюджета в 2021-</w:t>
      </w:r>
      <w:r>
        <w:rPr>
          <w:rFonts w:eastAsia="Calibri"/>
          <w:sz w:val="28"/>
        </w:rPr>
        <w:lastRenderedPageBreak/>
        <w:t>2022 годах – 898 </w:t>
      </w:r>
      <w:r w:rsidRPr="00686394">
        <w:rPr>
          <w:rFonts w:eastAsia="Calibri"/>
          <w:sz w:val="28"/>
        </w:rPr>
        <w:t>100</w:t>
      </w:r>
      <w:r>
        <w:rPr>
          <w:rFonts w:eastAsia="Calibri"/>
          <w:sz w:val="28"/>
        </w:rPr>
        <w:t xml:space="preserve">,1 тыс. рублей. Соглашениями предусмотрено приобретение 182 жилых помещений общей площадью 9 023,2 кв. м. </w:t>
      </w:r>
    </w:p>
    <w:p w:rsidR="00C404B9" w:rsidRDefault="00C404B9" w:rsidP="00C404B9">
      <w:pPr>
        <w:autoSpaceDE w:val="0"/>
        <w:autoSpaceDN w:val="0"/>
        <w:adjustRightInd w:val="0"/>
        <w:ind w:firstLine="720"/>
        <w:jc w:val="both"/>
        <w:rPr>
          <w:rFonts w:eastAsia="Calibri"/>
          <w:sz w:val="28"/>
          <w:szCs w:val="28"/>
          <w:lang w:eastAsia="en-US"/>
        </w:rPr>
      </w:pPr>
      <w:r w:rsidRPr="00865E7F">
        <w:rPr>
          <w:rFonts w:eastAsia="Calibri"/>
          <w:sz w:val="28"/>
          <w:szCs w:val="28"/>
          <w:lang w:eastAsia="en-US"/>
        </w:rPr>
        <w:t xml:space="preserve">В </w:t>
      </w:r>
      <w:r>
        <w:rPr>
          <w:rFonts w:eastAsia="Calibri"/>
          <w:sz w:val="28"/>
          <w:szCs w:val="28"/>
          <w:lang w:eastAsia="en-US"/>
        </w:rPr>
        <w:t>ходе проверки соблюдения требований бюджетного законодательства и нормативных правовых актов Чукотского автономного округа при заключении соглашений о предоставлении Субсидий на развитие жилищного строительства установлено:</w:t>
      </w:r>
    </w:p>
    <w:p w:rsidR="00C404B9" w:rsidRDefault="00C404B9" w:rsidP="00C404B9">
      <w:pPr>
        <w:autoSpaceDE w:val="0"/>
        <w:autoSpaceDN w:val="0"/>
        <w:adjustRightInd w:val="0"/>
        <w:ind w:firstLine="720"/>
        <w:jc w:val="both"/>
        <w:rPr>
          <w:rFonts w:eastAsia="Calibri"/>
          <w:sz w:val="28"/>
          <w:szCs w:val="28"/>
          <w:highlight w:val="cyan"/>
          <w:lang w:eastAsia="en-US"/>
        </w:rPr>
      </w:pPr>
      <w:r w:rsidRPr="001764CD">
        <w:rPr>
          <w:rFonts w:eastAsia="Calibri"/>
          <w:sz w:val="28"/>
          <w:szCs w:val="28"/>
          <w:lang w:eastAsia="en-US"/>
        </w:rPr>
        <w:t>- </w:t>
      </w:r>
      <w:r>
        <w:rPr>
          <w:rFonts w:eastAsia="Calibri"/>
          <w:sz w:val="28"/>
          <w:szCs w:val="28"/>
          <w:lang w:eastAsia="en-US"/>
        </w:rPr>
        <w:t xml:space="preserve">в </w:t>
      </w:r>
      <w:r w:rsidRPr="001764CD">
        <w:rPr>
          <w:rFonts w:eastAsia="Calibri"/>
          <w:sz w:val="28"/>
          <w:szCs w:val="28"/>
          <w:lang w:eastAsia="en-US"/>
        </w:rPr>
        <w:t xml:space="preserve">нарушение требований Порядка №12 к заключению 6 соглашений на предоставление </w:t>
      </w:r>
      <w:r>
        <w:rPr>
          <w:rFonts w:eastAsia="Calibri"/>
          <w:sz w:val="28"/>
          <w:szCs w:val="28"/>
          <w:lang w:eastAsia="en-US"/>
        </w:rPr>
        <w:t>С</w:t>
      </w:r>
      <w:r w:rsidRPr="001764CD">
        <w:rPr>
          <w:rFonts w:eastAsia="Calibri"/>
          <w:sz w:val="28"/>
          <w:szCs w:val="28"/>
          <w:lang w:eastAsia="en-US"/>
        </w:rPr>
        <w:t xml:space="preserve">убсидии на развитие жилищного строительства, Администрацией </w:t>
      </w:r>
      <w:proofErr w:type="spellStart"/>
      <w:r w:rsidRPr="001764CD">
        <w:rPr>
          <w:rFonts w:eastAsia="Calibri"/>
          <w:sz w:val="28"/>
          <w:szCs w:val="28"/>
          <w:lang w:eastAsia="en-US"/>
        </w:rPr>
        <w:t>Провиденского</w:t>
      </w:r>
      <w:proofErr w:type="spellEnd"/>
      <w:r w:rsidRPr="001764CD">
        <w:rPr>
          <w:rFonts w:eastAsia="Calibri"/>
          <w:sz w:val="28"/>
          <w:szCs w:val="28"/>
          <w:lang w:eastAsia="en-US"/>
        </w:rPr>
        <w:t xml:space="preserve"> городского округа не представлен</w:t>
      </w:r>
      <w:r>
        <w:rPr>
          <w:rFonts w:eastAsia="Calibri"/>
          <w:sz w:val="28"/>
          <w:szCs w:val="28"/>
          <w:lang w:eastAsia="en-US"/>
        </w:rPr>
        <w:t>ы</w:t>
      </w:r>
      <w:r w:rsidRPr="001764CD">
        <w:rPr>
          <w:rFonts w:eastAsia="Calibri"/>
          <w:sz w:val="28"/>
          <w:szCs w:val="28"/>
          <w:lang w:eastAsia="en-US"/>
        </w:rPr>
        <w:t xml:space="preserve"> </w:t>
      </w:r>
      <w:r w:rsidRPr="001764CD">
        <w:rPr>
          <w:sz w:val="28"/>
          <w:szCs w:val="28"/>
        </w:rPr>
        <w:t>списк</w:t>
      </w:r>
      <w:r>
        <w:rPr>
          <w:sz w:val="28"/>
          <w:szCs w:val="28"/>
        </w:rPr>
        <w:t>и</w:t>
      </w:r>
      <w:r w:rsidRPr="001764CD">
        <w:rPr>
          <w:sz w:val="28"/>
          <w:szCs w:val="28"/>
        </w:rPr>
        <w:t xml:space="preserve"> граждан, нуждающихся в жилых помещениях, предоставляемых</w:t>
      </w:r>
      <w:r w:rsidRPr="009D61AF">
        <w:rPr>
          <w:sz w:val="28"/>
          <w:szCs w:val="28"/>
        </w:rPr>
        <w:t xml:space="preserve"> по договорам социального найма, в который включены граждане, имеющие право на внеочередное получение жилых помещений</w:t>
      </w:r>
      <w:r>
        <w:rPr>
          <w:sz w:val="28"/>
          <w:szCs w:val="28"/>
        </w:rPr>
        <w:t>;</w:t>
      </w:r>
    </w:p>
    <w:p w:rsidR="00C404B9" w:rsidRDefault="00C404B9" w:rsidP="00C404B9">
      <w:pPr>
        <w:autoSpaceDE w:val="0"/>
        <w:autoSpaceDN w:val="0"/>
        <w:adjustRightInd w:val="0"/>
        <w:ind w:firstLine="720"/>
        <w:jc w:val="both"/>
        <w:rPr>
          <w:rFonts w:eastAsia="Calibri"/>
          <w:sz w:val="28"/>
          <w:szCs w:val="28"/>
          <w:lang w:eastAsia="en-US"/>
        </w:rPr>
      </w:pPr>
      <w:r w:rsidRPr="00793FC8">
        <w:rPr>
          <w:rFonts w:eastAsia="Calibri"/>
          <w:sz w:val="28"/>
          <w:szCs w:val="28"/>
          <w:lang w:eastAsia="en-US"/>
        </w:rPr>
        <w:t>- </w:t>
      </w:r>
      <w:r>
        <w:rPr>
          <w:rFonts w:eastAsia="Calibri"/>
          <w:sz w:val="28"/>
          <w:szCs w:val="28"/>
          <w:lang w:eastAsia="en-US"/>
        </w:rPr>
        <w:t xml:space="preserve">в </w:t>
      </w:r>
      <w:r w:rsidRPr="00793FC8">
        <w:rPr>
          <w:rFonts w:eastAsia="Calibri"/>
          <w:sz w:val="28"/>
          <w:szCs w:val="28"/>
          <w:lang w:eastAsia="en-US"/>
        </w:rPr>
        <w:t>нарушение требований стат</w:t>
      </w:r>
      <w:r>
        <w:rPr>
          <w:rFonts w:eastAsia="Calibri"/>
          <w:sz w:val="28"/>
          <w:szCs w:val="28"/>
          <w:lang w:eastAsia="en-US"/>
        </w:rPr>
        <w:t>ьи</w:t>
      </w:r>
      <w:r w:rsidRPr="00793FC8">
        <w:rPr>
          <w:rFonts w:eastAsia="Calibri"/>
          <w:sz w:val="28"/>
          <w:szCs w:val="28"/>
          <w:lang w:eastAsia="en-US"/>
        </w:rPr>
        <w:t xml:space="preserve"> 139 Бюджетного кодекса Российской Федерации, Департаментом промышленной политики Чукотского автономного округа заключен</w:t>
      </w:r>
      <w:r>
        <w:rPr>
          <w:rFonts w:eastAsia="Calibri"/>
          <w:sz w:val="28"/>
          <w:szCs w:val="28"/>
          <w:lang w:eastAsia="en-US"/>
        </w:rPr>
        <w:t>ы</w:t>
      </w:r>
      <w:r w:rsidRPr="00793FC8">
        <w:rPr>
          <w:rFonts w:eastAsia="Calibri"/>
          <w:sz w:val="28"/>
          <w:szCs w:val="28"/>
          <w:lang w:eastAsia="en-US"/>
        </w:rPr>
        <w:t xml:space="preserve"> 10 соглашений</w:t>
      </w:r>
      <w:r>
        <w:rPr>
          <w:rFonts w:eastAsia="Calibri"/>
          <w:sz w:val="28"/>
          <w:szCs w:val="28"/>
          <w:lang w:eastAsia="en-US"/>
        </w:rPr>
        <w:t xml:space="preserve">, </w:t>
      </w:r>
      <w:r w:rsidRPr="00793FC8">
        <w:rPr>
          <w:rFonts w:eastAsia="Calibri"/>
          <w:sz w:val="28"/>
          <w:szCs w:val="28"/>
          <w:lang w:eastAsia="en-US"/>
        </w:rPr>
        <w:t>несоответств</w:t>
      </w:r>
      <w:r>
        <w:rPr>
          <w:rFonts w:eastAsia="Calibri"/>
          <w:sz w:val="28"/>
          <w:szCs w:val="28"/>
          <w:lang w:eastAsia="en-US"/>
        </w:rPr>
        <w:t>ующие</w:t>
      </w:r>
      <w:r w:rsidRPr="00793FC8">
        <w:rPr>
          <w:rFonts w:eastAsia="Calibri"/>
          <w:sz w:val="28"/>
          <w:szCs w:val="28"/>
          <w:lang w:eastAsia="en-US"/>
        </w:rPr>
        <w:t xml:space="preserve"> Типовой форме соглашения (нарушена структура документа, отсутствуют отдельные положения);</w:t>
      </w:r>
    </w:p>
    <w:p w:rsidR="00C404B9" w:rsidRDefault="00C404B9" w:rsidP="00C404B9">
      <w:pPr>
        <w:autoSpaceDE w:val="0"/>
        <w:autoSpaceDN w:val="0"/>
        <w:adjustRightInd w:val="0"/>
        <w:ind w:firstLine="720"/>
        <w:jc w:val="both"/>
        <w:rPr>
          <w:sz w:val="28"/>
          <w:szCs w:val="28"/>
        </w:rPr>
      </w:pPr>
      <w:r>
        <w:rPr>
          <w:rFonts w:eastAsia="Calibri"/>
          <w:sz w:val="28"/>
          <w:szCs w:val="28"/>
          <w:lang w:eastAsia="en-US"/>
        </w:rPr>
        <w:t>- в</w:t>
      </w:r>
      <w:r w:rsidRPr="002D2CE0">
        <w:rPr>
          <w:sz w:val="28"/>
          <w:szCs w:val="28"/>
        </w:rPr>
        <w:t xml:space="preserve"> нарушение статьи 162 и статьи 219 Бюджетного кодекса</w:t>
      </w:r>
      <w:r>
        <w:rPr>
          <w:sz w:val="28"/>
          <w:szCs w:val="28"/>
        </w:rPr>
        <w:t xml:space="preserve"> Российской Федерации, Департаментом промышленности</w:t>
      </w:r>
      <w:r w:rsidRPr="002D2CE0">
        <w:rPr>
          <w:rStyle w:val="afff0"/>
          <w:sz w:val="28"/>
          <w:szCs w:val="28"/>
        </w:rPr>
        <w:t xml:space="preserve"> </w:t>
      </w:r>
      <w:r w:rsidRPr="004F4150">
        <w:rPr>
          <w:rStyle w:val="afff0"/>
          <w:sz w:val="28"/>
          <w:szCs w:val="28"/>
        </w:rPr>
        <w:t>приняты бюджетные обязательства</w:t>
      </w:r>
      <w:r>
        <w:rPr>
          <w:rStyle w:val="afff0"/>
          <w:sz w:val="28"/>
          <w:szCs w:val="28"/>
        </w:rPr>
        <w:t xml:space="preserve"> </w:t>
      </w:r>
      <w:r w:rsidRPr="004F4150">
        <w:rPr>
          <w:rStyle w:val="afff0"/>
          <w:sz w:val="28"/>
          <w:szCs w:val="28"/>
        </w:rPr>
        <w:t>в размер</w:t>
      </w:r>
      <w:r>
        <w:rPr>
          <w:rStyle w:val="afff0"/>
          <w:sz w:val="28"/>
          <w:szCs w:val="28"/>
        </w:rPr>
        <w:t>е</w:t>
      </w:r>
      <w:r>
        <w:rPr>
          <w:sz w:val="28"/>
          <w:szCs w:val="28"/>
        </w:rPr>
        <w:t xml:space="preserve"> </w:t>
      </w:r>
      <w:r w:rsidRPr="005F546E">
        <w:rPr>
          <w:rFonts w:eastAsia="Calibri"/>
          <w:sz w:val="28"/>
          <w:szCs w:val="28"/>
        </w:rPr>
        <w:t>104 669,5 тыс. рублей</w:t>
      </w:r>
      <w:r w:rsidRPr="004F4150">
        <w:rPr>
          <w:rStyle w:val="afff0"/>
          <w:sz w:val="28"/>
          <w:szCs w:val="28"/>
        </w:rPr>
        <w:t xml:space="preserve">, </w:t>
      </w:r>
      <w:r>
        <w:rPr>
          <w:rStyle w:val="afff0"/>
          <w:sz w:val="28"/>
          <w:szCs w:val="28"/>
        </w:rPr>
        <w:t>в</w:t>
      </w:r>
      <w:r>
        <w:rPr>
          <w:sz w:val="28"/>
          <w:szCs w:val="28"/>
        </w:rPr>
        <w:t xml:space="preserve"> отсутствие</w:t>
      </w:r>
      <w:r w:rsidRPr="004F4150">
        <w:rPr>
          <w:rStyle w:val="afff0"/>
          <w:sz w:val="28"/>
          <w:szCs w:val="28"/>
        </w:rPr>
        <w:t xml:space="preserve"> </w:t>
      </w:r>
      <w:r w:rsidRPr="00FE2E95">
        <w:rPr>
          <w:rFonts w:eastAsia="Calibri"/>
          <w:sz w:val="28"/>
          <w:szCs w:val="28"/>
        </w:rPr>
        <w:t>доведенны</w:t>
      </w:r>
      <w:r>
        <w:rPr>
          <w:rFonts w:eastAsia="Calibri"/>
          <w:sz w:val="28"/>
          <w:szCs w:val="28"/>
        </w:rPr>
        <w:t>х</w:t>
      </w:r>
      <w:r w:rsidRPr="00FE2E95">
        <w:rPr>
          <w:rFonts w:eastAsia="Calibri"/>
          <w:sz w:val="28"/>
          <w:szCs w:val="28"/>
        </w:rPr>
        <w:t xml:space="preserve"> лимит</w:t>
      </w:r>
      <w:r>
        <w:rPr>
          <w:rFonts w:eastAsia="Calibri"/>
          <w:sz w:val="28"/>
          <w:szCs w:val="28"/>
        </w:rPr>
        <w:t>ов</w:t>
      </w:r>
      <w:r w:rsidRPr="00FE2E95">
        <w:rPr>
          <w:rFonts w:eastAsia="Calibri"/>
          <w:sz w:val="28"/>
          <w:szCs w:val="28"/>
        </w:rPr>
        <w:t xml:space="preserve"> бюджетных обязательств на 2023 год</w:t>
      </w:r>
      <w:r w:rsidRPr="00FE2E95">
        <w:rPr>
          <w:sz w:val="28"/>
          <w:szCs w:val="28"/>
        </w:rPr>
        <w:t>,</w:t>
      </w:r>
      <w:r w:rsidRPr="002D2CE0">
        <w:rPr>
          <w:rStyle w:val="afff0"/>
          <w:sz w:val="28"/>
          <w:szCs w:val="28"/>
        </w:rPr>
        <w:t xml:space="preserve"> </w:t>
      </w:r>
      <w:r>
        <w:rPr>
          <w:sz w:val="28"/>
          <w:szCs w:val="28"/>
        </w:rPr>
        <w:t xml:space="preserve"> </w:t>
      </w:r>
      <w:r w:rsidRPr="002D2CE0">
        <w:rPr>
          <w:sz w:val="28"/>
          <w:szCs w:val="28"/>
        </w:rPr>
        <w:t xml:space="preserve">путем заключения </w:t>
      </w:r>
      <w:r>
        <w:rPr>
          <w:sz w:val="28"/>
          <w:szCs w:val="28"/>
        </w:rPr>
        <w:t>С</w:t>
      </w:r>
      <w:r w:rsidRPr="002D2CE0">
        <w:rPr>
          <w:sz w:val="28"/>
          <w:szCs w:val="28"/>
        </w:rPr>
        <w:t>оглашени</w:t>
      </w:r>
      <w:r>
        <w:rPr>
          <w:sz w:val="28"/>
          <w:szCs w:val="28"/>
        </w:rPr>
        <w:t>я</w:t>
      </w:r>
      <w:r w:rsidRPr="002D2CE0">
        <w:rPr>
          <w:sz w:val="28"/>
          <w:szCs w:val="28"/>
        </w:rPr>
        <w:t xml:space="preserve"> о</w:t>
      </w:r>
      <w:r>
        <w:rPr>
          <w:sz w:val="28"/>
          <w:szCs w:val="28"/>
        </w:rPr>
        <w:t> </w:t>
      </w:r>
      <w:r w:rsidRPr="002D2CE0">
        <w:rPr>
          <w:sz w:val="28"/>
          <w:szCs w:val="28"/>
        </w:rPr>
        <w:t>предоставлении</w:t>
      </w:r>
      <w:r>
        <w:rPr>
          <w:sz w:val="28"/>
          <w:szCs w:val="28"/>
        </w:rPr>
        <w:t xml:space="preserve"> Субсидии на развитие жилищного строительства Администрации сельского поселения Уэлен</w:t>
      </w:r>
      <w:r w:rsidRPr="008C41DE">
        <w:rPr>
          <w:sz w:val="28"/>
          <w:szCs w:val="28"/>
        </w:rPr>
        <w:t xml:space="preserve"> </w:t>
      </w:r>
      <w:r>
        <w:rPr>
          <w:sz w:val="28"/>
          <w:szCs w:val="28"/>
        </w:rPr>
        <w:t>в 2023 году, что содержит признаки административного правонарушения.</w:t>
      </w:r>
    </w:p>
    <w:p w:rsidR="00C404B9" w:rsidRPr="00F50C9E" w:rsidRDefault="00C404B9" w:rsidP="00C404B9">
      <w:pPr>
        <w:ind w:firstLine="709"/>
        <w:jc w:val="both"/>
        <w:rPr>
          <w:rFonts w:eastAsia="Calibri"/>
          <w:sz w:val="16"/>
          <w:szCs w:val="16"/>
          <w:lang w:eastAsia="en-US"/>
        </w:rPr>
      </w:pPr>
    </w:p>
    <w:p w:rsidR="00C404B9" w:rsidRPr="00D34196" w:rsidRDefault="00C404B9" w:rsidP="00C404B9">
      <w:pPr>
        <w:ind w:firstLine="709"/>
        <w:jc w:val="both"/>
        <w:rPr>
          <w:rFonts w:eastAsia="Calibri"/>
          <w:sz w:val="28"/>
        </w:rPr>
      </w:pPr>
      <w:r>
        <w:rPr>
          <w:rFonts w:eastAsia="Calibri"/>
          <w:sz w:val="28"/>
          <w:szCs w:val="28"/>
          <w:lang w:eastAsia="en-US"/>
        </w:rPr>
        <w:t xml:space="preserve">4. </w:t>
      </w:r>
      <w:r w:rsidRPr="00D34196">
        <w:rPr>
          <w:rFonts w:eastAsia="Calibri"/>
          <w:sz w:val="28"/>
        </w:rPr>
        <w:t>Из 10 заключенных с муниципальными образованиями Соглашений</w:t>
      </w:r>
      <w:r>
        <w:rPr>
          <w:rFonts w:eastAsia="Calibri"/>
          <w:sz w:val="28"/>
        </w:rPr>
        <w:t xml:space="preserve"> о предоставлении субсидии на обеспечение мероприятий по развитию жилищного строительства</w:t>
      </w:r>
      <w:r w:rsidRPr="00D34196">
        <w:rPr>
          <w:rFonts w:eastAsia="Calibri"/>
          <w:sz w:val="28"/>
        </w:rPr>
        <w:t>:</w:t>
      </w:r>
    </w:p>
    <w:p w:rsidR="00C404B9" w:rsidRPr="00D34196" w:rsidRDefault="00C404B9" w:rsidP="00C404B9">
      <w:pPr>
        <w:ind w:left="57" w:right="57" w:firstLine="651"/>
        <w:jc w:val="both"/>
        <w:rPr>
          <w:rFonts w:eastAsia="Calibri"/>
          <w:sz w:val="28"/>
          <w:szCs w:val="28"/>
          <w:lang w:eastAsia="en-US"/>
        </w:rPr>
      </w:pPr>
      <w:r w:rsidRPr="00D34196">
        <w:rPr>
          <w:rFonts w:eastAsia="Calibri"/>
          <w:sz w:val="28"/>
        </w:rPr>
        <w:t xml:space="preserve">- два соглашения расторгнуты </w:t>
      </w:r>
      <w:r w:rsidRPr="00D34196">
        <w:rPr>
          <w:rFonts w:eastAsia="Calibri"/>
          <w:sz w:val="28"/>
          <w:szCs w:val="28"/>
          <w:lang w:eastAsia="en-US"/>
        </w:rPr>
        <w:t xml:space="preserve">в 2021 году в связи с расторжением муниципальных контрактов с застройщиком (НАО «ЧТК») по причине невозможности осуществления строительства двух двухэтажных многоквартирных жилых домов </w:t>
      </w:r>
      <w:r>
        <w:rPr>
          <w:rFonts w:eastAsia="Calibri"/>
          <w:sz w:val="28"/>
          <w:szCs w:val="28"/>
          <w:lang w:eastAsia="en-US"/>
        </w:rPr>
        <w:t xml:space="preserve">в </w:t>
      </w:r>
      <w:r w:rsidRPr="00D34196">
        <w:rPr>
          <w:rFonts w:eastAsia="Calibri"/>
          <w:sz w:val="28"/>
          <w:szCs w:val="28"/>
          <w:lang w:eastAsia="en-US"/>
        </w:rPr>
        <w:t xml:space="preserve">с. </w:t>
      </w:r>
      <w:proofErr w:type="spellStart"/>
      <w:r w:rsidRPr="00D34196">
        <w:rPr>
          <w:rFonts w:eastAsia="Calibri"/>
          <w:sz w:val="28"/>
          <w:szCs w:val="28"/>
          <w:lang w:eastAsia="en-US"/>
        </w:rPr>
        <w:t>Сиреники</w:t>
      </w:r>
      <w:proofErr w:type="spellEnd"/>
      <w:r w:rsidRPr="00D34196">
        <w:rPr>
          <w:rFonts w:eastAsia="Calibri"/>
          <w:sz w:val="28"/>
          <w:szCs w:val="28"/>
          <w:lang w:eastAsia="en-US"/>
        </w:rPr>
        <w:t xml:space="preserve"> на выделенных земельных участках по причине сложных геологических условий (невозможность восприятия грунтами расчетных проектных нагрузок). Администрацией </w:t>
      </w:r>
      <w:proofErr w:type="spellStart"/>
      <w:r w:rsidRPr="00D34196">
        <w:rPr>
          <w:rFonts w:eastAsia="Calibri"/>
          <w:sz w:val="28"/>
          <w:szCs w:val="28"/>
          <w:lang w:eastAsia="en-US"/>
        </w:rPr>
        <w:t>Провиденского</w:t>
      </w:r>
      <w:proofErr w:type="spellEnd"/>
      <w:r w:rsidRPr="00D34196">
        <w:rPr>
          <w:rFonts w:eastAsia="Calibri"/>
          <w:sz w:val="28"/>
          <w:szCs w:val="28"/>
          <w:lang w:eastAsia="en-US"/>
        </w:rPr>
        <w:t xml:space="preserve"> городского округа осуществлен возврат в окружной бюджет средств субсидии в сумме 67 063,3 тыс. рублей;</w:t>
      </w:r>
    </w:p>
    <w:p w:rsidR="00C404B9" w:rsidRPr="00D34196" w:rsidRDefault="00C404B9" w:rsidP="00C404B9">
      <w:pPr>
        <w:autoSpaceDE w:val="0"/>
        <w:autoSpaceDN w:val="0"/>
        <w:adjustRightInd w:val="0"/>
        <w:ind w:firstLine="709"/>
        <w:jc w:val="both"/>
        <w:rPr>
          <w:rFonts w:eastAsia="Calibri"/>
          <w:sz w:val="28"/>
          <w:szCs w:val="28"/>
        </w:rPr>
      </w:pPr>
      <w:r w:rsidRPr="00D34196">
        <w:rPr>
          <w:rFonts w:eastAsia="Calibri"/>
          <w:sz w:val="28"/>
          <w:szCs w:val="28"/>
          <w:lang w:eastAsia="en-US"/>
        </w:rPr>
        <w:t xml:space="preserve">- не </w:t>
      </w:r>
      <w:r>
        <w:rPr>
          <w:rFonts w:eastAsia="Calibri"/>
          <w:sz w:val="28"/>
          <w:szCs w:val="28"/>
          <w:lang w:eastAsia="en-US"/>
        </w:rPr>
        <w:t>планируется к реализации</w:t>
      </w:r>
      <w:r w:rsidRPr="00D34196">
        <w:rPr>
          <w:rFonts w:eastAsia="Calibri"/>
          <w:sz w:val="28"/>
        </w:rPr>
        <w:t xml:space="preserve"> соглашение, заключенное Департаментом с </w:t>
      </w:r>
      <w:r w:rsidRPr="00D34196">
        <w:rPr>
          <w:rFonts w:eastAsia="Calibri"/>
          <w:sz w:val="28"/>
          <w:szCs w:val="28"/>
        </w:rPr>
        <w:t xml:space="preserve">Администрацией городского округа </w:t>
      </w:r>
      <w:proofErr w:type="spellStart"/>
      <w:r w:rsidRPr="00D34196">
        <w:rPr>
          <w:rFonts w:eastAsia="Calibri"/>
          <w:sz w:val="28"/>
          <w:szCs w:val="28"/>
        </w:rPr>
        <w:t>Эгвекинот</w:t>
      </w:r>
      <w:proofErr w:type="spellEnd"/>
      <w:r w:rsidRPr="00D34196">
        <w:rPr>
          <w:rFonts w:eastAsia="Calibri"/>
          <w:sz w:val="28"/>
          <w:szCs w:val="28"/>
        </w:rPr>
        <w:t xml:space="preserve"> </w:t>
      </w:r>
      <w:r>
        <w:rPr>
          <w:rFonts w:eastAsia="Calibri"/>
          <w:sz w:val="28"/>
          <w:szCs w:val="28"/>
        </w:rPr>
        <w:t xml:space="preserve">на сумму 51 821,5 тыс. рублей </w:t>
      </w:r>
      <w:r w:rsidRPr="00D34196">
        <w:rPr>
          <w:rFonts w:eastAsia="Calibri"/>
          <w:sz w:val="28"/>
          <w:szCs w:val="28"/>
        </w:rPr>
        <w:t xml:space="preserve">на строительство 12 жилых домов в селе </w:t>
      </w:r>
      <w:proofErr w:type="spellStart"/>
      <w:r w:rsidRPr="00D34196">
        <w:rPr>
          <w:rFonts w:eastAsia="Calibri"/>
          <w:sz w:val="28"/>
          <w:szCs w:val="28"/>
        </w:rPr>
        <w:t>Уэлькаль</w:t>
      </w:r>
      <w:proofErr w:type="spellEnd"/>
      <w:r w:rsidRPr="00D34196">
        <w:rPr>
          <w:rFonts w:eastAsia="Calibri"/>
          <w:sz w:val="28"/>
          <w:szCs w:val="28"/>
        </w:rPr>
        <w:t xml:space="preserve"> общей площадью не менее 736,0 кв.</w:t>
      </w:r>
      <w:r>
        <w:rPr>
          <w:rFonts w:eastAsia="Calibri"/>
          <w:sz w:val="28"/>
          <w:szCs w:val="28"/>
          <w:lang w:val="en-US"/>
        </w:rPr>
        <w:t> </w:t>
      </w:r>
      <w:r w:rsidRPr="00D34196">
        <w:rPr>
          <w:rFonts w:eastAsia="Calibri"/>
          <w:sz w:val="28"/>
          <w:szCs w:val="28"/>
        </w:rPr>
        <w:t>м</w:t>
      </w:r>
      <w:r>
        <w:rPr>
          <w:rFonts w:eastAsia="Calibri"/>
          <w:sz w:val="28"/>
          <w:szCs w:val="28"/>
        </w:rPr>
        <w:t>,</w:t>
      </w:r>
      <w:r w:rsidRPr="00D34196">
        <w:rPr>
          <w:rFonts w:eastAsia="Calibri"/>
          <w:sz w:val="28"/>
          <w:szCs w:val="28"/>
        </w:rPr>
        <w:t xml:space="preserve"> по причине недостаточности предусмотренных соглашением бюджетных средств;</w:t>
      </w:r>
    </w:p>
    <w:p w:rsidR="00C404B9" w:rsidRPr="00D34196" w:rsidRDefault="00C404B9" w:rsidP="00C404B9">
      <w:pPr>
        <w:ind w:right="57" w:firstLine="708"/>
        <w:jc w:val="both"/>
        <w:rPr>
          <w:sz w:val="28"/>
          <w:szCs w:val="28"/>
        </w:rPr>
      </w:pPr>
      <w:r w:rsidRPr="00D34196">
        <w:rPr>
          <w:rFonts w:eastAsia="Calibri"/>
          <w:sz w:val="28"/>
          <w:szCs w:val="28"/>
        </w:rPr>
        <w:t xml:space="preserve"> - </w:t>
      </w:r>
      <w:r w:rsidRPr="00D34196">
        <w:rPr>
          <w:rFonts w:eastAsia="Calibri"/>
          <w:sz w:val="28"/>
          <w:szCs w:val="28"/>
          <w:lang w:eastAsia="en-US"/>
        </w:rPr>
        <w:t xml:space="preserve">в рамках выполнения 4-х заключенных Соглашений муниципальным образованиям предоставлена субсидия в общей </w:t>
      </w:r>
      <w:r w:rsidRPr="004F0992">
        <w:rPr>
          <w:rFonts w:eastAsia="Calibri"/>
          <w:sz w:val="28"/>
          <w:szCs w:val="28"/>
          <w:lang w:eastAsia="en-US"/>
        </w:rPr>
        <w:t>сумме 182 893,5 тыс</w:t>
      </w:r>
      <w:r w:rsidRPr="00D34196">
        <w:rPr>
          <w:rFonts w:eastAsia="Calibri"/>
          <w:sz w:val="28"/>
          <w:szCs w:val="28"/>
          <w:lang w:eastAsia="en-US"/>
        </w:rPr>
        <w:t xml:space="preserve">. рублей. Уполномоченными органами заключено </w:t>
      </w:r>
      <w:r w:rsidRPr="00587992">
        <w:rPr>
          <w:rFonts w:eastAsia="Calibri"/>
          <w:sz w:val="28"/>
          <w:szCs w:val="28"/>
          <w:lang w:eastAsia="en-US"/>
        </w:rPr>
        <w:t xml:space="preserve">4 муниципальных контракта на приобретение 58 жилых помещений общей площадью не менее 2 561,0 кв. м </w:t>
      </w:r>
      <w:r w:rsidRPr="004F0992">
        <w:rPr>
          <w:rFonts w:eastAsia="Calibri"/>
          <w:sz w:val="28"/>
          <w:szCs w:val="28"/>
          <w:lang w:eastAsia="en-US"/>
        </w:rPr>
        <w:t xml:space="preserve">на </w:t>
      </w:r>
      <w:r w:rsidRPr="004F0992">
        <w:rPr>
          <w:rFonts w:eastAsia="Calibri"/>
          <w:sz w:val="28"/>
          <w:szCs w:val="28"/>
          <w:lang w:eastAsia="en-US"/>
        </w:rPr>
        <w:lastRenderedPageBreak/>
        <w:t>общую сумму 491 711,0 тыс. рублей.</w:t>
      </w:r>
      <w:r w:rsidRPr="00587992">
        <w:rPr>
          <w:rFonts w:eastAsia="Calibri"/>
          <w:sz w:val="28"/>
          <w:szCs w:val="28"/>
          <w:lang w:eastAsia="en-US"/>
        </w:rPr>
        <w:t xml:space="preserve"> По д</w:t>
      </w:r>
      <w:r w:rsidRPr="00D34196">
        <w:rPr>
          <w:rFonts w:eastAsia="Calibri"/>
          <w:sz w:val="28"/>
          <w:szCs w:val="28"/>
          <w:lang w:eastAsia="en-US"/>
        </w:rPr>
        <w:t xml:space="preserve">вум </w:t>
      </w:r>
      <w:r w:rsidRPr="00D34196">
        <w:rPr>
          <w:sz w:val="28"/>
          <w:szCs w:val="28"/>
        </w:rPr>
        <w:t xml:space="preserve">муниципальным контрактам </w:t>
      </w:r>
      <w:r w:rsidRPr="00D34196">
        <w:rPr>
          <w:rFonts w:eastAsia="Calibri"/>
          <w:sz w:val="28"/>
          <w:szCs w:val="28"/>
          <w:lang w:eastAsia="en-US"/>
        </w:rPr>
        <w:t xml:space="preserve">за счет средств окружного бюджета </w:t>
      </w:r>
      <w:r w:rsidRPr="00D34196">
        <w:rPr>
          <w:sz w:val="28"/>
          <w:szCs w:val="28"/>
        </w:rPr>
        <w:t xml:space="preserve">перечислены авансовые платежи на выкуп жилых помещений у застройщика на общую </w:t>
      </w:r>
      <w:r w:rsidRPr="004F0992">
        <w:rPr>
          <w:sz w:val="28"/>
          <w:szCs w:val="28"/>
        </w:rPr>
        <w:t>сумму 87 340,5 тыс. рублей – на приобретение 27 жилых помещений в с. </w:t>
      </w:r>
      <w:proofErr w:type="spellStart"/>
      <w:r w:rsidRPr="004F0992">
        <w:rPr>
          <w:sz w:val="28"/>
          <w:szCs w:val="28"/>
        </w:rPr>
        <w:t>Сиреники</w:t>
      </w:r>
      <w:proofErr w:type="spellEnd"/>
      <w:r w:rsidRPr="00D34196">
        <w:rPr>
          <w:sz w:val="28"/>
          <w:szCs w:val="28"/>
        </w:rPr>
        <w:t xml:space="preserve"> и 8 жилых помещений в с. </w:t>
      </w:r>
      <w:proofErr w:type="spellStart"/>
      <w:r w:rsidRPr="00D34196">
        <w:rPr>
          <w:sz w:val="28"/>
          <w:szCs w:val="28"/>
        </w:rPr>
        <w:t>Конергино</w:t>
      </w:r>
      <w:proofErr w:type="spellEnd"/>
      <w:r w:rsidRPr="00D34196">
        <w:rPr>
          <w:sz w:val="28"/>
          <w:szCs w:val="28"/>
        </w:rPr>
        <w:t>.</w:t>
      </w:r>
      <w:r>
        <w:rPr>
          <w:sz w:val="28"/>
          <w:szCs w:val="28"/>
        </w:rPr>
        <w:t> </w:t>
      </w:r>
      <w:r w:rsidRPr="00D34196">
        <w:rPr>
          <w:sz w:val="28"/>
          <w:szCs w:val="28"/>
        </w:rPr>
        <w:t>Неиспользованные муниципальны</w:t>
      </w:r>
      <w:r>
        <w:rPr>
          <w:sz w:val="28"/>
          <w:szCs w:val="28"/>
        </w:rPr>
        <w:t>ми</w:t>
      </w:r>
      <w:r w:rsidRPr="00D34196">
        <w:rPr>
          <w:sz w:val="28"/>
          <w:szCs w:val="28"/>
        </w:rPr>
        <w:t xml:space="preserve"> образовани</w:t>
      </w:r>
      <w:r>
        <w:rPr>
          <w:sz w:val="28"/>
          <w:szCs w:val="28"/>
        </w:rPr>
        <w:t>ями</w:t>
      </w:r>
      <w:r w:rsidRPr="00D34196">
        <w:rPr>
          <w:sz w:val="28"/>
          <w:szCs w:val="28"/>
        </w:rPr>
        <w:t xml:space="preserve"> средства субсидии </w:t>
      </w:r>
      <w:r>
        <w:rPr>
          <w:sz w:val="28"/>
          <w:szCs w:val="28"/>
        </w:rPr>
        <w:t xml:space="preserve">в общем объеме </w:t>
      </w:r>
      <w:r w:rsidRPr="00D34196">
        <w:rPr>
          <w:sz w:val="28"/>
          <w:szCs w:val="28"/>
        </w:rPr>
        <w:t xml:space="preserve">95 553,0 тыс. рублей </w:t>
      </w:r>
      <w:r>
        <w:rPr>
          <w:sz w:val="28"/>
          <w:szCs w:val="28"/>
        </w:rPr>
        <w:t>(</w:t>
      </w:r>
      <w:r w:rsidRPr="00F00126">
        <w:rPr>
          <w:sz w:val="28"/>
          <w:szCs w:val="28"/>
        </w:rPr>
        <w:t>в с</w:t>
      </w:r>
      <w:r>
        <w:rPr>
          <w:sz w:val="28"/>
          <w:szCs w:val="28"/>
        </w:rPr>
        <w:t>. </w:t>
      </w:r>
      <w:r w:rsidRPr="00F00126">
        <w:rPr>
          <w:sz w:val="28"/>
          <w:szCs w:val="28"/>
        </w:rPr>
        <w:t>Уэлен на приобретение 16</w:t>
      </w:r>
      <w:r>
        <w:rPr>
          <w:sz w:val="28"/>
          <w:szCs w:val="28"/>
        </w:rPr>
        <w:t> </w:t>
      </w:r>
      <w:r w:rsidRPr="00F00126">
        <w:rPr>
          <w:sz w:val="28"/>
          <w:szCs w:val="28"/>
        </w:rPr>
        <w:t>жилых помещений площадью не менее 752 кв.</w:t>
      </w:r>
      <w:r>
        <w:rPr>
          <w:sz w:val="28"/>
          <w:szCs w:val="28"/>
        </w:rPr>
        <w:t xml:space="preserve"> </w:t>
      </w:r>
      <w:r w:rsidRPr="00F00126">
        <w:rPr>
          <w:sz w:val="28"/>
          <w:szCs w:val="28"/>
        </w:rPr>
        <w:t>м</w:t>
      </w:r>
      <w:r>
        <w:rPr>
          <w:sz w:val="28"/>
          <w:szCs w:val="28"/>
        </w:rPr>
        <w:t xml:space="preserve"> и </w:t>
      </w:r>
      <w:r w:rsidRPr="00F00126">
        <w:rPr>
          <w:sz w:val="28"/>
          <w:szCs w:val="28"/>
        </w:rPr>
        <w:t xml:space="preserve">в селе </w:t>
      </w:r>
      <w:proofErr w:type="spellStart"/>
      <w:r w:rsidRPr="00F00126">
        <w:rPr>
          <w:sz w:val="28"/>
          <w:szCs w:val="28"/>
        </w:rPr>
        <w:t>Янракыннот</w:t>
      </w:r>
      <w:proofErr w:type="spellEnd"/>
      <w:r w:rsidRPr="00F00126">
        <w:rPr>
          <w:sz w:val="28"/>
          <w:szCs w:val="28"/>
        </w:rPr>
        <w:t xml:space="preserve"> на выкуп 7 жилых помещений общей площадью не менее 314 кв.</w:t>
      </w:r>
      <w:r>
        <w:rPr>
          <w:sz w:val="28"/>
          <w:szCs w:val="28"/>
        </w:rPr>
        <w:t xml:space="preserve"> </w:t>
      </w:r>
      <w:r w:rsidRPr="00F00126">
        <w:rPr>
          <w:sz w:val="28"/>
          <w:szCs w:val="28"/>
        </w:rPr>
        <w:t>м</w:t>
      </w:r>
      <w:r>
        <w:rPr>
          <w:sz w:val="28"/>
          <w:szCs w:val="28"/>
        </w:rPr>
        <w:t>)</w:t>
      </w:r>
      <w:r w:rsidRPr="00F00126">
        <w:rPr>
          <w:sz w:val="28"/>
          <w:szCs w:val="28"/>
        </w:rPr>
        <w:t xml:space="preserve"> </w:t>
      </w:r>
      <w:r w:rsidRPr="00D34196">
        <w:rPr>
          <w:sz w:val="28"/>
          <w:szCs w:val="28"/>
        </w:rPr>
        <w:t xml:space="preserve">в январе 2022 года возвращены в окружной бюджет; </w:t>
      </w:r>
    </w:p>
    <w:p w:rsidR="00C404B9" w:rsidRDefault="00C404B9" w:rsidP="00C404B9">
      <w:pPr>
        <w:autoSpaceDE w:val="0"/>
        <w:autoSpaceDN w:val="0"/>
        <w:adjustRightInd w:val="0"/>
        <w:ind w:firstLine="709"/>
        <w:jc w:val="both"/>
        <w:rPr>
          <w:rFonts w:eastAsia="Calibri"/>
          <w:sz w:val="28"/>
          <w:szCs w:val="28"/>
          <w:lang w:eastAsia="en-US"/>
        </w:rPr>
      </w:pPr>
      <w:r>
        <w:rPr>
          <w:rFonts w:eastAsia="Calibri"/>
          <w:sz w:val="28"/>
          <w:szCs w:val="28"/>
        </w:rPr>
        <w:t xml:space="preserve">- три соглашения заключены в феврале 2022 года. По состоянию на 1 апреля 2022 года </w:t>
      </w:r>
      <w:r w:rsidRPr="006E7DE5">
        <w:rPr>
          <w:rFonts w:eastAsia="Calibri"/>
          <w:sz w:val="28"/>
          <w:szCs w:val="28"/>
          <w:lang w:eastAsia="en-US"/>
        </w:rPr>
        <w:t>Департаментом предоставление субсидии на развитие жилищного строительства не осуществлялось</w:t>
      </w:r>
      <w:r>
        <w:rPr>
          <w:rFonts w:eastAsia="Calibri"/>
          <w:sz w:val="28"/>
          <w:szCs w:val="28"/>
          <w:lang w:eastAsia="en-US"/>
        </w:rPr>
        <w:t>,</w:t>
      </w:r>
      <w:r w:rsidRPr="006E7DE5">
        <w:rPr>
          <w:rFonts w:eastAsia="Calibri"/>
          <w:sz w:val="28"/>
          <w:szCs w:val="28"/>
          <w:lang w:eastAsia="en-US"/>
        </w:rPr>
        <w:t xml:space="preserve"> </w:t>
      </w:r>
      <w:r w:rsidRPr="00DB117D">
        <w:rPr>
          <w:rFonts w:eastAsia="Calibri"/>
          <w:sz w:val="28"/>
          <w:szCs w:val="28"/>
          <w:lang w:eastAsia="en-US"/>
        </w:rPr>
        <w:t>уполномоченными органами муниципальные контракты на приобретение жилых помещений не заключались, проводятся мероприятия в целях проведения конкурентных процедур по определению исполнителей в соответствии с законодательством о контрактной системе.</w:t>
      </w:r>
    </w:p>
    <w:p w:rsidR="00C404B9" w:rsidRPr="00F50C9E" w:rsidRDefault="00C404B9" w:rsidP="00C404B9">
      <w:pPr>
        <w:autoSpaceDE w:val="0"/>
        <w:autoSpaceDN w:val="0"/>
        <w:adjustRightInd w:val="0"/>
        <w:ind w:firstLine="709"/>
        <w:jc w:val="both"/>
        <w:rPr>
          <w:rFonts w:eastAsia="Calibri"/>
          <w:sz w:val="16"/>
          <w:szCs w:val="16"/>
          <w:lang w:eastAsia="en-US"/>
        </w:rPr>
      </w:pPr>
    </w:p>
    <w:p w:rsidR="00C404B9" w:rsidRPr="005F546E" w:rsidRDefault="00C404B9" w:rsidP="00C404B9">
      <w:pPr>
        <w:ind w:left="57" w:right="57"/>
        <w:jc w:val="both"/>
        <w:rPr>
          <w:rFonts w:eastAsia="Calibri"/>
          <w:sz w:val="28"/>
          <w:szCs w:val="28"/>
        </w:rPr>
      </w:pPr>
      <w:r w:rsidRPr="00F00126">
        <w:rPr>
          <w:sz w:val="28"/>
          <w:szCs w:val="28"/>
        </w:rPr>
        <w:tab/>
      </w:r>
      <w:r>
        <w:rPr>
          <w:rFonts w:eastAsia="Calibri"/>
          <w:sz w:val="28"/>
          <w:szCs w:val="28"/>
          <w:lang w:eastAsia="en-US"/>
        </w:rPr>
        <w:t>5. </w:t>
      </w:r>
      <w:r>
        <w:rPr>
          <w:sz w:val="28"/>
          <w:szCs w:val="28"/>
        </w:rPr>
        <w:t xml:space="preserve">В </w:t>
      </w:r>
      <w:r w:rsidRPr="00A971A9">
        <w:rPr>
          <w:sz w:val="28"/>
        </w:rPr>
        <w:t>нарушение статьи 162 и статьи 219 Бюджетного кодекса</w:t>
      </w:r>
      <w:r>
        <w:rPr>
          <w:sz w:val="28"/>
        </w:rPr>
        <w:t xml:space="preserve"> Российской Федерации</w:t>
      </w:r>
      <w:r w:rsidRPr="00A971A9">
        <w:rPr>
          <w:sz w:val="28"/>
        </w:rPr>
        <w:t>, Администрацией</w:t>
      </w:r>
      <w:r w:rsidRPr="00A971A9">
        <w:rPr>
          <w:rStyle w:val="afff0"/>
          <w:sz w:val="28"/>
        </w:rPr>
        <w:t xml:space="preserve"> </w:t>
      </w:r>
      <w:r w:rsidRPr="00A971A9">
        <w:rPr>
          <w:sz w:val="28"/>
        </w:rPr>
        <w:t xml:space="preserve">сельского поселения Уэлен </w:t>
      </w:r>
      <w:r w:rsidRPr="00A971A9">
        <w:rPr>
          <w:rStyle w:val="afff0"/>
          <w:sz w:val="28"/>
          <w:szCs w:val="28"/>
        </w:rPr>
        <w:t>приняты бюджетные обязательства</w:t>
      </w:r>
      <w:r>
        <w:rPr>
          <w:sz w:val="28"/>
          <w:szCs w:val="28"/>
        </w:rPr>
        <w:t xml:space="preserve"> </w:t>
      </w:r>
      <w:r w:rsidRPr="00A971A9">
        <w:rPr>
          <w:sz w:val="28"/>
        </w:rPr>
        <w:t>на</w:t>
      </w:r>
      <w:r>
        <w:rPr>
          <w:sz w:val="28"/>
        </w:rPr>
        <w:t xml:space="preserve"> сумму</w:t>
      </w:r>
      <w:r w:rsidRPr="00A971A9">
        <w:rPr>
          <w:sz w:val="28"/>
        </w:rPr>
        <w:t xml:space="preserve"> 104 669,5 тыс. рублей</w:t>
      </w:r>
      <w:r>
        <w:rPr>
          <w:rStyle w:val="afff0"/>
          <w:sz w:val="28"/>
          <w:szCs w:val="28"/>
        </w:rPr>
        <w:t xml:space="preserve"> в</w:t>
      </w:r>
      <w:r>
        <w:rPr>
          <w:sz w:val="28"/>
          <w:szCs w:val="28"/>
        </w:rPr>
        <w:t xml:space="preserve"> отсутствие</w:t>
      </w:r>
      <w:r w:rsidRPr="00A971A9">
        <w:rPr>
          <w:rStyle w:val="afff0"/>
          <w:sz w:val="28"/>
          <w:szCs w:val="28"/>
        </w:rPr>
        <w:t xml:space="preserve"> утвержденны</w:t>
      </w:r>
      <w:r>
        <w:rPr>
          <w:sz w:val="28"/>
          <w:szCs w:val="28"/>
        </w:rPr>
        <w:t>х</w:t>
      </w:r>
      <w:r w:rsidRPr="00A971A9">
        <w:rPr>
          <w:rStyle w:val="afff0"/>
          <w:sz w:val="28"/>
          <w:szCs w:val="28"/>
        </w:rPr>
        <w:t xml:space="preserve"> </w:t>
      </w:r>
      <w:r w:rsidRPr="00A971A9">
        <w:rPr>
          <w:sz w:val="28"/>
        </w:rPr>
        <w:t xml:space="preserve">на 2023 год </w:t>
      </w:r>
      <w:r w:rsidRPr="00A971A9">
        <w:rPr>
          <w:rStyle w:val="afff0"/>
          <w:sz w:val="28"/>
          <w:szCs w:val="28"/>
        </w:rPr>
        <w:t>бюджетны</w:t>
      </w:r>
      <w:r>
        <w:rPr>
          <w:rStyle w:val="afff0"/>
          <w:sz w:val="28"/>
          <w:szCs w:val="28"/>
        </w:rPr>
        <w:t>х</w:t>
      </w:r>
      <w:r w:rsidRPr="00A971A9">
        <w:rPr>
          <w:rStyle w:val="afff0"/>
          <w:sz w:val="28"/>
          <w:szCs w:val="28"/>
        </w:rPr>
        <w:t xml:space="preserve"> ассигновани</w:t>
      </w:r>
      <w:r>
        <w:rPr>
          <w:sz w:val="28"/>
          <w:szCs w:val="28"/>
        </w:rPr>
        <w:t>й и доведенных лимитов бюджетных обязательств</w:t>
      </w:r>
      <w:r w:rsidRPr="00F50C9E">
        <w:rPr>
          <w:sz w:val="28"/>
        </w:rPr>
        <w:t xml:space="preserve"> </w:t>
      </w:r>
      <w:r w:rsidRPr="00A971A9">
        <w:rPr>
          <w:sz w:val="28"/>
        </w:rPr>
        <w:t xml:space="preserve">путем заключения </w:t>
      </w:r>
      <w:r>
        <w:rPr>
          <w:sz w:val="28"/>
        </w:rPr>
        <w:t>м</w:t>
      </w:r>
      <w:r w:rsidRPr="00A971A9">
        <w:rPr>
          <w:sz w:val="28"/>
        </w:rPr>
        <w:t>униципального контракта</w:t>
      </w:r>
      <w:r w:rsidRPr="00A971A9">
        <w:rPr>
          <w:sz w:val="28"/>
          <w:szCs w:val="28"/>
        </w:rPr>
        <w:t>,</w:t>
      </w:r>
      <w:r>
        <w:rPr>
          <w:sz w:val="28"/>
          <w:szCs w:val="28"/>
        </w:rPr>
        <w:t xml:space="preserve"> что содержит признаки административного правонарушения.   </w:t>
      </w:r>
      <w:r w:rsidRPr="000011E3">
        <w:rPr>
          <w:rFonts w:eastAsia="Calibri"/>
          <w:sz w:val="28"/>
          <w:szCs w:val="28"/>
          <w:highlight w:val="yellow"/>
        </w:rPr>
        <w:t xml:space="preserve"> </w:t>
      </w:r>
    </w:p>
    <w:p w:rsidR="00C404B9" w:rsidRDefault="00C404B9" w:rsidP="00C404B9">
      <w:pPr>
        <w:ind w:firstLine="709"/>
        <w:jc w:val="both"/>
        <w:rPr>
          <w:sz w:val="28"/>
          <w:szCs w:val="28"/>
        </w:rPr>
      </w:pPr>
      <w:r>
        <w:rPr>
          <w:sz w:val="28"/>
          <w:szCs w:val="28"/>
        </w:rPr>
        <w:t xml:space="preserve">6. В нарушение статьи </w:t>
      </w:r>
      <w:r w:rsidRPr="004D3604">
        <w:rPr>
          <w:sz w:val="28"/>
          <w:szCs w:val="28"/>
        </w:rPr>
        <w:t>89 Жилищного кодекса Р</w:t>
      </w:r>
      <w:r>
        <w:rPr>
          <w:sz w:val="28"/>
          <w:szCs w:val="28"/>
        </w:rPr>
        <w:t xml:space="preserve">оссийской </w:t>
      </w:r>
      <w:r w:rsidRPr="004D3604">
        <w:rPr>
          <w:sz w:val="28"/>
          <w:szCs w:val="28"/>
        </w:rPr>
        <w:t>Ф</w:t>
      </w:r>
      <w:r>
        <w:rPr>
          <w:sz w:val="28"/>
          <w:szCs w:val="28"/>
        </w:rPr>
        <w:t>едерации, </w:t>
      </w:r>
      <w:r w:rsidRPr="004D3604">
        <w:rPr>
          <w:sz w:val="28"/>
          <w:szCs w:val="28"/>
        </w:rPr>
        <w:t xml:space="preserve">площадь жилых помещений, приобретаемых </w:t>
      </w:r>
      <w:r>
        <w:rPr>
          <w:sz w:val="28"/>
          <w:szCs w:val="28"/>
        </w:rPr>
        <w:t xml:space="preserve">Администрацией </w:t>
      </w:r>
      <w:proofErr w:type="spellStart"/>
      <w:r>
        <w:rPr>
          <w:sz w:val="28"/>
          <w:szCs w:val="28"/>
        </w:rPr>
        <w:t>Провиденского</w:t>
      </w:r>
      <w:proofErr w:type="spellEnd"/>
      <w:r>
        <w:rPr>
          <w:sz w:val="28"/>
          <w:szCs w:val="28"/>
        </w:rPr>
        <w:t xml:space="preserve"> городского округа </w:t>
      </w:r>
      <w:r w:rsidRPr="004D3604">
        <w:rPr>
          <w:sz w:val="28"/>
          <w:szCs w:val="28"/>
        </w:rPr>
        <w:t xml:space="preserve">в рамках </w:t>
      </w:r>
      <w:r>
        <w:rPr>
          <w:sz w:val="28"/>
          <w:szCs w:val="28"/>
        </w:rPr>
        <w:t>трех м</w:t>
      </w:r>
      <w:r w:rsidRPr="004D3604">
        <w:rPr>
          <w:sz w:val="28"/>
          <w:szCs w:val="28"/>
        </w:rPr>
        <w:t>униципальн</w:t>
      </w:r>
      <w:r>
        <w:rPr>
          <w:sz w:val="28"/>
          <w:szCs w:val="28"/>
        </w:rPr>
        <w:t>ых</w:t>
      </w:r>
      <w:r w:rsidRPr="004D3604">
        <w:rPr>
          <w:sz w:val="28"/>
          <w:szCs w:val="28"/>
        </w:rPr>
        <w:t xml:space="preserve"> контракт</w:t>
      </w:r>
      <w:r>
        <w:rPr>
          <w:sz w:val="28"/>
          <w:szCs w:val="28"/>
        </w:rPr>
        <w:t>ов</w:t>
      </w:r>
      <w:r w:rsidRPr="004D3604">
        <w:rPr>
          <w:sz w:val="28"/>
          <w:szCs w:val="28"/>
        </w:rPr>
        <w:t xml:space="preserve"> </w:t>
      </w:r>
      <w:r>
        <w:rPr>
          <w:sz w:val="28"/>
          <w:szCs w:val="28"/>
        </w:rPr>
        <w:t xml:space="preserve">меньше </w:t>
      </w:r>
      <w:r w:rsidRPr="004D3604">
        <w:rPr>
          <w:sz w:val="28"/>
          <w:szCs w:val="28"/>
        </w:rPr>
        <w:t xml:space="preserve">площади расселяемых жилых помещений, признанных непригодными для проживания, на </w:t>
      </w:r>
      <w:r>
        <w:rPr>
          <w:sz w:val="28"/>
          <w:szCs w:val="28"/>
        </w:rPr>
        <w:t>478,4</w:t>
      </w:r>
      <w:r w:rsidRPr="00BC6A71">
        <w:rPr>
          <w:sz w:val="28"/>
          <w:szCs w:val="28"/>
        </w:rPr>
        <w:t xml:space="preserve"> кв. м</w:t>
      </w:r>
      <w:r>
        <w:rPr>
          <w:rStyle w:val="ab"/>
          <w:sz w:val="28"/>
          <w:szCs w:val="28"/>
        </w:rPr>
        <w:footnoteReference w:id="192"/>
      </w:r>
      <w:r>
        <w:rPr>
          <w:sz w:val="28"/>
          <w:szCs w:val="28"/>
          <w:vertAlign w:val="superscript"/>
        </w:rPr>
        <w:t>,</w:t>
      </w:r>
      <w:r>
        <w:rPr>
          <w:rStyle w:val="ab"/>
          <w:sz w:val="28"/>
          <w:szCs w:val="28"/>
        </w:rPr>
        <w:footnoteReference w:id="193"/>
      </w:r>
      <w:r>
        <w:rPr>
          <w:sz w:val="28"/>
          <w:szCs w:val="28"/>
        </w:rPr>
        <w:t>.</w:t>
      </w:r>
      <w:r w:rsidRPr="004D3604">
        <w:rPr>
          <w:sz w:val="28"/>
          <w:szCs w:val="28"/>
        </w:rPr>
        <w:t xml:space="preserve"> </w:t>
      </w:r>
    </w:p>
    <w:p w:rsidR="00C404B9" w:rsidRDefault="00C404B9" w:rsidP="00C404B9">
      <w:pPr>
        <w:pStyle w:val="Style2"/>
        <w:widowControl/>
        <w:shd w:val="clear" w:color="auto" w:fill="FFFFFF"/>
        <w:tabs>
          <w:tab w:val="left" w:pos="567"/>
          <w:tab w:val="left" w:pos="709"/>
        </w:tabs>
        <w:spacing w:line="240" w:lineRule="auto"/>
        <w:ind w:firstLine="708"/>
        <w:rPr>
          <w:sz w:val="28"/>
          <w:szCs w:val="28"/>
        </w:rPr>
      </w:pPr>
      <w:r>
        <w:rPr>
          <w:rFonts w:eastAsia="Calibri"/>
          <w:sz w:val="28"/>
          <w:szCs w:val="28"/>
          <w:lang w:eastAsia="en-US"/>
        </w:rPr>
        <w:t>7. Фактическое и</w:t>
      </w:r>
      <w:r w:rsidRPr="00A2353C">
        <w:rPr>
          <w:rFonts w:eastAsia="Calibri"/>
          <w:sz w:val="28"/>
          <w:szCs w:val="28"/>
          <w:lang w:eastAsia="en-US"/>
        </w:rPr>
        <w:t>сполнение мероприятия «Субсидии на обеспечение мероприятий по развитию жилищного строительства» в проверяемом периоде отсутствует</w:t>
      </w:r>
      <w:r>
        <w:rPr>
          <w:rFonts w:eastAsia="Calibri"/>
          <w:sz w:val="28"/>
          <w:szCs w:val="28"/>
          <w:lang w:eastAsia="en-US"/>
        </w:rPr>
        <w:t>, что обусловлено</w:t>
      </w:r>
      <w:r w:rsidRPr="00D95458">
        <w:rPr>
          <w:rFonts w:eastAsia="Calibri"/>
          <w:sz w:val="28"/>
          <w:szCs w:val="28"/>
          <w:lang w:eastAsia="en-US"/>
        </w:rPr>
        <w:t> расторжением</w:t>
      </w:r>
      <w:r>
        <w:rPr>
          <w:rFonts w:eastAsia="Calibri"/>
          <w:sz w:val="28"/>
          <w:szCs w:val="28"/>
          <w:lang w:eastAsia="en-US"/>
        </w:rPr>
        <w:t xml:space="preserve"> в 2021 году</w:t>
      </w:r>
      <w:r w:rsidRPr="00D95458">
        <w:rPr>
          <w:rFonts w:eastAsia="Calibri"/>
          <w:sz w:val="28"/>
          <w:szCs w:val="28"/>
          <w:lang w:eastAsia="en-US"/>
        </w:rPr>
        <w:t xml:space="preserve"> двух муниципальных контрактов</w:t>
      </w:r>
      <w:r>
        <w:rPr>
          <w:rFonts w:eastAsia="Calibri"/>
          <w:sz w:val="28"/>
          <w:szCs w:val="28"/>
          <w:lang w:eastAsia="en-US"/>
        </w:rPr>
        <w:t xml:space="preserve"> на </w:t>
      </w:r>
      <w:r w:rsidRPr="00D95458">
        <w:rPr>
          <w:sz w:val="28"/>
          <w:szCs w:val="28"/>
        </w:rPr>
        <w:t>приобретение 27 жилых помещений в с. </w:t>
      </w:r>
      <w:proofErr w:type="spellStart"/>
      <w:r w:rsidRPr="00D95458">
        <w:rPr>
          <w:sz w:val="28"/>
          <w:szCs w:val="28"/>
        </w:rPr>
        <w:t>Сиреники</w:t>
      </w:r>
      <w:proofErr w:type="spellEnd"/>
      <w:r>
        <w:rPr>
          <w:sz w:val="28"/>
          <w:szCs w:val="28"/>
        </w:rPr>
        <w:t xml:space="preserve"> и</w:t>
      </w:r>
      <w:r>
        <w:rPr>
          <w:rFonts w:eastAsia="Calibri"/>
          <w:sz w:val="28"/>
          <w:szCs w:val="28"/>
          <w:lang w:eastAsia="en-US"/>
        </w:rPr>
        <w:t xml:space="preserve"> </w:t>
      </w:r>
      <w:r w:rsidRPr="00D95458">
        <w:rPr>
          <w:rFonts w:eastAsia="Calibri"/>
          <w:sz w:val="28"/>
          <w:szCs w:val="28"/>
          <w:lang w:eastAsia="en-US"/>
        </w:rPr>
        <w:t>нарушением срока исполнения муниципального контракта</w:t>
      </w:r>
      <w:r w:rsidRPr="004B5299">
        <w:rPr>
          <w:sz w:val="28"/>
          <w:szCs w:val="28"/>
        </w:rPr>
        <w:t xml:space="preserve"> </w:t>
      </w:r>
      <w:r>
        <w:rPr>
          <w:sz w:val="28"/>
          <w:szCs w:val="28"/>
        </w:rPr>
        <w:t xml:space="preserve">на </w:t>
      </w:r>
      <w:r w:rsidRPr="00D95458">
        <w:rPr>
          <w:sz w:val="28"/>
          <w:szCs w:val="28"/>
        </w:rPr>
        <w:t>приобретение 7 жилых помещений в с</w:t>
      </w:r>
      <w:r>
        <w:rPr>
          <w:sz w:val="28"/>
          <w:szCs w:val="28"/>
        </w:rPr>
        <w:t>.</w:t>
      </w:r>
      <w:r w:rsidRPr="00D95458">
        <w:rPr>
          <w:sz w:val="28"/>
          <w:szCs w:val="28"/>
        </w:rPr>
        <w:t xml:space="preserve"> </w:t>
      </w:r>
      <w:proofErr w:type="spellStart"/>
      <w:r w:rsidRPr="00D95458">
        <w:rPr>
          <w:sz w:val="28"/>
          <w:szCs w:val="28"/>
        </w:rPr>
        <w:t>Янракыннот</w:t>
      </w:r>
      <w:proofErr w:type="spellEnd"/>
      <w:r>
        <w:rPr>
          <w:sz w:val="28"/>
          <w:szCs w:val="28"/>
        </w:rPr>
        <w:t xml:space="preserve">. </w:t>
      </w:r>
    </w:p>
    <w:p w:rsidR="00C404B9" w:rsidRPr="00A4287B" w:rsidRDefault="00C404B9" w:rsidP="00C404B9">
      <w:pPr>
        <w:shd w:val="clear" w:color="auto" w:fill="FFFFFF"/>
        <w:ind w:firstLine="708"/>
        <w:jc w:val="both"/>
        <w:rPr>
          <w:sz w:val="28"/>
          <w:szCs w:val="28"/>
        </w:rPr>
      </w:pPr>
      <w:r>
        <w:rPr>
          <w:sz w:val="28"/>
          <w:szCs w:val="28"/>
        </w:rPr>
        <w:t xml:space="preserve">В проверяемом периоде (2021 год реализации мероприятия) – не приобретены планируемые жилые помещения для </w:t>
      </w:r>
      <w:r w:rsidRPr="00A4287B">
        <w:rPr>
          <w:sz w:val="28"/>
          <w:szCs w:val="28"/>
        </w:rPr>
        <w:t xml:space="preserve">переселения 34 семей из 1,7574 тыс. кв. м аварийного жилья, в том числе: </w:t>
      </w:r>
    </w:p>
    <w:p w:rsidR="00C404B9" w:rsidRPr="00A4287B" w:rsidRDefault="00C404B9" w:rsidP="00C404B9">
      <w:pPr>
        <w:shd w:val="clear" w:color="auto" w:fill="FFFFFF"/>
        <w:ind w:firstLine="708"/>
        <w:jc w:val="both"/>
        <w:rPr>
          <w:sz w:val="28"/>
          <w:szCs w:val="28"/>
        </w:rPr>
      </w:pPr>
      <w:r w:rsidRPr="00A4287B">
        <w:rPr>
          <w:sz w:val="28"/>
          <w:szCs w:val="28"/>
        </w:rPr>
        <w:t>-</w:t>
      </w:r>
      <w:r>
        <w:rPr>
          <w:sz w:val="28"/>
          <w:szCs w:val="28"/>
        </w:rPr>
        <w:t> </w:t>
      </w:r>
      <w:r w:rsidRPr="00A4287B">
        <w:rPr>
          <w:sz w:val="28"/>
          <w:szCs w:val="28"/>
        </w:rPr>
        <w:t>27 семей с общей площади аварийного жилья 1,5104 тыс.</w:t>
      </w:r>
      <w:r>
        <w:rPr>
          <w:sz w:val="28"/>
          <w:szCs w:val="28"/>
        </w:rPr>
        <w:t> </w:t>
      </w:r>
      <w:r w:rsidRPr="00A4287B">
        <w:rPr>
          <w:sz w:val="28"/>
          <w:szCs w:val="28"/>
        </w:rPr>
        <w:t>кв.</w:t>
      </w:r>
      <w:r>
        <w:rPr>
          <w:sz w:val="28"/>
          <w:szCs w:val="28"/>
        </w:rPr>
        <w:t> </w:t>
      </w:r>
      <w:r w:rsidRPr="00A4287B">
        <w:rPr>
          <w:sz w:val="28"/>
          <w:szCs w:val="28"/>
        </w:rPr>
        <w:t>м (с.</w:t>
      </w:r>
      <w:r>
        <w:rPr>
          <w:sz w:val="28"/>
          <w:szCs w:val="28"/>
        </w:rPr>
        <w:t> </w:t>
      </w:r>
      <w:proofErr w:type="spellStart"/>
      <w:r w:rsidRPr="00A4287B">
        <w:rPr>
          <w:sz w:val="28"/>
          <w:szCs w:val="28"/>
        </w:rPr>
        <w:t>Сиреники</w:t>
      </w:r>
      <w:proofErr w:type="spellEnd"/>
      <w:r w:rsidRPr="00A4287B">
        <w:rPr>
          <w:sz w:val="28"/>
          <w:szCs w:val="28"/>
        </w:rPr>
        <w:t>);</w:t>
      </w:r>
    </w:p>
    <w:p w:rsidR="00C404B9" w:rsidRPr="00A4287B" w:rsidRDefault="00C404B9" w:rsidP="00C404B9">
      <w:pPr>
        <w:shd w:val="clear" w:color="auto" w:fill="FFFFFF"/>
        <w:ind w:firstLine="708"/>
        <w:jc w:val="both"/>
        <w:rPr>
          <w:sz w:val="28"/>
          <w:szCs w:val="28"/>
        </w:rPr>
      </w:pPr>
      <w:r w:rsidRPr="00A4287B">
        <w:rPr>
          <w:sz w:val="28"/>
          <w:szCs w:val="28"/>
        </w:rPr>
        <w:lastRenderedPageBreak/>
        <w:t>-</w:t>
      </w:r>
      <w:r>
        <w:rPr>
          <w:sz w:val="28"/>
          <w:szCs w:val="28"/>
        </w:rPr>
        <w:t> </w:t>
      </w:r>
      <w:r w:rsidRPr="00A4287B">
        <w:rPr>
          <w:sz w:val="28"/>
          <w:szCs w:val="28"/>
        </w:rPr>
        <w:t>7 семей с общей площади аварийного жилья 0,247 тыс.</w:t>
      </w:r>
      <w:r>
        <w:rPr>
          <w:sz w:val="28"/>
          <w:szCs w:val="28"/>
        </w:rPr>
        <w:t> </w:t>
      </w:r>
      <w:r w:rsidRPr="00A4287B">
        <w:rPr>
          <w:sz w:val="28"/>
          <w:szCs w:val="28"/>
        </w:rPr>
        <w:t>кв.</w:t>
      </w:r>
      <w:r>
        <w:rPr>
          <w:sz w:val="28"/>
          <w:szCs w:val="28"/>
        </w:rPr>
        <w:t> </w:t>
      </w:r>
      <w:r w:rsidRPr="00A4287B">
        <w:rPr>
          <w:sz w:val="28"/>
          <w:szCs w:val="28"/>
        </w:rPr>
        <w:t>м (с.</w:t>
      </w:r>
      <w:r>
        <w:rPr>
          <w:sz w:val="28"/>
          <w:szCs w:val="28"/>
        </w:rPr>
        <w:t> </w:t>
      </w:r>
      <w:proofErr w:type="spellStart"/>
      <w:r w:rsidRPr="00A4287B">
        <w:rPr>
          <w:sz w:val="28"/>
          <w:szCs w:val="28"/>
        </w:rPr>
        <w:t>Янракыннот</w:t>
      </w:r>
      <w:proofErr w:type="spellEnd"/>
      <w:r w:rsidRPr="00A4287B">
        <w:rPr>
          <w:sz w:val="28"/>
          <w:szCs w:val="28"/>
        </w:rPr>
        <w:t>).</w:t>
      </w:r>
    </w:p>
    <w:p w:rsidR="00C404B9" w:rsidRDefault="00C404B9" w:rsidP="00C404B9">
      <w:pPr>
        <w:pStyle w:val="Style2"/>
        <w:widowControl/>
        <w:shd w:val="clear" w:color="auto" w:fill="FFFFFF"/>
        <w:tabs>
          <w:tab w:val="left" w:pos="567"/>
          <w:tab w:val="left" w:pos="709"/>
        </w:tabs>
        <w:spacing w:line="240" w:lineRule="auto"/>
        <w:ind w:firstLine="708"/>
        <w:rPr>
          <w:sz w:val="28"/>
          <w:szCs w:val="28"/>
        </w:rPr>
      </w:pPr>
      <w:r>
        <w:rPr>
          <w:rFonts w:eastAsia="Calibri"/>
          <w:sz w:val="28"/>
          <w:szCs w:val="28"/>
          <w:lang w:eastAsia="en-US"/>
        </w:rPr>
        <w:t>При этом, п</w:t>
      </w:r>
      <w:r w:rsidRPr="00F00126">
        <w:rPr>
          <w:sz w:val="28"/>
          <w:szCs w:val="28"/>
        </w:rPr>
        <w:t xml:space="preserve">о </w:t>
      </w:r>
      <w:r>
        <w:rPr>
          <w:sz w:val="28"/>
          <w:szCs w:val="28"/>
        </w:rPr>
        <w:t>данным ответственного исполнителя Подпрограммы за 2020 и</w:t>
      </w:r>
      <w:r w:rsidRPr="00F00126">
        <w:rPr>
          <w:sz w:val="28"/>
          <w:szCs w:val="28"/>
        </w:rPr>
        <w:t xml:space="preserve"> 2021 год</w:t>
      </w:r>
      <w:r>
        <w:rPr>
          <w:sz w:val="28"/>
          <w:szCs w:val="28"/>
        </w:rPr>
        <w:t>ы</w:t>
      </w:r>
      <w:r w:rsidRPr="00F00126">
        <w:rPr>
          <w:sz w:val="28"/>
          <w:szCs w:val="28"/>
        </w:rPr>
        <w:t xml:space="preserve"> дости</w:t>
      </w:r>
      <w:r>
        <w:rPr>
          <w:sz w:val="28"/>
          <w:szCs w:val="28"/>
        </w:rPr>
        <w:t xml:space="preserve">гнуты 3 из 4 целевых показателей результативности её реализации. </w:t>
      </w:r>
    </w:p>
    <w:p w:rsidR="00C404B9" w:rsidRDefault="00C404B9" w:rsidP="00C404B9">
      <w:pPr>
        <w:ind w:left="57" w:right="57" w:firstLine="651"/>
        <w:jc w:val="both"/>
        <w:rPr>
          <w:sz w:val="28"/>
          <w:szCs w:val="28"/>
        </w:rPr>
      </w:pPr>
      <w:r>
        <w:rPr>
          <w:sz w:val="28"/>
          <w:szCs w:val="28"/>
        </w:rPr>
        <w:t>Целевой п</w:t>
      </w:r>
      <w:r w:rsidRPr="00F00126">
        <w:rPr>
          <w:sz w:val="28"/>
          <w:szCs w:val="28"/>
        </w:rPr>
        <w:t>оказател</w:t>
      </w:r>
      <w:r>
        <w:rPr>
          <w:sz w:val="28"/>
          <w:szCs w:val="28"/>
        </w:rPr>
        <w:t>ь</w:t>
      </w:r>
      <w:r w:rsidRPr="00F00126">
        <w:rPr>
          <w:sz w:val="28"/>
          <w:szCs w:val="28"/>
        </w:rPr>
        <w:t xml:space="preserve"> </w:t>
      </w:r>
      <w:r>
        <w:rPr>
          <w:sz w:val="28"/>
          <w:szCs w:val="28"/>
        </w:rPr>
        <w:t xml:space="preserve">Подпрограммы «Объем жилищного строительства», являющийся одновременно показателем </w:t>
      </w:r>
      <w:r w:rsidRPr="00F00126">
        <w:rPr>
          <w:sz w:val="28"/>
          <w:szCs w:val="28"/>
        </w:rPr>
        <w:t xml:space="preserve">результативности </w:t>
      </w:r>
      <w:r>
        <w:rPr>
          <w:sz w:val="28"/>
          <w:szCs w:val="28"/>
        </w:rPr>
        <w:t>Р</w:t>
      </w:r>
      <w:r w:rsidRPr="00F00126">
        <w:rPr>
          <w:sz w:val="28"/>
          <w:szCs w:val="28"/>
        </w:rPr>
        <w:t>егионального проекта</w:t>
      </w:r>
      <w:r>
        <w:rPr>
          <w:sz w:val="28"/>
          <w:szCs w:val="28"/>
        </w:rPr>
        <w:t xml:space="preserve"> «Жилье» –</w:t>
      </w:r>
      <w:r w:rsidRPr="00F00126">
        <w:rPr>
          <w:sz w:val="28"/>
          <w:szCs w:val="28"/>
        </w:rPr>
        <w:t xml:space="preserve"> «Увеличение объема жилищного строительства не менее чем до </w:t>
      </w:r>
      <w:r>
        <w:rPr>
          <w:sz w:val="28"/>
          <w:szCs w:val="28"/>
        </w:rPr>
        <w:t>0,00</w:t>
      </w:r>
      <w:r w:rsidRPr="00F00126">
        <w:rPr>
          <w:sz w:val="28"/>
          <w:szCs w:val="28"/>
        </w:rPr>
        <w:t>12 млн.</w:t>
      </w:r>
      <w:r>
        <w:rPr>
          <w:sz w:val="28"/>
          <w:szCs w:val="28"/>
        </w:rPr>
        <w:t xml:space="preserve"> </w:t>
      </w:r>
      <w:r w:rsidRPr="00F00126">
        <w:rPr>
          <w:sz w:val="28"/>
          <w:szCs w:val="28"/>
        </w:rPr>
        <w:t>кв. метров в год»</w:t>
      </w:r>
      <w:r>
        <w:rPr>
          <w:sz w:val="28"/>
          <w:szCs w:val="28"/>
        </w:rPr>
        <w:t xml:space="preserve">, </w:t>
      </w:r>
      <w:r w:rsidRPr="00F00126">
        <w:rPr>
          <w:sz w:val="28"/>
          <w:szCs w:val="28"/>
        </w:rPr>
        <w:t>состав</w:t>
      </w:r>
      <w:r>
        <w:rPr>
          <w:sz w:val="28"/>
          <w:szCs w:val="28"/>
        </w:rPr>
        <w:t>ил в 2020 и 2021 годах</w:t>
      </w:r>
      <w:r w:rsidRPr="00F00126">
        <w:rPr>
          <w:sz w:val="28"/>
          <w:szCs w:val="28"/>
        </w:rPr>
        <w:t xml:space="preserve"> </w:t>
      </w:r>
      <w:r>
        <w:rPr>
          <w:sz w:val="28"/>
          <w:szCs w:val="28"/>
        </w:rPr>
        <w:t xml:space="preserve">170% и </w:t>
      </w:r>
      <w:r w:rsidRPr="00F00126">
        <w:rPr>
          <w:sz w:val="28"/>
          <w:szCs w:val="28"/>
        </w:rPr>
        <w:t>280%</w:t>
      </w:r>
      <w:r>
        <w:rPr>
          <w:sz w:val="28"/>
          <w:szCs w:val="28"/>
        </w:rPr>
        <w:t xml:space="preserve"> соответственно</w:t>
      </w:r>
      <w:r w:rsidRPr="00F00126">
        <w:rPr>
          <w:sz w:val="28"/>
          <w:szCs w:val="28"/>
        </w:rPr>
        <w:t xml:space="preserve">. При этом, в </w:t>
      </w:r>
      <w:r>
        <w:rPr>
          <w:sz w:val="28"/>
          <w:szCs w:val="28"/>
        </w:rPr>
        <w:t>проверяемом</w:t>
      </w:r>
      <w:r w:rsidRPr="00F00126">
        <w:rPr>
          <w:sz w:val="28"/>
          <w:szCs w:val="28"/>
        </w:rPr>
        <w:t xml:space="preserve"> периоде осуществлялось только авансирование </w:t>
      </w:r>
      <w:r>
        <w:rPr>
          <w:sz w:val="28"/>
          <w:szCs w:val="28"/>
        </w:rPr>
        <w:t>застройщиков</w:t>
      </w:r>
      <w:r w:rsidRPr="00F00126">
        <w:rPr>
          <w:sz w:val="28"/>
          <w:szCs w:val="28"/>
        </w:rPr>
        <w:t xml:space="preserve"> по заключенным контрактам. </w:t>
      </w:r>
    </w:p>
    <w:p w:rsidR="00C404B9" w:rsidRPr="00F00126" w:rsidRDefault="00C404B9" w:rsidP="00C404B9">
      <w:pPr>
        <w:autoSpaceDE w:val="0"/>
        <w:autoSpaceDN w:val="0"/>
        <w:adjustRightInd w:val="0"/>
        <w:ind w:firstLine="708"/>
        <w:jc w:val="both"/>
        <w:rPr>
          <w:sz w:val="28"/>
          <w:szCs w:val="28"/>
        </w:rPr>
      </w:pPr>
      <w:r>
        <w:rPr>
          <w:sz w:val="28"/>
          <w:szCs w:val="28"/>
        </w:rPr>
        <w:t xml:space="preserve">Достижение целевого показателя «Объем жилищного строительства» в 2020 и 2021 году сложилось фактически с использованием бюджетных средств на реализацию мероприятий других программ, не взаимоувязанных с Государственной программой «Развитие жилищного строительства». </w:t>
      </w:r>
    </w:p>
    <w:p w:rsidR="00C404B9" w:rsidRPr="009E5BE6" w:rsidRDefault="00C404B9" w:rsidP="00C404B9">
      <w:pPr>
        <w:tabs>
          <w:tab w:val="left" w:pos="709"/>
        </w:tabs>
        <w:jc w:val="both"/>
        <w:rPr>
          <w:rFonts w:eastAsia="Calibri"/>
          <w:sz w:val="16"/>
          <w:szCs w:val="16"/>
          <w:lang w:eastAsia="en-US"/>
        </w:rPr>
      </w:pPr>
      <w:r>
        <w:rPr>
          <w:bCs/>
          <w:sz w:val="28"/>
          <w:szCs w:val="28"/>
        </w:rPr>
        <w:tab/>
      </w:r>
    </w:p>
    <w:p w:rsidR="00C404B9" w:rsidRPr="00C736C1" w:rsidRDefault="00C404B9" w:rsidP="00C404B9">
      <w:pPr>
        <w:autoSpaceDE w:val="0"/>
        <w:autoSpaceDN w:val="0"/>
        <w:adjustRightInd w:val="0"/>
        <w:ind w:firstLine="708"/>
        <w:jc w:val="both"/>
        <w:rPr>
          <w:b/>
          <w:sz w:val="28"/>
          <w:szCs w:val="28"/>
        </w:rPr>
      </w:pPr>
      <w:r w:rsidRPr="00C736C1">
        <w:rPr>
          <w:b/>
          <w:sz w:val="28"/>
          <w:szCs w:val="28"/>
        </w:rPr>
        <w:t>Предложения (рекомендации):</w:t>
      </w:r>
    </w:p>
    <w:p w:rsidR="00C404B9" w:rsidRPr="00C736C1" w:rsidRDefault="00C404B9" w:rsidP="00C404B9">
      <w:pPr>
        <w:autoSpaceDE w:val="0"/>
        <w:autoSpaceDN w:val="0"/>
        <w:adjustRightInd w:val="0"/>
        <w:ind w:firstLine="708"/>
        <w:jc w:val="both"/>
        <w:rPr>
          <w:sz w:val="16"/>
          <w:szCs w:val="16"/>
        </w:rPr>
      </w:pPr>
    </w:p>
    <w:p w:rsidR="00C404B9" w:rsidRDefault="00C404B9" w:rsidP="00C404B9">
      <w:pPr>
        <w:autoSpaceDE w:val="0"/>
        <w:autoSpaceDN w:val="0"/>
        <w:adjustRightInd w:val="0"/>
        <w:ind w:firstLine="708"/>
        <w:jc w:val="both"/>
        <w:rPr>
          <w:sz w:val="28"/>
          <w:szCs w:val="28"/>
        </w:rPr>
      </w:pPr>
      <w:r w:rsidRPr="00933C26">
        <w:rPr>
          <w:sz w:val="28"/>
          <w:szCs w:val="28"/>
        </w:rPr>
        <w:t>1.</w:t>
      </w:r>
      <w:r>
        <w:rPr>
          <w:sz w:val="28"/>
          <w:szCs w:val="28"/>
        </w:rPr>
        <w:t xml:space="preserve"> Направить Представления Счетной палаты Чукотского автономного округа в адрес Департамента промышленной политики Чукотского автономного округа и Администрации </w:t>
      </w:r>
      <w:proofErr w:type="spellStart"/>
      <w:r>
        <w:rPr>
          <w:sz w:val="28"/>
          <w:szCs w:val="28"/>
        </w:rPr>
        <w:t>Провиденского</w:t>
      </w:r>
      <w:proofErr w:type="spellEnd"/>
      <w:r>
        <w:rPr>
          <w:sz w:val="28"/>
          <w:szCs w:val="28"/>
        </w:rPr>
        <w:t xml:space="preserve"> городского округа.</w:t>
      </w:r>
    </w:p>
    <w:p w:rsidR="00C404B9" w:rsidRDefault="00C404B9" w:rsidP="00C404B9">
      <w:pPr>
        <w:ind w:left="57" w:right="57" w:firstLine="651"/>
        <w:jc w:val="both"/>
        <w:rPr>
          <w:bCs/>
          <w:sz w:val="28"/>
          <w:szCs w:val="28"/>
        </w:rPr>
      </w:pPr>
      <w:r w:rsidRPr="00933C26">
        <w:rPr>
          <w:sz w:val="28"/>
          <w:szCs w:val="28"/>
        </w:rPr>
        <w:t xml:space="preserve">2. </w:t>
      </w:r>
      <w:r>
        <w:rPr>
          <w:sz w:val="28"/>
          <w:szCs w:val="28"/>
        </w:rPr>
        <w:t xml:space="preserve">Рекомендовать Департаменту промышленной политики Чукотского автономного округа, в целях минимизации рисков недостижения целей подпрограммы «Развитие жилищного строительства» разработать механизм предоставления средств </w:t>
      </w:r>
      <w:r w:rsidRPr="00072D39">
        <w:rPr>
          <w:sz w:val="28"/>
          <w:szCs w:val="28"/>
        </w:rPr>
        <w:t>субсиди</w:t>
      </w:r>
      <w:r>
        <w:rPr>
          <w:sz w:val="28"/>
          <w:szCs w:val="28"/>
        </w:rPr>
        <w:t>и</w:t>
      </w:r>
      <w:r w:rsidRPr="00072D39">
        <w:rPr>
          <w:sz w:val="28"/>
          <w:szCs w:val="28"/>
        </w:rPr>
        <w:t xml:space="preserve"> на </w:t>
      </w:r>
      <w:r>
        <w:rPr>
          <w:sz w:val="28"/>
          <w:szCs w:val="28"/>
        </w:rPr>
        <w:t>обеспечение мероприятий по развитию жилищного строительства, учитывающий наличие положительного заключения  государственных (негосударственных) экспертиз, производимых застройщиком  в целях осуществления строительства жилых помещений.</w:t>
      </w:r>
    </w:p>
    <w:p w:rsidR="00C404B9" w:rsidRDefault="00C404B9" w:rsidP="00C404B9">
      <w:pPr>
        <w:tabs>
          <w:tab w:val="left" w:pos="7513"/>
        </w:tabs>
        <w:jc w:val="both"/>
        <w:rPr>
          <w:bCs/>
          <w:sz w:val="28"/>
          <w:szCs w:val="28"/>
        </w:rPr>
      </w:pPr>
    </w:p>
    <w:p w:rsidR="00C404B9" w:rsidRDefault="00C404B9" w:rsidP="00C404B9">
      <w:pPr>
        <w:tabs>
          <w:tab w:val="left" w:pos="7513"/>
        </w:tabs>
        <w:jc w:val="both"/>
        <w:rPr>
          <w:bCs/>
          <w:sz w:val="28"/>
          <w:szCs w:val="28"/>
        </w:rPr>
      </w:pPr>
    </w:p>
    <w:p w:rsidR="00C404B9" w:rsidRDefault="00C404B9" w:rsidP="00C404B9">
      <w:pPr>
        <w:tabs>
          <w:tab w:val="left" w:pos="7513"/>
        </w:tabs>
        <w:jc w:val="both"/>
        <w:rPr>
          <w:bCs/>
          <w:sz w:val="28"/>
          <w:szCs w:val="28"/>
        </w:rPr>
      </w:pPr>
    </w:p>
    <w:p w:rsidR="00C404B9" w:rsidRPr="00D30008" w:rsidRDefault="00C404B9" w:rsidP="00C404B9">
      <w:pPr>
        <w:tabs>
          <w:tab w:val="left" w:pos="7513"/>
        </w:tabs>
        <w:jc w:val="both"/>
        <w:rPr>
          <w:bCs/>
          <w:sz w:val="28"/>
          <w:szCs w:val="28"/>
        </w:rPr>
      </w:pPr>
      <w:r w:rsidRPr="00D30008">
        <w:rPr>
          <w:bCs/>
          <w:sz w:val="28"/>
          <w:szCs w:val="28"/>
        </w:rPr>
        <w:t>Аудитор Счетной палаты</w:t>
      </w:r>
    </w:p>
    <w:p w:rsidR="00C404B9" w:rsidRDefault="00C404B9" w:rsidP="00C404B9">
      <w:pPr>
        <w:tabs>
          <w:tab w:val="left" w:pos="7513"/>
        </w:tabs>
        <w:jc w:val="both"/>
        <w:rPr>
          <w:bCs/>
          <w:sz w:val="28"/>
          <w:szCs w:val="28"/>
        </w:rPr>
      </w:pPr>
      <w:r w:rsidRPr="00D30008">
        <w:rPr>
          <w:bCs/>
          <w:sz w:val="28"/>
          <w:szCs w:val="28"/>
        </w:rPr>
        <w:t>Чукотского автономного округа</w:t>
      </w:r>
      <w:r w:rsidRPr="00D30008">
        <w:rPr>
          <w:bCs/>
          <w:sz w:val="28"/>
          <w:szCs w:val="28"/>
        </w:rPr>
        <w:tab/>
      </w:r>
      <w:r w:rsidRPr="00D30008">
        <w:rPr>
          <w:bCs/>
          <w:sz w:val="28"/>
          <w:szCs w:val="28"/>
        </w:rPr>
        <w:tab/>
        <w:t xml:space="preserve">О.М. </w:t>
      </w:r>
      <w:proofErr w:type="spellStart"/>
      <w:r w:rsidRPr="00D30008">
        <w:rPr>
          <w:bCs/>
          <w:sz w:val="28"/>
          <w:szCs w:val="28"/>
        </w:rPr>
        <w:t>Тодавчич</w:t>
      </w:r>
      <w:proofErr w:type="spellEnd"/>
    </w:p>
    <w:p w:rsidR="00231761" w:rsidRPr="00D30008" w:rsidRDefault="00231761" w:rsidP="00231761">
      <w:pPr>
        <w:tabs>
          <w:tab w:val="left" w:pos="7513"/>
        </w:tabs>
        <w:jc w:val="both"/>
        <w:rPr>
          <w:bCs/>
          <w:sz w:val="28"/>
          <w:szCs w:val="28"/>
        </w:rPr>
      </w:pPr>
    </w:p>
    <w:p w:rsidR="00231761" w:rsidRDefault="00231761" w:rsidP="00231761">
      <w:pPr>
        <w:tabs>
          <w:tab w:val="left" w:pos="7513"/>
        </w:tabs>
        <w:jc w:val="both"/>
        <w:rPr>
          <w:bCs/>
          <w:sz w:val="28"/>
          <w:szCs w:val="28"/>
        </w:rPr>
      </w:pPr>
    </w:p>
    <w:p w:rsidR="000B7B23" w:rsidRDefault="000B7B23" w:rsidP="004F7088">
      <w:pPr>
        <w:spacing w:after="200"/>
        <w:rPr>
          <w:rFonts w:eastAsiaTheme="minorEastAsia"/>
          <w:sz w:val="28"/>
          <w:szCs w:val="28"/>
        </w:rPr>
      </w:pPr>
    </w:p>
    <w:p w:rsidR="00000E53" w:rsidRDefault="00000E53" w:rsidP="004F7088">
      <w:pPr>
        <w:spacing w:after="200"/>
        <w:rPr>
          <w:rFonts w:eastAsiaTheme="minorEastAsia"/>
          <w:sz w:val="28"/>
          <w:szCs w:val="28"/>
        </w:rPr>
      </w:pPr>
    </w:p>
    <w:p w:rsidR="00000E53" w:rsidRDefault="00000E53" w:rsidP="004F7088">
      <w:pPr>
        <w:spacing w:after="200"/>
        <w:rPr>
          <w:rFonts w:eastAsiaTheme="minorEastAsia"/>
          <w:sz w:val="28"/>
          <w:szCs w:val="28"/>
        </w:rPr>
      </w:pPr>
    </w:p>
    <w:p w:rsidR="00000E53" w:rsidRPr="003F6F3D" w:rsidRDefault="00000E53" w:rsidP="00000E53">
      <w:pPr>
        <w:tabs>
          <w:tab w:val="left" w:pos="8222"/>
        </w:tabs>
        <w:jc w:val="center"/>
        <w:rPr>
          <w:b/>
          <w:sz w:val="28"/>
          <w:szCs w:val="28"/>
        </w:rPr>
      </w:pPr>
      <w:r w:rsidRPr="003F6F3D">
        <w:rPr>
          <w:b/>
          <w:sz w:val="28"/>
          <w:szCs w:val="28"/>
        </w:rPr>
        <w:t>ОТЧЕТ</w:t>
      </w:r>
    </w:p>
    <w:p w:rsidR="00000E53" w:rsidRPr="003F6F3D" w:rsidRDefault="00000E53" w:rsidP="00000E53">
      <w:pPr>
        <w:jc w:val="center"/>
        <w:rPr>
          <w:b/>
          <w:sz w:val="28"/>
          <w:szCs w:val="28"/>
        </w:rPr>
      </w:pPr>
      <w:r w:rsidRPr="003F6F3D">
        <w:rPr>
          <w:b/>
          <w:sz w:val="28"/>
          <w:szCs w:val="28"/>
        </w:rPr>
        <w:t>о результатах экспертно-аналитического мероприятия</w:t>
      </w:r>
    </w:p>
    <w:p w:rsidR="00000E53" w:rsidRPr="003F6F3D" w:rsidRDefault="00000E53" w:rsidP="00000E53">
      <w:pPr>
        <w:jc w:val="center"/>
        <w:rPr>
          <w:b/>
          <w:sz w:val="28"/>
          <w:szCs w:val="28"/>
        </w:rPr>
      </w:pPr>
      <w:r w:rsidRPr="003F6F3D">
        <w:rPr>
          <w:b/>
          <w:sz w:val="28"/>
          <w:szCs w:val="28"/>
        </w:rPr>
        <w:t>«Анализ предоставления из окружного бюджета бюджетам муниципальных образований Чукотского автономного округа межбюджетных трансфертов в 2018 – 2020 годах и результативности их использования»</w:t>
      </w:r>
    </w:p>
    <w:p w:rsidR="00000E53" w:rsidRPr="003F6F3D" w:rsidRDefault="00000E53" w:rsidP="00000E53">
      <w:pPr>
        <w:pStyle w:val="ConsPlusNonformat"/>
        <w:spacing w:before="120"/>
        <w:jc w:val="center"/>
        <w:rPr>
          <w:rFonts w:ascii="Times New Roman" w:hAnsi="Times New Roman" w:cs="Times New Roman"/>
        </w:rPr>
      </w:pPr>
      <w:r w:rsidRPr="003F6F3D">
        <w:rPr>
          <w:rFonts w:ascii="Times New Roman" w:hAnsi="Times New Roman" w:cs="Times New Roman"/>
        </w:rPr>
        <w:t xml:space="preserve">утвержден Коллегией Счетной палаты Чукотского автономного </w:t>
      </w:r>
      <w:proofErr w:type="gramStart"/>
      <w:r w:rsidRPr="003F6F3D">
        <w:rPr>
          <w:rFonts w:ascii="Times New Roman" w:hAnsi="Times New Roman" w:cs="Times New Roman"/>
        </w:rPr>
        <w:t>округа</w:t>
      </w:r>
      <w:r w:rsidRPr="003F6F3D">
        <w:rPr>
          <w:rFonts w:ascii="Times New Roman" w:hAnsi="Times New Roman" w:cs="Times New Roman"/>
        </w:rPr>
        <w:br/>
        <w:t>(</w:t>
      </w:r>
      <w:proofErr w:type="gramEnd"/>
      <w:r w:rsidRPr="003F6F3D">
        <w:rPr>
          <w:rFonts w:ascii="Times New Roman" w:hAnsi="Times New Roman" w:cs="Times New Roman"/>
        </w:rPr>
        <w:t>протокол от 22 июня 2022 г. №13)</w:t>
      </w:r>
    </w:p>
    <w:p w:rsidR="00000E53" w:rsidRPr="003F6F3D" w:rsidRDefault="00000E53" w:rsidP="00000E53">
      <w:pPr>
        <w:jc w:val="both"/>
        <w:rPr>
          <w:sz w:val="28"/>
          <w:szCs w:val="28"/>
        </w:rPr>
      </w:pPr>
    </w:p>
    <w:p w:rsidR="00000E53" w:rsidRPr="003F6F3D" w:rsidRDefault="00000E53" w:rsidP="00000E53">
      <w:pPr>
        <w:ind w:firstLine="709"/>
        <w:jc w:val="both"/>
        <w:rPr>
          <w:b/>
          <w:bCs/>
          <w:sz w:val="28"/>
          <w:szCs w:val="28"/>
        </w:rPr>
      </w:pPr>
      <w:r w:rsidRPr="003F6F3D">
        <w:rPr>
          <w:b/>
          <w:bCs/>
          <w:sz w:val="28"/>
          <w:szCs w:val="28"/>
        </w:rPr>
        <w:t xml:space="preserve">Основание для проведения экспертно-аналитического мероприятия </w:t>
      </w:r>
    </w:p>
    <w:p w:rsidR="00000E53" w:rsidRPr="003F6F3D" w:rsidRDefault="00000E53" w:rsidP="00000E53">
      <w:pPr>
        <w:ind w:firstLine="709"/>
        <w:jc w:val="both"/>
        <w:rPr>
          <w:sz w:val="28"/>
          <w:szCs w:val="28"/>
        </w:rPr>
      </w:pPr>
      <w:bookmarkStart w:id="92" w:name="_Hlk94545597"/>
      <w:r w:rsidRPr="003F6F3D">
        <w:rPr>
          <w:bCs/>
          <w:sz w:val="28"/>
          <w:szCs w:val="28"/>
        </w:rPr>
        <w:t>П</w:t>
      </w:r>
      <w:r w:rsidRPr="003F6F3D">
        <w:rPr>
          <w:sz w:val="28"/>
          <w:szCs w:val="28"/>
        </w:rPr>
        <w:t>ункт 2.2. Плана работы Счетной палаты Чукотского автономного округа на 2021 год, утвержденного решением Коллегии Счетной палаты Чукотского автономного округа (протокол от 28 декабря 2021 года №32).</w:t>
      </w:r>
    </w:p>
    <w:bookmarkEnd w:id="92"/>
    <w:p w:rsidR="00000E53" w:rsidRPr="003F6F3D" w:rsidRDefault="00000E53" w:rsidP="00000E53">
      <w:pPr>
        <w:spacing w:before="60"/>
        <w:ind w:firstLine="709"/>
        <w:jc w:val="both"/>
        <w:rPr>
          <w:b/>
          <w:sz w:val="28"/>
          <w:szCs w:val="28"/>
        </w:rPr>
      </w:pPr>
      <w:r w:rsidRPr="003F6F3D">
        <w:rPr>
          <w:b/>
          <w:sz w:val="28"/>
          <w:szCs w:val="28"/>
        </w:rPr>
        <w:t xml:space="preserve">Предмет </w:t>
      </w:r>
      <w:r w:rsidRPr="003F6F3D">
        <w:rPr>
          <w:b/>
          <w:sz w:val="28"/>
        </w:rPr>
        <w:t>экспертно-аналитического</w:t>
      </w:r>
      <w:r w:rsidRPr="003F6F3D">
        <w:rPr>
          <w:rStyle w:val="ad"/>
          <w:sz w:val="28"/>
          <w:szCs w:val="28"/>
        </w:rPr>
        <w:t xml:space="preserve"> мероприятия</w:t>
      </w:r>
      <w:r w:rsidRPr="003F6F3D">
        <w:rPr>
          <w:b/>
          <w:sz w:val="28"/>
          <w:szCs w:val="28"/>
        </w:rPr>
        <w:t xml:space="preserve"> </w:t>
      </w:r>
    </w:p>
    <w:p w:rsidR="00000E53" w:rsidRPr="003F6F3D" w:rsidRDefault="00000E53" w:rsidP="00000E53">
      <w:pPr>
        <w:pStyle w:val="afffe"/>
        <w:spacing w:line="276" w:lineRule="auto"/>
        <w:ind w:firstLine="709"/>
        <w:jc w:val="both"/>
        <w:rPr>
          <w:rFonts w:ascii="Times New Roman" w:hAnsi="Times New Roman"/>
          <w:sz w:val="28"/>
          <w:szCs w:val="28"/>
        </w:rPr>
      </w:pPr>
      <w:r w:rsidRPr="003F6F3D">
        <w:rPr>
          <w:rFonts w:ascii="Times New Roman" w:hAnsi="Times New Roman"/>
          <w:sz w:val="28"/>
          <w:szCs w:val="28"/>
        </w:rPr>
        <w:t>Средства окружного бюджета, предоставленные бюджетам муниципальных образований Чукотского автономного округа в форме межбюджетных трансфертов.</w:t>
      </w:r>
    </w:p>
    <w:p w:rsidR="00000E53" w:rsidRPr="003F6F3D" w:rsidRDefault="00000E53" w:rsidP="00000E53">
      <w:pPr>
        <w:spacing w:before="60"/>
        <w:ind w:firstLine="709"/>
        <w:jc w:val="both"/>
        <w:rPr>
          <w:b/>
          <w:bCs/>
          <w:sz w:val="28"/>
          <w:szCs w:val="28"/>
        </w:rPr>
      </w:pPr>
      <w:r w:rsidRPr="003F6F3D">
        <w:rPr>
          <w:b/>
          <w:bCs/>
          <w:sz w:val="28"/>
          <w:szCs w:val="28"/>
        </w:rPr>
        <w:t xml:space="preserve">Цель </w:t>
      </w:r>
      <w:r w:rsidRPr="003F6F3D">
        <w:rPr>
          <w:b/>
          <w:sz w:val="28"/>
        </w:rPr>
        <w:t>экспертно-аналитического</w:t>
      </w:r>
      <w:r w:rsidRPr="003F6F3D">
        <w:rPr>
          <w:rStyle w:val="ad"/>
          <w:sz w:val="28"/>
          <w:szCs w:val="28"/>
        </w:rPr>
        <w:t xml:space="preserve"> мероприятия</w:t>
      </w:r>
    </w:p>
    <w:p w:rsidR="00000E53" w:rsidRPr="003F6F3D" w:rsidRDefault="00000E53" w:rsidP="00000E53">
      <w:pPr>
        <w:pStyle w:val="afffe"/>
        <w:spacing w:line="276" w:lineRule="auto"/>
        <w:ind w:firstLine="709"/>
        <w:jc w:val="both"/>
        <w:rPr>
          <w:rFonts w:ascii="Times New Roman" w:eastAsiaTheme="minorHAnsi" w:hAnsi="Times New Roman"/>
          <w:sz w:val="28"/>
          <w:szCs w:val="28"/>
        </w:rPr>
      </w:pPr>
      <w:r w:rsidRPr="003F6F3D">
        <w:rPr>
          <w:rFonts w:ascii="Times New Roman" w:hAnsi="Times New Roman"/>
          <w:sz w:val="28"/>
          <w:szCs w:val="28"/>
        </w:rPr>
        <w:t xml:space="preserve">Анализ исполнения окружного бюджета </w:t>
      </w:r>
      <w:r w:rsidRPr="003F6F3D">
        <w:rPr>
          <w:rFonts w:ascii="Times New Roman" w:eastAsiaTheme="minorHAnsi" w:hAnsi="Times New Roman"/>
          <w:sz w:val="28"/>
          <w:szCs w:val="28"/>
        </w:rPr>
        <w:t xml:space="preserve">в части предоставления </w:t>
      </w:r>
      <w:r w:rsidRPr="003F6F3D">
        <w:rPr>
          <w:rFonts w:ascii="Times New Roman" w:hAnsi="Times New Roman"/>
          <w:sz w:val="28"/>
          <w:szCs w:val="28"/>
        </w:rPr>
        <w:t>бюджетам муниципальных образований Чукотского автономного округа межбюджетных трансфертов и результативность их использования.</w:t>
      </w:r>
    </w:p>
    <w:p w:rsidR="00000E53" w:rsidRPr="003F6F3D" w:rsidRDefault="00000E53" w:rsidP="00000E53">
      <w:pPr>
        <w:spacing w:before="60"/>
        <w:ind w:firstLine="720"/>
        <w:jc w:val="both"/>
        <w:rPr>
          <w:b/>
          <w:bCs/>
          <w:sz w:val="28"/>
          <w:szCs w:val="28"/>
        </w:rPr>
      </w:pPr>
      <w:bookmarkStart w:id="93" w:name="_Hlk105775033"/>
      <w:r w:rsidRPr="003F6F3D">
        <w:rPr>
          <w:b/>
          <w:bCs/>
          <w:sz w:val="28"/>
          <w:szCs w:val="28"/>
        </w:rPr>
        <w:t xml:space="preserve">Вопросы </w:t>
      </w:r>
      <w:r w:rsidRPr="003F6F3D">
        <w:rPr>
          <w:b/>
          <w:sz w:val="28"/>
        </w:rPr>
        <w:t>экспертно-аналитического</w:t>
      </w:r>
      <w:r w:rsidRPr="003F6F3D">
        <w:rPr>
          <w:rStyle w:val="ad"/>
          <w:sz w:val="28"/>
          <w:szCs w:val="28"/>
        </w:rPr>
        <w:t xml:space="preserve"> мероприятия</w:t>
      </w:r>
    </w:p>
    <w:p w:rsidR="00000E53" w:rsidRPr="003F6F3D" w:rsidRDefault="00000E53" w:rsidP="00000E53">
      <w:pPr>
        <w:pStyle w:val="ConsPlusTitle"/>
        <w:spacing w:line="276" w:lineRule="auto"/>
        <w:ind w:firstLine="709"/>
        <w:jc w:val="both"/>
        <w:rPr>
          <w:b w:val="0"/>
          <w:sz w:val="28"/>
          <w:szCs w:val="28"/>
        </w:rPr>
      </w:pPr>
      <w:bookmarkStart w:id="94" w:name="_Hlk104479722"/>
      <w:r w:rsidRPr="003F6F3D">
        <w:rPr>
          <w:b w:val="0"/>
          <w:sz w:val="28"/>
          <w:szCs w:val="28"/>
        </w:rPr>
        <w:t xml:space="preserve">1. Анализ предоставления </w:t>
      </w:r>
      <w:r w:rsidRPr="003F6F3D">
        <w:rPr>
          <w:rFonts w:eastAsia="Calibri"/>
          <w:b w:val="0"/>
          <w:sz w:val="28"/>
          <w:szCs w:val="28"/>
        </w:rPr>
        <w:t>межбюджетных трансфертов</w:t>
      </w:r>
      <w:r w:rsidRPr="003F6F3D">
        <w:rPr>
          <w:b w:val="0"/>
          <w:sz w:val="28"/>
          <w:szCs w:val="28"/>
        </w:rPr>
        <w:t xml:space="preserve"> из окружного бюджета бюджетам муниципальных образований Чукотского автономного округа и результативности их использования.</w:t>
      </w:r>
    </w:p>
    <w:p w:rsidR="00000E53" w:rsidRPr="003F6F3D" w:rsidRDefault="00000E53" w:rsidP="00000E53">
      <w:pPr>
        <w:widowControl w:val="0"/>
        <w:autoSpaceDE w:val="0"/>
        <w:autoSpaceDN w:val="0"/>
        <w:ind w:firstLine="709"/>
        <w:jc w:val="both"/>
        <w:rPr>
          <w:sz w:val="28"/>
          <w:szCs w:val="28"/>
        </w:rPr>
      </w:pPr>
      <w:r w:rsidRPr="003F6F3D">
        <w:rPr>
          <w:sz w:val="28"/>
          <w:szCs w:val="28"/>
        </w:rPr>
        <w:t>2. Анализ</w:t>
      </w:r>
      <w:r w:rsidRPr="003F6F3D">
        <w:rPr>
          <w:bCs/>
          <w:sz w:val="28"/>
          <w:szCs w:val="28"/>
        </w:rPr>
        <w:t xml:space="preserve"> исполнения бюджетов муниципальными образованиями Чукотского автономного округа.</w:t>
      </w:r>
    </w:p>
    <w:p w:rsidR="00000E53" w:rsidRPr="003F6F3D" w:rsidRDefault="00000E53" w:rsidP="00000E53">
      <w:pPr>
        <w:ind w:firstLine="709"/>
        <w:jc w:val="both"/>
        <w:rPr>
          <w:rFonts w:eastAsiaTheme="minorHAnsi"/>
          <w:sz w:val="28"/>
          <w:szCs w:val="28"/>
        </w:rPr>
      </w:pPr>
      <w:r w:rsidRPr="003F6F3D">
        <w:rPr>
          <w:sz w:val="28"/>
          <w:szCs w:val="28"/>
        </w:rPr>
        <w:t xml:space="preserve">3. Обзор недостатков и нарушений, выявленных в ходе осуществления контроля </w:t>
      </w:r>
      <w:r w:rsidRPr="003F6F3D">
        <w:rPr>
          <w:rFonts w:eastAsiaTheme="minorHAnsi"/>
          <w:sz w:val="28"/>
          <w:szCs w:val="28"/>
        </w:rPr>
        <w:t xml:space="preserve">за законностью использования межбюджетных трансфертов, предоставленных из окружного бюджета бюджетам муниципальных образований Чукотского автономного округа. </w:t>
      </w:r>
    </w:p>
    <w:bookmarkEnd w:id="93"/>
    <w:bookmarkEnd w:id="94"/>
    <w:p w:rsidR="00000E53" w:rsidRPr="003F6F3D" w:rsidRDefault="00000E53" w:rsidP="00000E53">
      <w:pPr>
        <w:spacing w:before="60"/>
        <w:ind w:firstLine="709"/>
        <w:jc w:val="both"/>
        <w:rPr>
          <w:rStyle w:val="ad"/>
          <w:sz w:val="28"/>
          <w:szCs w:val="28"/>
        </w:rPr>
      </w:pPr>
      <w:r w:rsidRPr="003F6F3D">
        <w:rPr>
          <w:b/>
          <w:sz w:val="28"/>
          <w:szCs w:val="28"/>
        </w:rPr>
        <w:t xml:space="preserve">Объекты </w:t>
      </w:r>
      <w:r w:rsidRPr="003F6F3D">
        <w:rPr>
          <w:b/>
          <w:sz w:val="28"/>
        </w:rPr>
        <w:t>экспертно-аналитического</w:t>
      </w:r>
      <w:r w:rsidRPr="003F6F3D">
        <w:rPr>
          <w:rStyle w:val="ad"/>
          <w:sz w:val="28"/>
          <w:szCs w:val="28"/>
        </w:rPr>
        <w:t xml:space="preserve"> мероприятия</w:t>
      </w:r>
    </w:p>
    <w:p w:rsidR="00000E53" w:rsidRPr="003F6F3D" w:rsidRDefault="00000E53" w:rsidP="00000E53">
      <w:pPr>
        <w:autoSpaceDE w:val="0"/>
        <w:autoSpaceDN w:val="0"/>
        <w:adjustRightInd w:val="0"/>
        <w:ind w:firstLine="709"/>
        <w:jc w:val="both"/>
        <w:rPr>
          <w:rFonts w:eastAsia="TT922o00"/>
          <w:sz w:val="28"/>
          <w:szCs w:val="28"/>
        </w:rPr>
      </w:pPr>
      <w:r w:rsidRPr="003F6F3D">
        <w:rPr>
          <w:rFonts w:eastAsia="TT922o00"/>
          <w:sz w:val="28"/>
          <w:szCs w:val="28"/>
        </w:rPr>
        <w:t>Главные администраторы бюджетных средств (главные распорядители), осуществляющие бюджетные полномочия по предоставлению межбюджетных трансфертов муниципальным образованиям Чукотского автономного округа, муниципальные образования – получатели средств окружного бюджета (выборочно).</w:t>
      </w:r>
    </w:p>
    <w:p w:rsidR="00000E53" w:rsidRPr="003F6F3D" w:rsidRDefault="00000E53" w:rsidP="00000E53">
      <w:pPr>
        <w:spacing w:before="60"/>
        <w:ind w:firstLine="709"/>
        <w:jc w:val="both"/>
        <w:rPr>
          <w:sz w:val="28"/>
          <w:szCs w:val="28"/>
        </w:rPr>
      </w:pPr>
      <w:r w:rsidRPr="003F6F3D">
        <w:rPr>
          <w:b/>
          <w:sz w:val="28"/>
          <w:szCs w:val="28"/>
        </w:rPr>
        <w:t>Проверяемый период деятельности:</w:t>
      </w:r>
      <w:r w:rsidRPr="003F6F3D">
        <w:rPr>
          <w:sz w:val="28"/>
          <w:szCs w:val="28"/>
        </w:rPr>
        <w:t xml:space="preserve"> 2018-2020 годы  </w:t>
      </w:r>
    </w:p>
    <w:p w:rsidR="00000E53" w:rsidRPr="003F6F3D" w:rsidRDefault="00000E53" w:rsidP="00000E53">
      <w:pPr>
        <w:spacing w:before="60"/>
        <w:ind w:firstLine="720"/>
        <w:jc w:val="both"/>
        <w:rPr>
          <w:sz w:val="28"/>
          <w:szCs w:val="28"/>
        </w:rPr>
      </w:pPr>
      <w:r w:rsidRPr="003F6F3D">
        <w:rPr>
          <w:b/>
          <w:sz w:val="28"/>
          <w:szCs w:val="28"/>
        </w:rPr>
        <w:t xml:space="preserve">Сроки проведения </w:t>
      </w:r>
      <w:r w:rsidRPr="003F6F3D">
        <w:rPr>
          <w:rStyle w:val="ad"/>
          <w:sz w:val="28"/>
          <w:szCs w:val="28"/>
        </w:rPr>
        <w:t>мероприятия</w:t>
      </w:r>
      <w:r w:rsidRPr="003F6F3D">
        <w:rPr>
          <w:sz w:val="28"/>
          <w:szCs w:val="28"/>
        </w:rPr>
        <w:t xml:space="preserve"> с 24 мая по 17 июня 2022 года.</w:t>
      </w:r>
    </w:p>
    <w:p w:rsidR="00000E53" w:rsidRPr="003F6F3D" w:rsidRDefault="00000E53" w:rsidP="00000E53">
      <w:pPr>
        <w:pStyle w:val="Pa15"/>
        <w:spacing w:line="276" w:lineRule="auto"/>
        <w:ind w:firstLine="780"/>
        <w:jc w:val="both"/>
        <w:rPr>
          <w:rFonts w:ascii="Times New Roman" w:hAnsi="Times New Roman"/>
          <w:sz w:val="28"/>
          <w:szCs w:val="28"/>
        </w:rPr>
      </w:pPr>
      <w:r w:rsidRPr="003F6F3D">
        <w:rPr>
          <w:rFonts w:ascii="Times New Roman" w:hAnsi="Times New Roman" w:cs="Times New Roman"/>
          <w:sz w:val="28"/>
          <w:szCs w:val="28"/>
        </w:rPr>
        <w:t xml:space="preserve">В ходе подготовки и проведения экспертно-аналитического мероприятия сбор фактических данных и информации осуществлялся посредством направления запросов в адрес органов </w:t>
      </w:r>
      <w:r w:rsidRPr="003F6F3D">
        <w:rPr>
          <w:rFonts w:ascii="Times New Roman" w:hAnsi="Times New Roman"/>
          <w:sz w:val="28"/>
          <w:szCs w:val="28"/>
        </w:rPr>
        <w:t xml:space="preserve">исполнительной власти Чукотского автономного округа и Администраций муниципальных образований Чукотского автономного округа, </w:t>
      </w:r>
      <w:r w:rsidRPr="003F6F3D">
        <w:rPr>
          <w:rFonts w:ascii="Times New Roman" w:hAnsi="Times New Roman" w:cs="Times New Roman"/>
          <w:sz w:val="28"/>
          <w:szCs w:val="28"/>
        </w:rPr>
        <w:t xml:space="preserve">использования информации с официальных сайтов </w:t>
      </w:r>
      <w:r w:rsidRPr="003F6F3D">
        <w:rPr>
          <w:rFonts w:ascii="Times New Roman" w:hAnsi="Times New Roman"/>
          <w:sz w:val="28"/>
          <w:szCs w:val="28"/>
        </w:rPr>
        <w:t xml:space="preserve">Правительства Чукотского автономного округа и муниципальных образований Чукотского автономного округа </w:t>
      </w:r>
      <w:r w:rsidRPr="003F6F3D">
        <w:rPr>
          <w:rFonts w:ascii="Times New Roman" w:hAnsi="Times New Roman" w:cs="Times New Roman"/>
          <w:sz w:val="28"/>
          <w:szCs w:val="28"/>
        </w:rPr>
        <w:t>в информационно-телекоммуникационной сети Интернет, изучения и анализа представленной информации и документов (</w:t>
      </w:r>
      <w:r w:rsidRPr="003F6F3D">
        <w:rPr>
          <w:rFonts w:ascii="Times New Roman" w:hAnsi="Times New Roman"/>
          <w:sz w:val="28"/>
          <w:szCs w:val="28"/>
        </w:rPr>
        <w:t>отчеты об исполнении окружного бюджета и муниципальных образований Чукотского автономного округа об исполнении местных бюджетов за 2018, 2019 и 2020 годы)</w:t>
      </w:r>
      <w:r w:rsidRPr="003F6F3D">
        <w:rPr>
          <w:rFonts w:ascii="Times New Roman" w:hAnsi="Times New Roman" w:cs="Times New Roman"/>
          <w:sz w:val="28"/>
          <w:szCs w:val="28"/>
        </w:rPr>
        <w:t>, а также с </w:t>
      </w:r>
      <w:r w:rsidRPr="003F6F3D">
        <w:rPr>
          <w:rFonts w:ascii="Times New Roman" w:hAnsi="Times New Roman"/>
          <w:sz w:val="28"/>
          <w:szCs w:val="28"/>
        </w:rPr>
        <w:t>учетом результатов проведенных Счетной палатой Чукотского автономного округа, в том числе с участием муниципальных контрольно-счетных органов, проверок использования межбюджетных трансфертов, направленных из окружного бюджета бюджетам муниципальных образований Чукотского автономного округа в 2018, 2019 и 2020 годах:</w:t>
      </w:r>
    </w:p>
    <w:p w:rsidR="00000E53" w:rsidRPr="003F6F3D" w:rsidRDefault="00000E53" w:rsidP="00000E53">
      <w:pPr>
        <w:pStyle w:val="Pa15"/>
        <w:spacing w:line="276" w:lineRule="auto"/>
        <w:ind w:firstLine="780"/>
        <w:jc w:val="both"/>
        <w:rPr>
          <w:rFonts w:ascii="Times New Roman" w:hAnsi="Times New Roman" w:cs="Times New Roman"/>
          <w:sz w:val="28"/>
          <w:szCs w:val="28"/>
        </w:rPr>
      </w:pPr>
      <w:r w:rsidRPr="003F6F3D">
        <w:rPr>
          <w:rFonts w:ascii="Times New Roman" w:hAnsi="Times New Roman" w:cs="Times New Roman"/>
          <w:sz w:val="28"/>
          <w:szCs w:val="28"/>
        </w:rPr>
        <w:t>- Проверка законности и результативности (эффективности и экономности) использования межбюджетных трансфертов, предоставленных из окружного бюджета бюджету Анадырского муниципального района в 2018 году;</w:t>
      </w:r>
    </w:p>
    <w:p w:rsidR="00000E53" w:rsidRPr="003F6F3D" w:rsidRDefault="00000E53" w:rsidP="00000E53">
      <w:pPr>
        <w:ind w:firstLine="780"/>
        <w:jc w:val="both"/>
        <w:rPr>
          <w:bCs/>
          <w:sz w:val="28"/>
          <w:szCs w:val="28"/>
        </w:rPr>
      </w:pPr>
      <w:r w:rsidRPr="003F6F3D">
        <w:rPr>
          <w:sz w:val="28"/>
          <w:szCs w:val="28"/>
        </w:rPr>
        <w:t xml:space="preserve">- Проверка законности, результативности (эффективности и экономности) использования субсидий, предоставленных из окружного бюджета </w:t>
      </w:r>
      <w:r w:rsidRPr="003F6F3D">
        <w:rPr>
          <w:bCs/>
          <w:sz w:val="28"/>
          <w:szCs w:val="28"/>
        </w:rPr>
        <w:t>бюджетам муниципальных образований Чукотского автономного округа на финансовую поддержку производства социально значимых видов хлеба в 2018 году;</w:t>
      </w:r>
    </w:p>
    <w:p w:rsidR="00000E53" w:rsidRPr="003F6F3D" w:rsidRDefault="00000E53" w:rsidP="00000E53">
      <w:pPr>
        <w:pStyle w:val="Default"/>
        <w:spacing w:line="276" w:lineRule="auto"/>
        <w:ind w:firstLine="780"/>
        <w:jc w:val="both"/>
        <w:rPr>
          <w:color w:val="auto"/>
          <w:sz w:val="28"/>
          <w:szCs w:val="28"/>
        </w:rPr>
      </w:pPr>
      <w:r w:rsidRPr="003F6F3D">
        <w:rPr>
          <w:color w:val="auto"/>
          <w:lang w:eastAsia="en-US"/>
        </w:rPr>
        <w:t>- </w:t>
      </w:r>
      <w:r w:rsidRPr="003F6F3D">
        <w:rPr>
          <w:color w:val="auto"/>
          <w:sz w:val="28"/>
          <w:szCs w:val="28"/>
        </w:rPr>
        <w:t>Проверка годового отчета об исполнении бюджета Чукотского муниципального района за 2019 год, а также законности и результативности (эффективности и экономности) использования межбюджетных трансфертов, предоставленных из окружного бюджета бюджету муниципального образования Чукотский муниципальный район в 2019 году;</w:t>
      </w:r>
    </w:p>
    <w:p w:rsidR="00000E53" w:rsidRPr="003F6F3D" w:rsidRDefault="00000E53" w:rsidP="00000E53">
      <w:pPr>
        <w:ind w:firstLine="780"/>
        <w:jc w:val="both"/>
        <w:rPr>
          <w:sz w:val="28"/>
          <w:szCs w:val="28"/>
        </w:rPr>
      </w:pPr>
      <w:r w:rsidRPr="003F6F3D">
        <w:rPr>
          <w:sz w:val="28"/>
          <w:szCs w:val="28"/>
        </w:rPr>
        <w:t xml:space="preserve">- Проверка законности и результативности (эффективности и экономности) использования межбюджетных трансфертов, предоставленных из окружного бюджета бюджету муниципального образования городской округ </w:t>
      </w:r>
      <w:proofErr w:type="spellStart"/>
      <w:r w:rsidRPr="003F6F3D">
        <w:rPr>
          <w:sz w:val="28"/>
          <w:szCs w:val="28"/>
        </w:rPr>
        <w:t>Певек</w:t>
      </w:r>
      <w:proofErr w:type="spellEnd"/>
      <w:r w:rsidRPr="003F6F3D">
        <w:rPr>
          <w:sz w:val="28"/>
          <w:szCs w:val="28"/>
        </w:rPr>
        <w:t xml:space="preserve"> в 2019 году;</w:t>
      </w:r>
    </w:p>
    <w:p w:rsidR="00000E53" w:rsidRPr="003F6F3D" w:rsidRDefault="00000E53" w:rsidP="00000E53">
      <w:pPr>
        <w:pStyle w:val="Default"/>
        <w:spacing w:line="276" w:lineRule="auto"/>
        <w:ind w:firstLine="780"/>
        <w:jc w:val="both"/>
        <w:rPr>
          <w:color w:val="auto"/>
          <w:sz w:val="28"/>
          <w:szCs w:val="28"/>
        </w:rPr>
      </w:pPr>
      <w:r w:rsidRPr="003F6F3D">
        <w:rPr>
          <w:color w:val="auto"/>
          <w:sz w:val="28"/>
          <w:szCs w:val="28"/>
        </w:rPr>
        <w:t>- Проверка законности, результативности (эффективности и экономности) использования бюджетных средств, направленных на реализацию регионального проекта «Формирование комфортной городской среды» в рамках реализации федерального проекта «Формирование комфортной городской среды» в Чукотском автономном округе в 2019 году;</w:t>
      </w:r>
    </w:p>
    <w:p w:rsidR="00000E53" w:rsidRPr="003F6F3D" w:rsidRDefault="00000E53" w:rsidP="00000E53">
      <w:pPr>
        <w:pStyle w:val="Pa15"/>
        <w:spacing w:line="276" w:lineRule="auto"/>
        <w:ind w:firstLine="780"/>
        <w:jc w:val="both"/>
        <w:rPr>
          <w:rFonts w:ascii="Times New Roman" w:hAnsi="Times New Roman" w:cs="Times New Roman"/>
          <w:sz w:val="28"/>
          <w:szCs w:val="28"/>
        </w:rPr>
      </w:pPr>
      <w:r w:rsidRPr="003F6F3D">
        <w:rPr>
          <w:rFonts w:ascii="Times New Roman" w:hAnsi="Times New Roman" w:cs="Times New Roman"/>
          <w:sz w:val="28"/>
          <w:szCs w:val="28"/>
        </w:rPr>
        <w:t>- </w:t>
      </w:r>
      <w:bookmarkStart w:id="95" w:name="_Hlk76297834"/>
      <w:r w:rsidRPr="003F6F3D">
        <w:rPr>
          <w:rFonts w:ascii="Times New Roman" w:hAnsi="Times New Roman" w:cs="Times New Roman"/>
          <w:sz w:val="28"/>
          <w:szCs w:val="28"/>
        </w:rPr>
        <w:t xml:space="preserve">Проверка годового отчета об исполнении бюджета </w:t>
      </w:r>
      <w:proofErr w:type="spellStart"/>
      <w:r w:rsidRPr="003F6F3D">
        <w:rPr>
          <w:rFonts w:ascii="Times New Roman" w:hAnsi="Times New Roman" w:cs="Times New Roman"/>
          <w:sz w:val="28"/>
          <w:szCs w:val="28"/>
        </w:rPr>
        <w:t>Провиденского</w:t>
      </w:r>
      <w:proofErr w:type="spellEnd"/>
      <w:r w:rsidRPr="003F6F3D">
        <w:rPr>
          <w:rFonts w:ascii="Times New Roman" w:hAnsi="Times New Roman" w:cs="Times New Roman"/>
          <w:sz w:val="28"/>
          <w:szCs w:val="28"/>
        </w:rPr>
        <w:t xml:space="preserve"> городского округа за 2020 год, а также использования межбюджетных трансфертов, предоставленных в 2020 году из окружного бюджета бюджету муниципального образования </w:t>
      </w:r>
      <w:proofErr w:type="spellStart"/>
      <w:r w:rsidRPr="003F6F3D">
        <w:rPr>
          <w:rFonts w:ascii="Times New Roman" w:hAnsi="Times New Roman" w:cs="Times New Roman"/>
          <w:sz w:val="28"/>
          <w:szCs w:val="28"/>
        </w:rPr>
        <w:t>Провиденский</w:t>
      </w:r>
      <w:proofErr w:type="spellEnd"/>
      <w:r w:rsidRPr="003F6F3D">
        <w:rPr>
          <w:rFonts w:ascii="Times New Roman" w:hAnsi="Times New Roman" w:cs="Times New Roman"/>
          <w:sz w:val="28"/>
          <w:szCs w:val="28"/>
        </w:rPr>
        <w:t xml:space="preserve"> городской округ</w:t>
      </w:r>
      <w:bookmarkEnd w:id="95"/>
      <w:r w:rsidRPr="003F6F3D">
        <w:rPr>
          <w:rFonts w:ascii="Times New Roman" w:hAnsi="Times New Roman" w:cs="Times New Roman"/>
          <w:sz w:val="28"/>
          <w:szCs w:val="28"/>
        </w:rPr>
        <w:t>;</w:t>
      </w:r>
    </w:p>
    <w:p w:rsidR="00000E53" w:rsidRPr="003F6F3D" w:rsidRDefault="00000E53" w:rsidP="00000E53">
      <w:pPr>
        <w:pStyle w:val="Default"/>
        <w:spacing w:line="276" w:lineRule="auto"/>
        <w:ind w:firstLine="780"/>
        <w:jc w:val="both"/>
        <w:rPr>
          <w:color w:val="auto"/>
          <w:sz w:val="28"/>
          <w:szCs w:val="28"/>
        </w:rPr>
      </w:pPr>
      <w:r w:rsidRPr="003F6F3D">
        <w:rPr>
          <w:color w:val="auto"/>
          <w:sz w:val="28"/>
          <w:szCs w:val="28"/>
        </w:rPr>
        <w:t xml:space="preserve">- Проверка использования межбюджетных трансфертов, предоставленных в 2020 году из окружного бюджета бюджету муниципального образования </w:t>
      </w:r>
      <w:proofErr w:type="spellStart"/>
      <w:r w:rsidRPr="003F6F3D">
        <w:rPr>
          <w:color w:val="auto"/>
          <w:sz w:val="28"/>
          <w:szCs w:val="28"/>
        </w:rPr>
        <w:t>Билибинский</w:t>
      </w:r>
      <w:proofErr w:type="spellEnd"/>
      <w:r w:rsidRPr="003F6F3D">
        <w:rPr>
          <w:color w:val="auto"/>
          <w:sz w:val="28"/>
          <w:szCs w:val="28"/>
        </w:rPr>
        <w:t xml:space="preserve"> муниципальный район;</w:t>
      </w:r>
    </w:p>
    <w:p w:rsidR="00000E53" w:rsidRPr="003F6F3D" w:rsidRDefault="00000E53" w:rsidP="00000E53">
      <w:pPr>
        <w:pStyle w:val="Default"/>
        <w:spacing w:line="276" w:lineRule="auto"/>
        <w:ind w:firstLine="780"/>
        <w:jc w:val="both"/>
        <w:rPr>
          <w:color w:val="auto"/>
          <w:sz w:val="28"/>
          <w:szCs w:val="28"/>
        </w:rPr>
      </w:pPr>
      <w:r w:rsidRPr="003F6F3D">
        <w:rPr>
          <w:color w:val="auto"/>
          <w:sz w:val="28"/>
          <w:szCs w:val="28"/>
        </w:rPr>
        <w:t>- Проверка использования бюджетных средств, направленных в 2020 году и истекшем периоде 2021 года на реализацию регионального проекта «Обеспечение устойчивого сокращения непригодного для проживания жилищного фонда в Чукотском автономном округе»;</w:t>
      </w:r>
    </w:p>
    <w:p w:rsidR="00000E53" w:rsidRPr="003F6F3D" w:rsidRDefault="00000E53" w:rsidP="00000E53">
      <w:pPr>
        <w:pStyle w:val="Default"/>
        <w:spacing w:line="276" w:lineRule="auto"/>
        <w:ind w:firstLine="780"/>
        <w:jc w:val="both"/>
        <w:rPr>
          <w:rFonts w:eastAsia="Calibri"/>
          <w:color w:val="auto"/>
          <w:sz w:val="28"/>
          <w:szCs w:val="28"/>
          <w:lang w:eastAsia="en-US"/>
        </w:rPr>
      </w:pPr>
      <w:r w:rsidRPr="003F6F3D">
        <w:rPr>
          <w:rFonts w:eastAsia="Calibri"/>
          <w:color w:val="auto"/>
          <w:sz w:val="28"/>
          <w:szCs w:val="28"/>
          <w:lang w:eastAsia="en-US"/>
        </w:rPr>
        <w:t>- Проверка реализации регионального проекта Чукотского автономного округа «Комплексная система обращения с твердыми коммунальными отходами» за 2019-2020 годы;</w:t>
      </w:r>
    </w:p>
    <w:p w:rsidR="00000E53" w:rsidRPr="003F6F3D" w:rsidRDefault="00000E53" w:rsidP="00000E53">
      <w:pPr>
        <w:pStyle w:val="Default"/>
        <w:spacing w:line="276" w:lineRule="auto"/>
        <w:ind w:firstLine="780"/>
        <w:jc w:val="both"/>
        <w:rPr>
          <w:color w:val="auto"/>
          <w:sz w:val="28"/>
          <w:szCs w:val="28"/>
          <w:lang w:eastAsia="en-US"/>
        </w:rPr>
      </w:pPr>
      <w:r w:rsidRPr="003F6F3D">
        <w:rPr>
          <w:color w:val="auto"/>
          <w:sz w:val="28"/>
          <w:szCs w:val="28"/>
        </w:rPr>
        <w:t>- Проверка реализации прав детей-сирот и детей, оставшихся без попечения родителей, на обеспечение жилыми помещениями на территории Чукотского автономного округа в 2017-2020 годах.</w:t>
      </w:r>
    </w:p>
    <w:p w:rsidR="00000E53" w:rsidRPr="003F6F3D" w:rsidRDefault="00000E53" w:rsidP="00000E53">
      <w:pPr>
        <w:pStyle w:val="ConsPlusTitle"/>
        <w:spacing w:before="240" w:after="120"/>
        <w:jc w:val="center"/>
        <w:rPr>
          <w:sz w:val="28"/>
          <w:szCs w:val="28"/>
        </w:rPr>
      </w:pPr>
      <w:r w:rsidRPr="003F6F3D">
        <w:rPr>
          <w:sz w:val="28"/>
          <w:szCs w:val="28"/>
        </w:rPr>
        <w:t>Краткая характеристика</w:t>
      </w:r>
      <w:r w:rsidRPr="003F6F3D">
        <w:rPr>
          <w:sz w:val="28"/>
          <w:szCs w:val="28"/>
        </w:rPr>
        <w:br/>
        <w:t>сферы предмета экспертно-аналитического мероприятия</w:t>
      </w:r>
    </w:p>
    <w:p w:rsidR="00000E53" w:rsidRPr="003F6F3D" w:rsidRDefault="00000E53" w:rsidP="00000E53">
      <w:pPr>
        <w:shd w:val="clear" w:color="auto" w:fill="FFFFFF"/>
        <w:ind w:firstLine="709"/>
        <w:jc w:val="both"/>
        <w:rPr>
          <w:sz w:val="28"/>
          <w:szCs w:val="28"/>
        </w:rPr>
      </w:pPr>
      <w:r w:rsidRPr="003F6F3D">
        <w:rPr>
          <w:rFonts w:eastAsiaTheme="minorHAnsi"/>
          <w:sz w:val="28"/>
          <w:szCs w:val="28"/>
        </w:rPr>
        <w:t>Административно-территориальное устройство Чукотского автономного округа определено</w:t>
      </w:r>
      <w:r w:rsidRPr="003F6F3D">
        <w:rPr>
          <w:sz w:val="28"/>
          <w:szCs w:val="28"/>
        </w:rPr>
        <w:t xml:space="preserve"> Уставом</w:t>
      </w:r>
      <w:r w:rsidRPr="003F6F3D">
        <w:rPr>
          <w:rStyle w:val="ab"/>
          <w:rFonts w:eastAsiaTheme="minorHAnsi"/>
          <w:sz w:val="28"/>
          <w:szCs w:val="28"/>
        </w:rPr>
        <w:footnoteReference w:id="194"/>
      </w:r>
      <w:r w:rsidRPr="003F6F3D">
        <w:rPr>
          <w:sz w:val="28"/>
          <w:szCs w:val="28"/>
        </w:rPr>
        <w:t>. В проверяемом периоде в Чукотском автономном округе наделены статусом</w:t>
      </w:r>
      <w:r w:rsidRPr="003F6F3D">
        <w:rPr>
          <w:rStyle w:val="ab"/>
          <w:sz w:val="28"/>
          <w:szCs w:val="28"/>
        </w:rPr>
        <w:footnoteReference w:id="195"/>
      </w:r>
      <w:r w:rsidRPr="003F6F3D">
        <w:rPr>
          <w:sz w:val="28"/>
          <w:szCs w:val="28"/>
        </w:rPr>
        <w:t xml:space="preserve"> муниципальных образований</w:t>
      </w:r>
      <w:r w:rsidRPr="003F6F3D">
        <w:rPr>
          <w:rStyle w:val="ab"/>
          <w:sz w:val="28"/>
          <w:szCs w:val="28"/>
          <w:shd w:val="clear" w:color="auto" w:fill="FFFFFF"/>
        </w:rPr>
        <w:footnoteReference w:id="196"/>
      </w:r>
      <w:r w:rsidRPr="003F6F3D">
        <w:rPr>
          <w:sz w:val="28"/>
          <w:szCs w:val="28"/>
        </w:rPr>
        <w:t xml:space="preserve">: 4 городских округа (Анадырь, </w:t>
      </w:r>
      <w:proofErr w:type="spellStart"/>
      <w:r w:rsidRPr="003F6F3D">
        <w:rPr>
          <w:sz w:val="28"/>
          <w:szCs w:val="28"/>
        </w:rPr>
        <w:t>Певек</w:t>
      </w:r>
      <w:proofErr w:type="spellEnd"/>
      <w:r w:rsidRPr="003F6F3D">
        <w:rPr>
          <w:sz w:val="28"/>
          <w:szCs w:val="28"/>
        </w:rPr>
        <w:t xml:space="preserve">, </w:t>
      </w:r>
      <w:proofErr w:type="spellStart"/>
      <w:r w:rsidRPr="003F6F3D">
        <w:rPr>
          <w:sz w:val="28"/>
          <w:szCs w:val="28"/>
        </w:rPr>
        <w:t>Эгвекинот</w:t>
      </w:r>
      <w:proofErr w:type="spellEnd"/>
      <w:r w:rsidRPr="003F6F3D">
        <w:rPr>
          <w:sz w:val="28"/>
          <w:szCs w:val="28"/>
        </w:rPr>
        <w:t xml:space="preserve">, </w:t>
      </w:r>
      <w:proofErr w:type="spellStart"/>
      <w:r w:rsidRPr="003F6F3D">
        <w:rPr>
          <w:sz w:val="28"/>
          <w:szCs w:val="28"/>
        </w:rPr>
        <w:t>Провиденский</w:t>
      </w:r>
      <w:proofErr w:type="spellEnd"/>
      <w:r w:rsidRPr="003F6F3D">
        <w:rPr>
          <w:sz w:val="28"/>
          <w:szCs w:val="28"/>
        </w:rPr>
        <w:t xml:space="preserve">), 3 муниципальных района (Анадырский, </w:t>
      </w:r>
      <w:proofErr w:type="spellStart"/>
      <w:r w:rsidRPr="003F6F3D">
        <w:rPr>
          <w:sz w:val="28"/>
          <w:szCs w:val="28"/>
        </w:rPr>
        <w:t>Билибинский</w:t>
      </w:r>
      <w:proofErr w:type="spellEnd"/>
      <w:r w:rsidRPr="003F6F3D">
        <w:rPr>
          <w:sz w:val="28"/>
          <w:szCs w:val="28"/>
        </w:rPr>
        <w:t xml:space="preserve">, Чукотский), 3 городских (Угольные Копи, </w:t>
      </w:r>
      <w:proofErr w:type="spellStart"/>
      <w:r w:rsidRPr="003F6F3D">
        <w:rPr>
          <w:sz w:val="28"/>
          <w:szCs w:val="28"/>
        </w:rPr>
        <w:t>Беринговский</w:t>
      </w:r>
      <w:proofErr w:type="spellEnd"/>
      <w:r w:rsidRPr="003F6F3D">
        <w:rPr>
          <w:sz w:val="28"/>
          <w:szCs w:val="28"/>
        </w:rPr>
        <w:t xml:space="preserve">, </w:t>
      </w:r>
      <w:proofErr w:type="spellStart"/>
      <w:r w:rsidRPr="003F6F3D">
        <w:rPr>
          <w:sz w:val="28"/>
          <w:szCs w:val="28"/>
        </w:rPr>
        <w:t>Билибино</w:t>
      </w:r>
      <w:proofErr w:type="spellEnd"/>
      <w:r w:rsidRPr="003F6F3D">
        <w:rPr>
          <w:sz w:val="28"/>
          <w:szCs w:val="28"/>
        </w:rPr>
        <w:t>) и 20 сельских поселений</w:t>
      </w:r>
      <w:r w:rsidRPr="003F6F3D">
        <w:rPr>
          <w:rStyle w:val="ab"/>
          <w:sz w:val="28"/>
          <w:szCs w:val="28"/>
        </w:rPr>
        <w:footnoteReference w:id="197"/>
      </w:r>
      <w:r w:rsidRPr="003F6F3D">
        <w:rPr>
          <w:sz w:val="28"/>
          <w:szCs w:val="28"/>
        </w:rPr>
        <w:t>.</w:t>
      </w:r>
    </w:p>
    <w:p w:rsidR="00000E53" w:rsidRPr="003F6F3D" w:rsidRDefault="00000E53" w:rsidP="00000E53">
      <w:pPr>
        <w:pStyle w:val="af"/>
        <w:spacing w:after="0"/>
        <w:ind w:left="0" w:firstLine="709"/>
        <w:jc w:val="both"/>
        <w:rPr>
          <w:rFonts w:ascii="Times New Roman" w:hAnsi="Times New Roman"/>
          <w:sz w:val="28"/>
          <w:szCs w:val="28"/>
        </w:rPr>
      </w:pPr>
      <w:r w:rsidRPr="003F6F3D">
        <w:rPr>
          <w:rFonts w:ascii="Times New Roman" w:hAnsi="Times New Roman"/>
          <w:sz w:val="28"/>
          <w:szCs w:val="28"/>
        </w:rPr>
        <w:t>Предоставление из окружного бюджета межбюджетных трансфертов муниципальным образованиям Чукотского автономного округа регулируется Бюджетным кодексом Российской Федерации</w:t>
      </w:r>
      <w:r w:rsidRPr="003F6F3D">
        <w:rPr>
          <w:rStyle w:val="ab"/>
          <w:rFonts w:ascii="Times New Roman" w:hAnsi="Times New Roman"/>
          <w:sz w:val="28"/>
          <w:szCs w:val="28"/>
        </w:rPr>
        <w:footnoteReference w:id="198"/>
      </w:r>
      <w:r w:rsidRPr="003F6F3D">
        <w:rPr>
          <w:rFonts w:ascii="Times New Roman" w:hAnsi="Times New Roman"/>
          <w:sz w:val="28"/>
          <w:szCs w:val="28"/>
        </w:rPr>
        <w:t>, нормативными правовыми актами Российской Федерации и Чукотского автономного округа.</w:t>
      </w:r>
    </w:p>
    <w:p w:rsidR="00000E53" w:rsidRPr="003F6F3D" w:rsidRDefault="00000E53" w:rsidP="00000E53">
      <w:pPr>
        <w:autoSpaceDE w:val="0"/>
        <w:autoSpaceDN w:val="0"/>
        <w:adjustRightInd w:val="0"/>
        <w:ind w:firstLine="709"/>
        <w:jc w:val="both"/>
        <w:rPr>
          <w:rFonts w:eastAsiaTheme="minorHAnsi"/>
          <w:i/>
          <w:sz w:val="28"/>
          <w:szCs w:val="28"/>
        </w:rPr>
      </w:pPr>
      <w:r w:rsidRPr="003F6F3D">
        <w:rPr>
          <w:rFonts w:eastAsiaTheme="minorHAnsi"/>
          <w:sz w:val="28"/>
          <w:szCs w:val="28"/>
        </w:rPr>
        <w:t>Бюджетные полномочия в части определения условий предоставления межбюджетных трансфертов из окружного бюджета осуществляет Правительство Чукотского автономного округа</w:t>
      </w:r>
      <w:r w:rsidRPr="003F6F3D">
        <w:rPr>
          <w:rStyle w:val="ab"/>
          <w:rFonts w:eastAsiaTheme="minorHAnsi"/>
          <w:sz w:val="28"/>
          <w:szCs w:val="28"/>
        </w:rPr>
        <w:footnoteReference w:id="199"/>
      </w:r>
      <w:r w:rsidRPr="003F6F3D">
        <w:rPr>
          <w:rFonts w:eastAsiaTheme="minorHAnsi"/>
          <w:sz w:val="28"/>
          <w:szCs w:val="28"/>
        </w:rPr>
        <w:t>.</w:t>
      </w:r>
    </w:p>
    <w:p w:rsidR="00000E53" w:rsidRPr="003F6F3D" w:rsidRDefault="00000E53" w:rsidP="00000E53">
      <w:pPr>
        <w:pStyle w:val="af"/>
        <w:spacing w:after="0"/>
        <w:ind w:left="0" w:firstLine="709"/>
        <w:jc w:val="both"/>
        <w:rPr>
          <w:rFonts w:ascii="Times New Roman" w:hAnsi="Times New Roman"/>
          <w:sz w:val="28"/>
          <w:szCs w:val="28"/>
        </w:rPr>
      </w:pPr>
      <w:r w:rsidRPr="003F6F3D">
        <w:rPr>
          <w:rFonts w:ascii="Times New Roman" w:hAnsi="Times New Roman"/>
          <w:sz w:val="28"/>
          <w:szCs w:val="28"/>
        </w:rPr>
        <w:t xml:space="preserve">В составе расходов окружного бюджета анализируемого периода предусмотрены следующие межбюджетные трансферты муниципальным образованиям округа (далее – межбюджетные трансферты): </w:t>
      </w:r>
    </w:p>
    <w:p w:rsidR="00000E53" w:rsidRPr="003F6F3D" w:rsidRDefault="00000E53" w:rsidP="00000E53">
      <w:pPr>
        <w:ind w:firstLine="709"/>
        <w:jc w:val="both"/>
        <w:rPr>
          <w:sz w:val="28"/>
          <w:szCs w:val="28"/>
        </w:rPr>
      </w:pPr>
      <w:r w:rsidRPr="003F6F3D">
        <w:rPr>
          <w:sz w:val="28"/>
          <w:szCs w:val="28"/>
        </w:rPr>
        <w:t>- дотации – форма межбюджетных трансфертов без установления направлений и (или) условий их использования;</w:t>
      </w:r>
    </w:p>
    <w:p w:rsidR="00000E53" w:rsidRPr="003F6F3D" w:rsidRDefault="00000E53" w:rsidP="00000E53">
      <w:pPr>
        <w:ind w:firstLine="709"/>
        <w:jc w:val="both"/>
        <w:rPr>
          <w:sz w:val="28"/>
          <w:szCs w:val="28"/>
        </w:rPr>
      </w:pPr>
      <w:r w:rsidRPr="003F6F3D">
        <w:rPr>
          <w:sz w:val="28"/>
          <w:szCs w:val="28"/>
        </w:rPr>
        <w:t xml:space="preserve">- субсидии – форма межбюджетных трансфертов, предоставляемых в целях </w:t>
      </w:r>
      <w:proofErr w:type="spellStart"/>
      <w:r w:rsidRPr="003F6F3D">
        <w:rPr>
          <w:sz w:val="28"/>
          <w:szCs w:val="28"/>
        </w:rPr>
        <w:t>софинансирования</w:t>
      </w:r>
      <w:proofErr w:type="spellEnd"/>
      <w:r w:rsidRPr="003F6F3D">
        <w:rPr>
          <w:sz w:val="28"/>
          <w:szCs w:val="28"/>
        </w:rPr>
        <w:t xml:space="preserve"> расходных обязательств, возникающих при выполнении полномочий органов власти;</w:t>
      </w:r>
    </w:p>
    <w:p w:rsidR="00000E53" w:rsidRPr="003F6F3D" w:rsidRDefault="00000E53" w:rsidP="00000E53">
      <w:pPr>
        <w:ind w:firstLine="709"/>
        <w:jc w:val="both"/>
        <w:rPr>
          <w:sz w:val="28"/>
          <w:szCs w:val="28"/>
        </w:rPr>
      </w:pPr>
      <w:r w:rsidRPr="003F6F3D">
        <w:rPr>
          <w:sz w:val="28"/>
          <w:szCs w:val="28"/>
        </w:rPr>
        <w:t>- субвенции – форма межбюджетных трансфертов, предоставляемых в целях финансового обеспечения расходных обязательств, возникающих при выполнении переданных полномочий;</w:t>
      </w:r>
    </w:p>
    <w:p w:rsidR="00000E53" w:rsidRPr="003F6F3D" w:rsidRDefault="00000E53" w:rsidP="00000E53">
      <w:pPr>
        <w:ind w:firstLine="709"/>
        <w:rPr>
          <w:sz w:val="28"/>
          <w:szCs w:val="28"/>
        </w:rPr>
      </w:pPr>
      <w:r w:rsidRPr="003F6F3D">
        <w:rPr>
          <w:sz w:val="28"/>
          <w:szCs w:val="28"/>
        </w:rPr>
        <w:t>- иные межбюджетные трансферты, имеющие целевое назначение.</w:t>
      </w:r>
    </w:p>
    <w:p w:rsidR="00000E53" w:rsidRPr="003F6F3D" w:rsidRDefault="00000E53" w:rsidP="00000E53">
      <w:pPr>
        <w:pStyle w:val="ConsPlusTitle"/>
        <w:spacing w:before="240" w:after="120"/>
        <w:jc w:val="center"/>
        <w:rPr>
          <w:sz w:val="28"/>
          <w:szCs w:val="28"/>
        </w:rPr>
      </w:pPr>
      <w:r w:rsidRPr="003F6F3D">
        <w:rPr>
          <w:sz w:val="28"/>
          <w:szCs w:val="28"/>
        </w:rPr>
        <w:t xml:space="preserve">1. Анализ предоставления </w:t>
      </w:r>
      <w:r w:rsidRPr="003F6F3D">
        <w:rPr>
          <w:rFonts w:eastAsia="Calibri"/>
          <w:sz w:val="28"/>
          <w:szCs w:val="28"/>
        </w:rPr>
        <w:t>межбюджетных трансфертов</w:t>
      </w:r>
      <w:r w:rsidRPr="003F6F3D">
        <w:rPr>
          <w:sz w:val="28"/>
          <w:szCs w:val="28"/>
        </w:rPr>
        <w:t xml:space="preserve"> </w:t>
      </w:r>
      <w:r w:rsidRPr="003F6F3D">
        <w:rPr>
          <w:sz w:val="28"/>
          <w:szCs w:val="28"/>
        </w:rPr>
        <w:br/>
        <w:t xml:space="preserve">из окружного бюджета бюджетам муниципальных образований </w:t>
      </w:r>
      <w:r w:rsidRPr="003F6F3D">
        <w:rPr>
          <w:sz w:val="28"/>
          <w:szCs w:val="28"/>
        </w:rPr>
        <w:br/>
        <w:t>Чукотского автономного округа и результативности их использования</w:t>
      </w:r>
    </w:p>
    <w:p w:rsidR="00000E53" w:rsidRPr="003F6F3D" w:rsidRDefault="00000E53" w:rsidP="00000E53">
      <w:pPr>
        <w:ind w:firstLine="709"/>
        <w:jc w:val="both"/>
        <w:rPr>
          <w:sz w:val="28"/>
          <w:szCs w:val="28"/>
        </w:rPr>
      </w:pPr>
      <w:r w:rsidRPr="003F6F3D">
        <w:rPr>
          <w:sz w:val="28"/>
          <w:szCs w:val="28"/>
        </w:rPr>
        <w:t>Расходы окружного бюджета на предоставление межбюджетных трансфертов бюджетам муниципальных образований в анализируемом периоде составили 29 114 961,6 тыс. рублей, в том числе:</w:t>
      </w:r>
    </w:p>
    <w:p w:rsidR="00000E53" w:rsidRPr="003F6F3D" w:rsidRDefault="00000E53" w:rsidP="00000E53">
      <w:pPr>
        <w:ind w:firstLine="709"/>
        <w:jc w:val="both"/>
        <w:rPr>
          <w:sz w:val="28"/>
          <w:szCs w:val="28"/>
        </w:rPr>
      </w:pPr>
      <w:r w:rsidRPr="003F6F3D">
        <w:rPr>
          <w:sz w:val="28"/>
          <w:szCs w:val="28"/>
        </w:rPr>
        <w:t>- в 2018 году – 7 223 484,0 тыс. рублей или 97,6% утвержденных показателей (план – 7 397 869,4 тыс. рублей);</w:t>
      </w:r>
    </w:p>
    <w:p w:rsidR="00000E53" w:rsidRPr="003F6F3D" w:rsidRDefault="00000E53" w:rsidP="00000E53">
      <w:pPr>
        <w:ind w:firstLine="709"/>
        <w:jc w:val="both"/>
        <w:rPr>
          <w:sz w:val="28"/>
          <w:szCs w:val="28"/>
        </w:rPr>
      </w:pPr>
      <w:r w:rsidRPr="003F6F3D">
        <w:rPr>
          <w:sz w:val="28"/>
          <w:szCs w:val="28"/>
        </w:rPr>
        <w:t>- в 2019 году – 8 499 857,1 тыс. рублей или 97,8% (8 691 104,2 тыс. рублей);</w:t>
      </w:r>
    </w:p>
    <w:p w:rsidR="00000E53" w:rsidRPr="003F6F3D" w:rsidRDefault="00000E53" w:rsidP="00000E53">
      <w:pPr>
        <w:ind w:firstLine="709"/>
        <w:jc w:val="both"/>
        <w:rPr>
          <w:sz w:val="28"/>
          <w:szCs w:val="28"/>
        </w:rPr>
      </w:pPr>
      <w:r w:rsidRPr="003F6F3D">
        <w:rPr>
          <w:sz w:val="28"/>
          <w:szCs w:val="28"/>
        </w:rPr>
        <w:t>- в 2020 году – 13 391 620,5 тыс. рублей или 98,6% (13 590 763,3 тыс. рублей).</w:t>
      </w:r>
    </w:p>
    <w:p w:rsidR="00000E53" w:rsidRPr="003F6F3D" w:rsidRDefault="00000E53" w:rsidP="00000E53">
      <w:pPr>
        <w:ind w:firstLine="709"/>
        <w:jc w:val="both"/>
        <w:rPr>
          <w:sz w:val="28"/>
          <w:szCs w:val="28"/>
        </w:rPr>
      </w:pPr>
      <w:r w:rsidRPr="003F6F3D">
        <w:rPr>
          <w:sz w:val="28"/>
          <w:szCs w:val="28"/>
        </w:rPr>
        <w:t xml:space="preserve">Межбюджетные трансферты предоставлялись всем 30 муниципальным образованиям округа 11 главными распорядителями средств окружного бюджета в рамках реализации 14 государственных программ Чукотского автономного округа и двух непрограммных направлений деятельности органов исполнительной власти Чукотского автономного округа. </w:t>
      </w:r>
    </w:p>
    <w:p w:rsidR="00000E53" w:rsidRPr="003F6F3D" w:rsidRDefault="00000E53" w:rsidP="00000E53">
      <w:pPr>
        <w:ind w:firstLine="709"/>
        <w:jc w:val="both"/>
        <w:rPr>
          <w:sz w:val="28"/>
          <w:szCs w:val="28"/>
        </w:rPr>
      </w:pPr>
      <w:r w:rsidRPr="003F6F3D">
        <w:rPr>
          <w:sz w:val="28"/>
          <w:szCs w:val="28"/>
        </w:rPr>
        <w:t>Информация о предоставленных межбюджетных трансфертах в разрезе форм межбюджетных трансфертов в 2018-2020 годах отражена в таблице №1.</w:t>
      </w:r>
    </w:p>
    <w:p w:rsidR="00000E53" w:rsidRPr="003F6F3D" w:rsidRDefault="00000E53" w:rsidP="00000E53">
      <w:pPr>
        <w:pStyle w:val="ConsPlusTitle"/>
        <w:spacing w:line="276" w:lineRule="auto"/>
        <w:ind w:firstLine="709"/>
        <w:jc w:val="right"/>
        <w:rPr>
          <w:b w:val="0"/>
          <w:sz w:val="28"/>
          <w:szCs w:val="28"/>
        </w:rPr>
      </w:pPr>
    </w:p>
    <w:p w:rsidR="00000E53" w:rsidRPr="003F6F3D" w:rsidRDefault="00000E53" w:rsidP="00000E53">
      <w:pPr>
        <w:pStyle w:val="ConsPlusTitle"/>
        <w:spacing w:line="276" w:lineRule="auto"/>
        <w:ind w:firstLine="709"/>
        <w:jc w:val="right"/>
        <w:rPr>
          <w:b w:val="0"/>
          <w:sz w:val="28"/>
          <w:szCs w:val="28"/>
        </w:rPr>
      </w:pPr>
    </w:p>
    <w:p w:rsidR="00000E53" w:rsidRPr="003F6F3D" w:rsidRDefault="00000E53" w:rsidP="00000E53">
      <w:pPr>
        <w:pStyle w:val="ConsPlusTitle"/>
        <w:spacing w:line="276" w:lineRule="auto"/>
        <w:ind w:firstLine="709"/>
        <w:jc w:val="right"/>
        <w:rPr>
          <w:b w:val="0"/>
          <w:sz w:val="28"/>
          <w:szCs w:val="28"/>
        </w:rPr>
      </w:pPr>
    </w:p>
    <w:p w:rsidR="00000E53" w:rsidRPr="003F6F3D" w:rsidRDefault="00000E53" w:rsidP="00000E53">
      <w:pPr>
        <w:pStyle w:val="ConsPlusTitle"/>
        <w:spacing w:line="276" w:lineRule="auto"/>
        <w:ind w:firstLine="709"/>
        <w:jc w:val="right"/>
        <w:rPr>
          <w:b w:val="0"/>
          <w:sz w:val="28"/>
          <w:szCs w:val="28"/>
        </w:rPr>
      </w:pPr>
    </w:p>
    <w:p w:rsidR="00000E53" w:rsidRPr="003F6F3D" w:rsidRDefault="00000E53" w:rsidP="00000E53">
      <w:pPr>
        <w:pStyle w:val="ConsPlusTitle"/>
        <w:spacing w:line="276" w:lineRule="auto"/>
        <w:ind w:firstLine="709"/>
        <w:jc w:val="right"/>
        <w:rPr>
          <w:b w:val="0"/>
          <w:sz w:val="28"/>
          <w:szCs w:val="28"/>
        </w:rPr>
      </w:pPr>
      <w:r w:rsidRPr="003F6F3D">
        <w:rPr>
          <w:b w:val="0"/>
          <w:sz w:val="28"/>
          <w:szCs w:val="28"/>
        </w:rPr>
        <w:t>Таблица №1</w:t>
      </w:r>
    </w:p>
    <w:p w:rsidR="00000E53" w:rsidRPr="003F6F3D" w:rsidRDefault="00000E53" w:rsidP="00000E53">
      <w:pPr>
        <w:pStyle w:val="ConsPlusTitle"/>
        <w:spacing w:line="276" w:lineRule="auto"/>
        <w:ind w:firstLine="709"/>
        <w:jc w:val="right"/>
        <w:rPr>
          <w:b w:val="0"/>
          <w:sz w:val="28"/>
          <w:szCs w:val="28"/>
        </w:rPr>
      </w:pPr>
      <w:r w:rsidRPr="003F6F3D">
        <w:rPr>
          <w:b w:val="0"/>
          <w:sz w:val="28"/>
          <w:szCs w:val="28"/>
        </w:rPr>
        <w:t>(тыс. рублей)</w:t>
      </w:r>
    </w:p>
    <w:tbl>
      <w:tblPr>
        <w:tblW w:w="10160" w:type="dxa"/>
        <w:tblInd w:w="-147" w:type="dxa"/>
        <w:tblLayout w:type="fixed"/>
        <w:tblLook w:val="04A0" w:firstRow="1" w:lastRow="0" w:firstColumn="1" w:lastColumn="0" w:noHBand="0" w:noVBand="1"/>
      </w:tblPr>
      <w:tblGrid>
        <w:gridCol w:w="2552"/>
        <w:gridCol w:w="1229"/>
        <w:gridCol w:w="1276"/>
        <w:gridCol w:w="1275"/>
        <w:gridCol w:w="1276"/>
        <w:gridCol w:w="1276"/>
        <w:gridCol w:w="1276"/>
      </w:tblGrid>
      <w:tr w:rsidR="00000E53" w:rsidRPr="003F6F3D" w:rsidTr="00000E53">
        <w:trPr>
          <w:trHeight w:val="214"/>
          <w:tblHeader/>
        </w:trPr>
        <w:tc>
          <w:tcPr>
            <w:tcW w:w="25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 xml:space="preserve">Наименование </w:t>
            </w:r>
            <w:r w:rsidRPr="003F6F3D">
              <w:rPr>
                <w:sz w:val="20"/>
                <w:szCs w:val="20"/>
              </w:rPr>
              <w:br/>
              <w:t>показателя</w:t>
            </w:r>
          </w:p>
        </w:tc>
        <w:tc>
          <w:tcPr>
            <w:tcW w:w="2505" w:type="dxa"/>
            <w:gridSpan w:val="2"/>
            <w:tcBorders>
              <w:top w:val="single" w:sz="4" w:space="0" w:color="auto"/>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 xml:space="preserve"> 2018 г.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 xml:space="preserve"> 2019 г. </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 xml:space="preserve"> 2020 г. </w:t>
            </w:r>
          </w:p>
        </w:tc>
      </w:tr>
      <w:tr w:rsidR="00000E53" w:rsidRPr="003F6F3D" w:rsidTr="00000E53">
        <w:trPr>
          <w:trHeight w:val="277"/>
          <w:tblHeader/>
        </w:trPr>
        <w:tc>
          <w:tcPr>
            <w:tcW w:w="2552" w:type="dxa"/>
            <w:vMerge/>
            <w:tcBorders>
              <w:top w:val="single" w:sz="4" w:space="0" w:color="auto"/>
              <w:left w:val="single" w:sz="4" w:space="0" w:color="auto"/>
              <w:bottom w:val="single" w:sz="4" w:space="0" w:color="000000"/>
              <w:right w:val="single" w:sz="4" w:space="0" w:color="auto"/>
            </w:tcBorders>
            <w:vAlign w:val="center"/>
            <w:hideMark/>
          </w:tcPr>
          <w:p w:rsidR="00000E53" w:rsidRPr="003F6F3D" w:rsidRDefault="00000E53" w:rsidP="00000E53">
            <w:pPr>
              <w:spacing w:line="216" w:lineRule="auto"/>
              <w:rPr>
                <w:sz w:val="20"/>
                <w:szCs w:val="20"/>
              </w:rPr>
            </w:pPr>
          </w:p>
        </w:tc>
        <w:tc>
          <w:tcPr>
            <w:tcW w:w="1229"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ind w:right="-105" w:hanging="151"/>
              <w:jc w:val="center"/>
              <w:rPr>
                <w:sz w:val="19"/>
                <w:szCs w:val="19"/>
              </w:rPr>
            </w:pPr>
            <w:r w:rsidRPr="003F6F3D">
              <w:rPr>
                <w:sz w:val="19"/>
                <w:szCs w:val="19"/>
              </w:rPr>
              <w:t>Утверждено</w:t>
            </w:r>
            <w:r w:rsidRPr="003F6F3D">
              <w:rPr>
                <w:rStyle w:val="ab"/>
              </w:rPr>
              <w:footnoteReference w:id="200"/>
            </w:r>
          </w:p>
        </w:tc>
        <w:tc>
          <w:tcPr>
            <w:tcW w:w="1276"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19"/>
                <w:szCs w:val="19"/>
              </w:rPr>
            </w:pPr>
            <w:r w:rsidRPr="003F6F3D">
              <w:rPr>
                <w:sz w:val="19"/>
                <w:szCs w:val="19"/>
              </w:rPr>
              <w:t>Исполнено</w:t>
            </w:r>
          </w:p>
        </w:tc>
        <w:tc>
          <w:tcPr>
            <w:tcW w:w="1275"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19"/>
                <w:szCs w:val="19"/>
              </w:rPr>
            </w:pPr>
            <w:r w:rsidRPr="003F6F3D">
              <w:rPr>
                <w:sz w:val="19"/>
                <w:szCs w:val="19"/>
              </w:rPr>
              <w:t>Утверждено</w:t>
            </w:r>
          </w:p>
        </w:tc>
        <w:tc>
          <w:tcPr>
            <w:tcW w:w="1276"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19"/>
                <w:szCs w:val="19"/>
              </w:rPr>
            </w:pPr>
            <w:r w:rsidRPr="003F6F3D">
              <w:rPr>
                <w:sz w:val="19"/>
                <w:szCs w:val="19"/>
              </w:rPr>
              <w:t>Исполнено</w:t>
            </w:r>
          </w:p>
        </w:tc>
        <w:tc>
          <w:tcPr>
            <w:tcW w:w="1276"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19"/>
                <w:szCs w:val="19"/>
              </w:rPr>
            </w:pPr>
            <w:r w:rsidRPr="003F6F3D">
              <w:rPr>
                <w:sz w:val="19"/>
                <w:szCs w:val="19"/>
              </w:rPr>
              <w:t>Утверждено</w:t>
            </w:r>
          </w:p>
        </w:tc>
        <w:tc>
          <w:tcPr>
            <w:tcW w:w="1276"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19"/>
                <w:szCs w:val="19"/>
              </w:rPr>
            </w:pPr>
            <w:r w:rsidRPr="003F6F3D">
              <w:rPr>
                <w:sz w:val="19"/>
                <w:szCs w:val="19"/>
              </w:rPr>
              <w:t>Исполнено</w:t>
            </w:r>
          </w:p>
        </w:tc>
      </w:tr>
      <w:tr w:rsidR="00000E53" w:rsidRPr="003F6F3D" w:rsidTr="00000E53">
        <w:trPr>
          <w:trHeight w:val="255"/>
          <w:tblHeader/>
        </w:trPr>
        <w:tc>
          <w:tcPr>
            <w:tcW w:w="2552" w:type="dxa"/>
            <w:tcBorders>
              <w:top w:val="nil"/>
              <w:left w:val="single" w:sz="4" w:space="0" w:color="auto"/>
              <w:bottom w:val="single" w:sz="4" w:space="0" w:color="auto"/>
              <w:right w:val="nil"/>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1</w:t>
            </w:r>
          </w:p>
        </w:tc>
        <w:tc>
          <w:tcPr>
            <w:tcW w:w="1229"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19"/>
                <w:szCs w:val="19"/>
              </w:rPr>
            </w:pPr>
            <w:r w:rsidRPr="003F6F3D">
              <w:rPr>
                <w:sz w:val="19"/>
                <w:szCs w:val="19"/>
              </w:rPr>
              <w:t>2</w:t>
            </w:r>
          </w:p>
        </w:tc>
        <w:tc>
          <w:tcPr>
            <w:tcW w:w="1276"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19"/>
                <w:szCs w:val="19"/>
              </w:rPr>
            </w:pPr>
            <w:r w:rsidRPr="003F6F3D">
              <w:rPr>
                <w:sz w:val="19"/>
                <w:szCs w:val="19"/>
              </w:rPr>
              <w:t>3</w:t>
            </w:r>
          </w:p>
        </w:tc>
        <w:tc>
          <w:tcPr>
            <w:tcW w:w="1275"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19"/>
                <w:szCs w:val="19"/>
              </w:rPr>
            </w:pPr>
            <w:r w:rsidRPr="003F6F3D">
              <w:rPr>
                <w:sz w:val="19"/>
                <w:szCs w:val="19"/>
              </w:rPr>
              <w:t>4</w:t>
            </w:r>
          </w:p>
        </w:tc>
        <w:tc>
          <w:tcPr>
            <w:tcW w:w="1276"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19"/>
                <w:szCs w:val="19"/>
              </w:rPr>
            </w:pPr>
            <w:r w:rsidRPr="003F6F3D">
              <w:rPr>
                <w:sz w:val="19"/>
                <w:szCs w:val="19"/>
              </w:rPr>
              <w:t>5</w:t>
            </w:r>
          </w:p>
        </w:tc>
        <w:tc>
          <w:tcPr>
            <w:tcW w:w="1276"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19"/>
                <w:szCs w:val="19"/>
              </w:rPr>
            </w:pPr>
            <w:r w:rsidRPr="003F6F3D">
              <w:rPr>
                <w:sz w:val="19"/>
                <w:szCs w:val="19"/>
              </w:rPr>
              <w:t>6</w:t>
            </w:r>
          </w:p>
        </w:tc>
        <w:tc>
          <w:tcPr>
            <w:tcW w:w="1276"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19"/>
                <w:szCs w:val="19"/>
              </w:rPr>
            </w:pPr>
            <w:r w:rsidRPr="003F6F3D">
              <w:rPr>
                <w:sz w:val="19"/>
                <w:szCs w:val="19"/>
              </w:rPr>
              <w:t>7</w:t>
            </w:r>
          </w:p>
        </w:tc>
      </w:tr>
      <w:tr w:rsidR="00000E53" w:rsidRPr="003F6F3D" w:rsidTr="00000E53">
        <w:trPr>
          <w:trHeight w:val="300"/>
        </w:trPr>
        <w:tc>
          <w:tcPr>
            <w:tcW w:w="2552" w:type="dxa"/>
            <w:tcBorders>
              <w:top w:val="nil"/>
              <w:left w:val="single" w:sz="4" w:space="0" w:color="auto"/>
              <w:bottom w:val="single" w:sz="4" w:space="0" w:color="auto"/>
              <w:right w:val="nil"/>
            </w:tcBorders>
            <w:shd w:val="clear" w:color="auto" w:fill="auto"/>
            <w:noWrap/>
            <w:vAlign w:val="center"/>
          </w:tcPr>
          <w:p w:rsidR="00000E53" w:rsidRPr="003F6F3D" w:rsidRDefault="00000E53" w:rsidP="00000E53">
            <w:pPr>
              <w:spacing w:line="216" w:lineRule="auto"/>
              <w:rPr>
                <w:b/>
                <w:bCs/>
                <w:sz w:val="20"/>
                <w:szCs w:val="20"/>
                <w:lang w:val="en-US"/>
              </w:rPr>
            </w:pPr>
            <w:r w:rsidRPr="003F6F3D">
              <w:rPr>
                <w:b/>
                <w:bCs/>
                <w:sz w:val="20"/>
                <w:szCs w:val="20"/>
              </w:rPr>
              <w:t>Расходы бюджета - всего</w:t>
            </w:r>
          </w:p>
        </w:tc>
        <w:tc>
          <w:tcPr>
            <w:tcW w:w="1229" w:type="dxa"/>
            <w:tcBorders>
              <w:top w:val="nil"/>
              <w:left w:val="single" w:sz="4" w:space="0" w:color="auto"/>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right"/>
              <w:rPr>
                <w:b/>
                <w:bCs/>
                <w:sz w:val="19"/>
                <w:szCs w:val="19"/>
              </w:rPr>
            </w:pPr>
            <w:r w:rsidRPr="003F6F3D">
              <w:rPr>
                <w:b/>
                <w:bCs/>
                <w:sz w:val="19"/>
                <w:szCs w:val="19"/>
              </w:rPr>
              <w:t>34 449 322,3</w:t>
            </w:r>
          </w:p>
        </w:tc>
        <w:tc>
          <w:tcPr>
            <w:tcW w:w="1276" w:type="dxa"/>
            <w:tcBorders>
              <w:top w:val="nil"/>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right"/>
              <w:rPr>
                <w:b/>
                <w:bCs/>
                <w:sz w:val="19"/>
                <w:szCs w:val="19"/>
              </w:rPr>
            </w:pPr>
            <w:r w:rsidRPr="003F6F3D">
              <w:rPr>
                <w:b/>
                <w:bCs/>
                <w:sz w:val="19"/>
                <w:szCs w:val="19"/>
              </w:rPr>
              <w:t>33 823 827,7</w:t>
            </w:r>
          </w:p>
        </w:tc>
        <w:tc>
          <w:tcPr>
            <w:tcW w:w="1275" w:type="dxa"/>
            <w:tcBorders>
              <w:top w:val="nil"/>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right"/>
              <w:rPr>
                <w:b/>
                <w:bCs/>
                <w:sz w:val="19"/>
                <w:szCs w:val="19"/>
              </w:rPr>
            </w:pPr>
            <w:r w:rsidRPr="003F6F3D">
              <w:rPr>
                <w:b/>
                <w:bCs/>
                <w:sz w:val="19"/>
                <w:szCs w:val="19"/>
              </w:rPr>
              <w:t>54 801 329,8</w:t>
            </w:r>
          </w:p>
        </w:tc>
        <w:tc>
          <w:tcPr>
            <w:tcW w:w="1276" w:type="dxa"/>
            <w:tcBorders>
              <w:top w:val="nil"/>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right"/>
              <w:rPr>
                <w:b/>
                <w:bCs/>
                <w:sz w:val="19"/>
                <w:szCs w:val="19"/>
              </w:rPr>
            </w:pPr>
            <w:r w:rsidRPr="003F6F3D">
              <w:rPr>
                <w:b/>
                <w:bCs/>
                <w:sz w:val="19"/>
                <w:szCs w:val="19"/>
                <w:lang w:val="en-US"/>
              </w:rPr>
              <w:t>54 074 860</w:t>
            </w:r>
            <w:r w:rsidRPr="003F6F3D">
              <w:rPr>
                <w:b/>
                <w:bCs/>
                <w:sz w:val="19"/>
                <w:szCs w:val="19"/>
              </w:rPr>
              <w:t>,9</w:t>
            </w:r>
          </w:p>
        </w:tc>
        <w:tc>
          <w:tcPr>
            <w:tcW w:w="1276" w:type="dxa"/>
            <w:tcBorders>
              <w:top w:val="nil"/>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right"/>
              <w:rPr>
                <w:b/>
                <w:bCs/>
                <w:sz w:val="19"/>
                <w:szCs w:val="19"/>
              </w:rPr>
            </w:pPr>
            <w:r w:rsidRPr="003F6F3D">
              <w:rPr>
                <w:b/>
                <w:bCs/>
                <w:sz w:val="19"/>
                <w:szCs w:val="19"/>
              </w:rPr>
              <w:t>49 796 591,9</w:t>
            </w:r>
          </w:p>
        </w:tc>
        <w:tc>
          <w:tcPr>
            <w:tcW w:w="1276" w:type="dxa"/>
            <w:tcBorders>
              <w:top w:val="nil"/>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right"/>
              <w:rPr>
                <w:b/>
                <w:bCs/>
                <w:sz w:val="19"/>
                <w:szCs w:val="19"/>
              </w:rPr>
            </w:pPr>
            <w:r w:rsidRPr="003F6F3D">
              <w:rPr>
                <w:b/>
                <w:bCs/>
                <w:sz w:val="19"/>
                <w:szCs w:val="19"/>
              </w:rPr>
              <w:t>47 801 430,8</w:t>
            </w:r>
          </w:p>
        </w:tc>
      </w:tr>
      <w:tr w:rsidR="00000E53" w:rsidRPr="003F6F3D" w:rsidTr="00000E53">
        <w:trPr>
          <w:trHeight w:val="300"/>
        </w:trPr>
        <w:tc>
          <w:tcPr>
            <w:tcW w:w="2552" w:type="dxa"/>
            <w:tcBorders>
              <w:top w:val="nil"/>
              <w:left w:val="single" w:sz="4" w:space="0" w:color="auto"/>
              <w:bottom w:val="single" w:sz="4" w:space="0" w:color="auto"/>
              <w:right w:val="nil"/>
            </w:tcBorders>
            <w:shd w:val="clear" w:color="auto" w:fill="auto"/>
            <w:noWrap/>
            <w:vAlign w:val="center"/>
            <w:hideMark/>
          </w:tcPr>
          <w:p w:rsidR="00000E53" w:rsidRPr="003F6F3D" w:rsidRDefault="00000E53" w:rsidP="00000E53">
            <w:pPr>
              <w:spacing w:line="216" w:lineRule="auto"/>
              <w:rPr>
                <w:b/>
                <w:bCs/>
                <w:sz w:val="20"/>
                <w:szCs w:val="20"/>
              </w:rPr>
            </w:pPr>
            <w:r w:rsidRPr="003F6F3D">
              <w:rPr>
                <w:b/>
                <w:bCs/>
                <w:sz w:val="20"/>
                <w:szCs w:val="20"/>
              </w:rPr>
              <w:t>МБТ МО</w:t>
            </w:r>
            <w:r w:rsidRPr="003F6F3D">
              <w:rPr>
                <w:rStyle w:val="ab"/>
              </w:rPr>
              <w:footnoteReference w:id="201"/>
            </w:r>
            <w:r w:rsidRPr="003F6F3D">
              <w:rPr>
                <w:b/>
                <w:bCs/>
                <w:sz w:val="20"/>
                <w:szCs w:val="20"/>
              </w:rPr>
              <w:t>, в том числе:</w:t>
            </w:r>
          </w:p>
        </w:tc>
        <w:tc>
          <w:tcPr>
            <w:tcW w:w="1229" w:type="dxa"/>
            <w:tcBorders>
              <w:top w:val="nil"/>
              <w:left w:val="single" w:sz="4" w:space="0" w:color="auto"/>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b/>
                <w:bCs/>
                <w:sz w:val="19"/>
                <w:szCs w:val="19"/>
              </w:rPr>
            </w:pPr>
            <w:r w:rsidRPr="003F6F3D">
              <w:rPr>
                <w:b/>
                <w:bCs/>
                <w:sz w:val="19"/>
                <w:szCs w:val="19"/>
              </w:rPr>
              <w:t>7 397 869,4</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b/>
                <w:bCs/>
                <w:sz w:val="19"/>
                <w:szCs w:val="19"/>
              </w:rPr>
            </w:pPr>
            <w:r w:rsidRPr="003F6F3D">
              <w:rPr>
                <w:b/>
                <w:bCs/>
                <w:sz w:val="19"/>
                <w:szCs w:val="19"/>
              </w:rPr>
              <w:t>7 223 484,0</w:t>
            </w:r>
          </w:p>
        </w:tc>
        <w:tc>
          <w:tcPr>
            <w:tcW w:w="127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b/>
                <w:bCs/>
                <w:sz w:val="19"/>
                <w:szCs w:val="19"/>
              </w:rPr>
            </w:pPr>
            <w:r w:rsidRPr="003F6F3D">
              <w:rPr>
                <w:b/>
                <w:bCs/>
                <w:sz w:val="19"/>
                <w:szCs w:val="19"/>
              </w:rPr>
              <w:t>8 691 104,2</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b/>
                <w:bCs/>
                <w:sz w:val="19"/>
                <w:szCs w:val="19"/>
              </w:rPr>
            </w:pPr>
            <w:r w:rsidRPr="003F6F3D">
              <w:rPr>
                <w:b/>
                <w:bCs/>
                <w:sz w:val="19"/>
                <w:szCs w:val="19"/>
              </w:rPr>
              <w:t>8 499 857,1</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b/>
                <w:bCs/>
                <w:sz w:val="19"/>
                <w:szCs w:val="19"/>
              </w:rPr>
            </w:pPr>
            <w:r w:rsidRPr="003F6F3D">
              <w:rPr>
                <w:b/>
                <w:bCs/>
                <w:sz w:val="19"/>
                <w:szCs w:val="19"/>
              </w:rPr>
              <w:t>13 590 763,3</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b/>
                <w:bCs/>
                <w:sz w:val="19"/>
                <w:szCs w:val="19"/>
              </w:rPr>
            </w:pPr>
            <w:r w:rsidRPr="003F6F3D">
              <w:rPr>
                <w:b/>
                <w:bCs/>
                <w:sz w:val="19"/>
                <w:szCs w:val="19"/>
              </w:rPr>
              <w:t>13 391 620,5</w:t>
            </w:r>
          </w:p>
        </w:tc>
      </w:tr>
      <w:tr w:rsidR="00000E53" w:rsidRPr="003F6F3D" w:rsidTr="00000E53">
        <w:trPr>
          <w:trHeight w:val="86"/>
        </w:trPr>
        <w:tc>
          <w:tcPr>
            <w:tcW w:w="2552" w:type="dxa"/>
            <w:tcBorders>
              <w:top w:val="nil"/>
              <w:left w:val="single" w:sz="4" w:space="0" w:color="auto"/>
              <w:bottom w:val="single" w:sz="4" w:space="0" w:color="auto"/>
              <w:right w:val="nil"/>
            </w:tcBorders>
            <w:shd w:val="clear" w:color="auto" w:fill="auto"/>
            <w:noWrap/>
            <w:vAlign w:val="center"/>
          </w:tcPr>
          <w:p w:rsidR="00000E53" w:rsidRPr="003F6F3D" w:rsidRDefault="00000E53" w:rsidP="00000E53">
            <w:pPr>
              <w:spacing w:line="216" w:lineRule="auto"/>
              <w:rPr>
                <w:i/>
                <w:sz w:val="20"/>
                <w:szCs w:val="20"/>
              </w:rPr>
            </w:pPr>
            <w:r w:rsidRPr="003F6F3D">
              <w:rPr>
                <w:b/>
                <w:bCs/>
                <w:i/>
                <w:sz w:val="20"/>
                <w:szCs w:val="20"/>
              </w:rPr>
              <w:t>доля в расходах окружного бюджета (%)</w:t>
            </w:r>
          </w:p>
        </w:tc>
        <w:tc>
          <w:tcPr>
            <w:tcW w:w="1229" w:type="dxa"/>
            <w:tcBorders>
              <w:top w:val="nil"/>
              <w:left w:val="single" w:sz="4" w:space="0" w:color="auto"/>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center"/>
              <w:rPr>
                <w:b/>
                <w:i/>
                <w:sz w:val="19"/>
                <w:szCs w:val="19"/>
              </w:rPr>
            </w:pPr>
            <w:r w:rsidRPr="003F6F3D">
              <w:rPr>
                <w:b/>
                <w:i/>
                <w:sz w:val="19"/>
                <w:szCs w:val="19"/>
              </w:rPr>
              <w:t>21,5</w:t>
            </w:r>
          </w:p>
        </w:tc>
        <w:tc>
          <w:tcPr>
            <w:tcW w:w="1276" w:type="dxa"/>
            <w:tcBorders>
              <w:top w:val="nil"/>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center"/>
              <w:rPr>
                <w:b/>
                <w:i/>
                <w:sz w:val="19"/>
                <w:szCs w:val="19"/>
              </w:rPr>
            </w:pPr>
            <w:r w:rsidRPr="003F6F3D">
              <w:rPr>
                <w:b/>
                <w:i/>
                <w:sz w:val="19"/>
                <w:szCs w:val="19"/>
              </w:rPr>
              <w:t>21,4</w:t>
            </w:r>
          </w:p>
        </w:tc>
        <w:tc>
          <w:tcPr>
            <w:tcW w:w="1275" w:type="dxa"/>
            <w:tcBorders>
              <w:top w:val="nil"/>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center"/>
              <w:rPr>
                <w:b/>
                <w:i/>
                <w:sz w:val="19"/>
                <w:szCs w:val="19"/>
              </w:rPr>
            </w:pPr>
            <w:r w:rsidRPr="003F6F3D">
              <w:rPr>
                <w:b/>
                <w:i/>
                <w:sz w:val="19"/>
                <w:szCs w:val="19"/>
              </w:rPr>
              <w:t>15,9</w:t>
            </w:r>
          </w:p>
        </w:tc>
        <w:tc>
          <w:tcPr>
            <w:tcW w:w="1276" w:type="dxa"/>
            <w:tcBorders>
              <w:top w:val="nil"/>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center"/>
              <w:rPr>
                <w:b/>
                <w:i/>
                <w:sz w:val="19"/>
                <w:szCs w:val="19"/>
              </w:rPr>
            </w:pPr>
            <w:r w:rsidRPr="003F6F3D">
              <w:rPr>
                <w:b/>
                <w:i/>
                <w:sz w:val="19"/>
                <w:szCs w:val="19"/>
              </w:rPr>
              <w:t>15,7</w:t>
            </w:r>
          </w:p>
        </w:tc>
        <w:tc>
          <w:tcPr>
            <w:tcW w:w="1276" w:type="dxa"/>
            <w:tcBorders>
              <w:top w:val="nil"/>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center"/>
              <w:rPr>
                <w:b/>
                <w:i/>
                <w:sz w:val="19"/>
                <w:szCs w:val="19"/>
              </w:rPr>
            </w:pPr>
            <w:r w:rsidRPr="003F6F3D">
              <w:rPr>
                <w:b/>
                <w:i/>
                <w:sz w:val="19"/>
                <w:szCs w:val="19"/>
              </w:rPr>
              <w:t>27,2</w:t>
            </w:r>
          </w:p>
        </w:tc>
        <w:tc>
          <w:tcPr>
            <w:tcW w:w="1276" w:type="dxa"/>
            <w:tcBorders>
              <w:top w:val="nil"/>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center"/>
              <w:rPr>
                <w:b/>
                <w:i/>
                <w:sz w:val="19"/>
                <w:szCs w:val="19"/>
              </w:rPr>
            </w:pPr>
            <w:r w:rsidRPr="003F6F3D">
              <w:rPr>
                <w:b/>
                <w:i/>
                <w:sz w:val="19"/>
                <w:szCs w:val="19"/>
              </w:rPr>
              <w:t>28,0</w:t>
            </w:r>
          </w:p>
        </w:tc>
      </w:tr>
      <w:tr w:rsidR="00000E53" w:rsidRPr="003F6F3D" w:rsidTr="00000E53">
        <w:trPr>
          <w:trHeight w:val="300"/>
        </w:trPr>
        <w:tc>
          <w:tcPr>
            <w:tcW w:w="2552" w:type="dxa"/>
            <w:tcBorders>
              <w:top w:val="nil"/>
              <w:left w:val="single" w:sz="4" w:space="0" w:color="auto"/>
              <w:bottom w:val="single" w:sz="4" w:space="0" w:color="auto"/>
              <w:right w:val="nil"/>
            </w:tcBorders>
            <w:shd w:val="clear" w:color="auto" w:fill="auto"/>
            <w:noWrap/>
            <w:vAlign w:val="center"/>
            <w:hideMark/>
          </w:tcPr>
          <w:p w:rsidR="00000E53" w:rsidRPr="003F6F3D" w:rsidRDefault="00000E53" w:rsidP="00000E53">
            <w:pPr>
              <w:spacing w:line="216" w:lineRule="auto"/>
              <w:rPr>
                <w:i/>
                <w:sz w:val="20"/>
                <w:szCs w:val="20"/>
              </w:rPr>
            </w:pPr>
            <w:r w:rsidRPr="003F6F3D">
              <w:rPr>
                <w:sz w:val="20"/>
                <w:szCs w:val="20"/>
              </w:rPr>
              <w:t>Дотации</w:t>
            </w:r>
          </w:p>
        </w:tc>
        <w:tc>
          <w:tcPr>
            <w:tcW w:w="1229" w:type="dxa"/>
            <w:tcBorders>
              <w:top w:val="nil"/>
              <w:left w:val="single" w:sz="4" w:space="0" w:color="auto"/>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19"/>
                <w:szCs w:val="19"/>
              </w:rPr>
            </w:pPr>
            <w:r w:rsidRPr="003F6F3D">
              <w:rPr>
                <w:sz w:val="19"/>
                <w:szCs w:val="19"/>
              </w:rPr>
              <w:t>2 517 565,5</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19"/>
                <w:szCs w:val="19"/>
              </w:rPr>
            </w:pPr>
            <w:r w:rsidRPr="003F6F3D">
              <w:rPr>
                <w:sz w:val="19"/>
                <w:szCs w:val="19"/>
              </w:rPr>
              <w:t>2 491 725,3</w:t>
            </w:r>
          </w:p>
        </w:tc>
        <w:tc>
          <w:tcPr>
            <w:tcW w:w="127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19"/>
                <w:szCs w:val="19"/>
              </w:rPr>
            </w:pPr>
            <w:r w:rsidRPr="003F6F3D">
              <w:rPr>
                <w:sz w:val="19"/>
                <w:szCs w:val="19"/>
              </w:rPr>
              <w:t>3 258 296,6</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19"/>
                <w:szCs w:val="19"/>
              </w:rPr>
            </w:pPr>
            <w:r w:rsidRPr="003F6F3D">
              <w:rPr>
                <w:sz w:val="19"/>
                <w:szCs w:val="19"/>
              </w:rPr>
              <w:t>3 258 296,6</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19"/>
                <w:szCs w:val="19"/>
              </w:rPr>
            </w:pPr>
            <w:r w:rsidRPr="003F6F3D">
              <w:rPr>
                <w:sz w:val="19"/>
                <w:szCs w:val="19"/>
              </w:rPr>
              <w:t>5 946 826,7</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19"/>
                <w:szCs w:val="19"/>
              </w:rPr>
            </w:pPr>
            <w:r w:rsidRPr="003F6F3D">
              <w:rPr>
                <w:sz w:val="19"/>
                <w:szCs w:val="19"/>
              </w:rPr>
              <w:t>5 946 826,7</w:t>
            </w:r>
          </w:p>
        </w:tc>
      </w:tr>
      <w:tr w:rsidR="00000E53" w:rsidRPr="003F6F3D" w:rsidTr="00000E53">
        <w:trPr>
          <w:trHeight w:val="210"/>
        </w:trPr>
        <w:tc>
          <w:tcPr>
            <w:tcW w:w="2552" w:type="dxa"/>
            <w:tcBorders>
              <w:top w:val="nil"/>
              <w:left w:val="single" w:sz="4" w:space="0" w:color="auto"/>
              <w:bottom w:val="single" w:sz="4" w:space="0" w:color="auto"/>
              <w:right w:val="nil"/>
            </w:tcBorders>
            <w:shd w:val="clear" w:color="auto" w:fill="auto"/>
            <w:noWrap/>
            <w:vAlign w:val="center"/>
          </w:tcPr>
          <w:p w:rsidR="00000E53" w:rsidRPr="003F6F3D" w:rsidRDefault="00000E53" w:rsidP="00000E53">
            <w:pPr>
              <w:spacing w:line="216" w:lineRule="auto"/>
              <w:rPr>
                <w:i/>
                <w:sz w:val="20"/>
                <w:szCs w:val="20"/>
              </w:rPr>
            </w:pPr>
            <w:r w:rsidRPr="003F6F3D">
              <w:rPr>
                <w:i/>
                <w:sz w:val="20"/>
                <w:szCs w:val="20"/>
              </w:rPr>
              <w:t>доля дотаций в объеме МБТ МО (%)</w:t>
            </w:r>
          </w:p>
        </w:tc>
        <w:tc>
          <w:tcPr>
            <w:tcW w:w="1229" w:type="dxa"/>
            <w:tcBorders>
              <w:top w:val="nil"/>
              <w:left w:val="single" w:sz="4" w:space="0" w:color="auto"/>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center"/>
              <w:rPr>
                <w:i/>
                <w:sz w:val="19"/>
                <w:szCs w:val="19"/>
              </w:rPr>
            </w:pPr>
            <w:r w:rsidRPr="003F6F3D">
              <w:rPr>
                <w:i/>
                <w:sz w:val="19"/>
                <w:szCs w:val="19"/>
              </w:rPr>
              <w:t>34,0</w:t>
            </w:r>
          </w:p>
        </w:tc>
        <w:tc>
          <w:tcPr>
            <w:tcW w:w="1276" w:type="dxa"/>
            <w:tcBorders>
              <w:top w:val="nil"/>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center"/>
              <w:rPr>
                <w:i/>
                <w:sz w:val="19"/>
                <w:szCs w:val="19"/>
              </w:rPr>
            </w:pPr>
            <w:r w:rsidRPr="003F6F3D">
              <w:rPr>
                <w:i/>
                <w:sz w:val="19"/>
                <w:szCs w:val="19"/>
              </w:rPr>
              <w:t>34,5</w:t>
            </w:r>
          </w:p>
        </w:tc>
        <w:tc>
          <w:tcPr>
            <w:tcW w:w="1275" w:type="dxa"/>
            <w:tcBorders>
              <w:top w:val="nil"/>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center"/>
              <w:rPr>
                <w:i/>
                <w:sz w:val="19"/>
                <w:szCs w:val="19"/>
              </w:rPr>
            </w:pPr>
            <w:r w:rsidRPr="003F6F3D">
              <w:rPr>
                <w:i/>
                <w:sz w:val="19"/>
                <w:szCs w:val="19"/>
              </w:rPr>
              <w:t>37,5</w:t>
            </w:r>
          </w:p>
        </w:tc>
        <w:tc>
          <w:tcPr>
            <w:tcW w:w="1276" w:type="dxa"/>
            <w:tcBorders>
              <w:top w:val="nil"/>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center"/>
              <w:rPr>
                <w:i/>
                <w:sz w:val="19"/>
                <w:szCs w:val="19"/>
              </w:rPr>
            </w:pPr>
            <w:r w:rsidRPr="003F6F3D">
              <w:rPr>
                <w:i/>
                <w:sz w:val="19"/>
                <w:szCs w:val="19"/>
              </w:rPr>
              <w:t>38,3</w:t>
            </w:r>
          </w:p>
        </w:tc>
        <w:tc>
          <w:tcPr>
            <w:tcW w:w="1276" w:type="dxa"/>
            <w:tcBorders>
              <w:top w:val="nil"/>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center"/>
              <w:rPr>
                <w:i/>
                <w:sz w:val="19"/>
                <w:szCs w:val="19"/>
              </w:rPr>
            </w:pPr>
            <w:r w:rsidRPr="003F6F3D">
              <w:rPr>
                <w:i/>
                <w:sz w:val="19"/>
                <w:szCs w:val="19"/>
              </w:rPr>
              <w:t>43,7</w:t>
            </w:r>
          </w:p>
        </w:tc>
        <w:tc>
          <w:tcPr>
            <w:tcW w:w="1276" w:type="dxa"/>
            <w:tcBorders>
              <w:top w:val="nil"/>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center"/>
              <w:rPr>
                <w:i/>
                <w:sz w:val="19"/>
                <w:szCs w:val="19"/>
              </w:rPr>
            </w:pPr>
            <w:r w:rsidRPr="003F6F3D">
              <w:rPr>
                <w:i/>
                <w:sz w:val="19"/>
                <w:szCs w:val="19"/>
              </w:rPr>
              <w:t>44,4</w:t>
            </w:r>
          </w:p>
        </w:tc>
      </w:tr>
      <w:tr w:rsidR="00000E53" w:rsidRPr="003F6F3D" w:rsidTr="00000E53">
        <w:trPr>
          <w:trHeight w:val="300"/>
        </w:trPr>
        <w:tc>
          <w:tcPr>
            <w:tcW w:w="2552" w:type="dxa"/>
            <w:tcBorders>
              <w:top w:val="nil"/>
              <w:left w:val="single" w:sz="4" w:space="0" w:color="auto"/>
              <w:bottom w:val="single" w:sz="4" w:space="0" w:color="auto"/>
              <w:right w:val="nil"/>
            </w:tcBorders>
            <w:shd w:val="clear" w:color="auto" w:fill="auto"/>
            <w:noWrap/>
            <w:vAlign w:val="center"/>
            <w:hideMark/>
          </w:tcPr>
          <w:p w:rsidR="00000E53" w:rsidRPr="003F6F3D" w:rsidRDefault="00000E53" w:rsidP="00000E53">
            <w:pPr>
              <w:spacing w:line="216" w:lineRule="auto"/>
              <w:rPr>
                <w:i/>
                <w:sz w:val="20"/>
                <w:szCs w:val="20"/>
              </w:rPr>
            </w:pPr>
            <w:r w:rsidRPr="003F6F3D">
              <w:rPr>
                <w:sz w:val="20"/>
                <w:szCs w:val="20"/>
              </w:rPr>
              <w:t>Субсидии</w:t>
            </w:r>
          </w:p>
        </w:tc>
        <w:tc>
          <w:tcPr>
            <w:tcW w:w="1229" w:type="dxa"/>
            <w:tcBorders>
              <w:top w:val="nil"/>
              <w:left w:val="single" w:sz="4" w:space="0" w:color="auto"/>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19"/>
                <w:szCs w:val="19"/>
              </w:rPr>
            </w:pPr>
            <w:r w:rsidRPr="003F6F3D">
              <w:rPr>
                <w:sz w:val="19"/>
                <w:szCs w:val="19"/>
              </w:rPr>
              <w:t>1 324 731,4</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19"/>
                <w:szCs w:val="19"/>
              </w:rPr>
            </w:pPr>
            <w:r w:rsidRPr="003F6F3D">
              <w:rPr>
                <w:sz w:val="19"/>
                <w:szCs w:val="19"/>
              </w:rPr>
              <w:t>1 209 244,4</w:t>
            </w:r>
          </w:p>
        </w:tc>
        <w:tc>
          <w:tcPr>
            <w:tcW w:w="127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19"/>
                <w:szCs w:val="19"/>
              </w:rPr>
            </w:pPr>
            <w:r w:rsidRPr="003F6F3D">
              <w:rPr>
                <w:sz w:val="19"/>
                <w:szCs w:val="19"/>
              </w:rPr>
              <w:t>1 510 740,6</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19"/>
                <w:szCs w:val="19"/>
              </w:rPr>
            </w:pPr>
            <w:r w:rsidRPr="003F6F3D">
              <w:rPr>
                <w:sz w:val="19"/>
                <w:szCs w:val="19"/>
              </w:rPr>
              <w:t>1 351 026,7</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19"/>
                <w:szCs w:val="19"/>
              </w:rPr>
            </w:pPr>
            <w:r w:rsidRPr="003F6F3D">
              <w:rPr>
                <w:sz w:val="19"/>
                <w:szCs w:val="19"/>
              </w:rPr>
              <w:t>2 948 981,0</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19"/>
                <w:szCs w:val="19"/>
              </w:rPr>
            </w:pPr>
            <w:r w:rsidRPr="003F6F3D">
              <w:rPr>
                <w:sz w:val="19"/>
                <w:szCs w:val="19"/>
              </w:rPr>
              <w:t>2 778 747,9</w:t>
            </w:r>
          </w:p>
        </w:tc>
      </w:tr>
      <w:tr w:rsidR="00000E53" w:rsidRPr="003F6F3D" w:rsidTr="00000E53">
        <w:trPr>
          <w:trHeight w:val="56"/>
        </w:trPr>
        <w:tc>
          <w:tcPr>
            <w:tcW w:w="2552" w:type="dxa"/>
            <w:tcBorders>
              <w:top w:val="nil"/>
              <w:left w:val="single" w:sz="4" w:space="0" w:color="auto"/>
              <w:bottom w:val="single" w:sz="4" w:space="0" w:color="auto"/>
              <w:right w:val="nil"/>
            </w:tcBorders>
            <w:shd w:val="clear" w:color="auto" w:fill="auto"/>
            <w:noWrap/>
            <w:vAlign w:val="center"/>
          </w:tcPr>
          <w:p w:rsidR="00000E53" w:rsidRPr="003F6F3D" w:rsidRDefault="00000E53" w:rsidP="00000E53">
            <w:pPr>
              <w:spacing w:line="216" w:lineRule="auto"/>
              <w:rPr>
                <w:i/>
                <w:sz w:val="20"/>
                <w:szCs w:val="20"/>
              </w:rPr>
            </w:pPr>
            <w:r w:rsidRPr="003F6F3D">
              <w:rPr>
                <w:i/>
                <w:sz w:val="20"/>
                <w:szCs w:val="20"/>
              </w:rPr>
              <w:t>доля субсидий в объеме МБТ МО (%)</w:t>
            </w:r>
          </w:p>
        </w:tc>
        <w:tc>
          <w:tcPr>
            <w:tcW w:w="1229" w:type="dxa"/>
            <w:tcBorders>
              <w:top w:val="nil"/>
              <w:left w:val="single" w:sz="4" w:space="0" w:color="auto"/>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center"/>
              <w:rPr>
                <w:i/>
                <w:sz w:val="19"/>
                <w:szCs w:val="19"/>
              </w:rPr>
            </w:pPr>
            <w:r w:rsidRPr="003F6F3D">
              <w:rPr>
                <w:i/>
                <w:sz w:val="19"/>
                <w:szCs w:val="19"/>
              </w:rPr>
              <w:t>17,9</w:t>
            </w:r>
          </w:p>
        </w:tc>
        <w:tc>
          <w:tcPr>
            <w:tcW w:w="1276" w:type="dxa"/>
            <w:tcBorders>
              <w:top w:val="nil"/>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center"/>
              <w:rPr>
                <w:i/>
                <w:sz w:val="19"/>
                <w:szCs w:val="19"/>
              </w:rPr>
            </w:pPr>
            <w:r w:rsidRPr="003F6F3D">
              <w:rPr>
                <w:i/>
                <w:sz w:val="19"/>
                <w:szCs w:val="19"/>
              </w:rPr>
              <w:t>16,7</w:t>
            </w:r>
          </w:p>
        </w:tc>
        <w:tc>
          <w:tcPr>
            <w:tcW w:w="1275" w:type="dxa"/>
            <w:tcBorders>
              <w:top w:val="nil"/>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center"/>
              <w:rPr>
                <w:i/>
                <w:sz w:val="19"/>
                <w:szCs w:val="19"/>
              </w:rPr>
            </w:pPr>
            <w:r w:rsidRPr="003F6F3D">
              <w:rPr>
                <w:i/>
                <w:sz w:val="19"/>
                <w:szCs w:val="19"/>
              </w:rPr>
              <w:t>17,4</w:t>
            </w:r>
          </w:p>
        </w:tc>
        <w:tc>
          <w:tcPr>
            <w:tcW w:w="1276" w:type="dxa"/>
            <w:tcBorders>
              <w:top w:val="nil"/>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center"/>
              <w:rPr>
                <w:i/>
                <w:sz w:val="19"/>
                <w:szCs w:val="19"/>
              </w:rPr>
            </w:pPr>
            <w:r w:rsidRPr="003F6F3D">
              <w:rPr>
                <w:i/>
                <w:sz w:val="19"/>
                <w:szCs w:val="19"/>
              </w:rPr>
              <w:t>15,9</w:t>
            </w:r>
          </w:p>
        </w:tc>
        <w:tc>
          <w:tcPr>
            <w:tcW w:w="1276" w:type="dxa"/>
            <w:tcBorders>
              <w:top w:val="nil"/>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center"/>
              <w:rPr>
                <w:i/>
                <w:sz w:val="19"/>
                <w:szCs w:val="19"/>
              </w:rPr>
            </w:pPr>
            <w:r w:rsidRPr="003F6F3D">
              <w:rPr>
                <w:i/>
                <w:sz w:val="19"/>
                <w:szCs w:val="19"/>
              </w:rPr>
              <w:t>21,7</w:t>
            </w:r>
          </w:p>
        </w:tc>
        <w:tc>
          <w:tcPr>
            <w:tcW w:w="1276" w:type="dxa"/>
            <w:tcBorders>
              <w:top w:val="nil"/>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center"/>
              <w:rPr>
                <w:i/>
                <w:sz w:val="19"/>
                <w:szCs w:val="19"/>
              </w:rPr>
            </w:pPr>
            <w:r w:rsidRPr="003F6F3D">
              <w:rPr>
                <w:i/>
                <w:sz w:val="19"/>
                <w:szCs w:val="19"/>
              </w:rPr>
              <w:t>20,7</w:t>
            </w:r>
          </w:p>
        </w:tc>
      </w:tr>
      <w:tr w:rsidR="00000E53" w:rsidRPr="003F6F3D" w:rsidTr="00000E53">
        <w:trPr>
          <w:trHeight w:val="300"/>
        </w:trPr>
        <w:tc>
          <w:tcPr>
            <w:tcW w:w="2552" w:type="dxa"/>
            <w:tcBorders>
              <w:top w:val="nil"/>
              <w:left w:val="single" w:sz="4" w:space="0" w:color="auto"/>
              <w:bottom w:val="single" w:sz="4" w:space="0" w:color="auto"/>
              <w:right w:val="nil"/>
            </w:tcBorders>
            <w:shd w:val="clear" w:color="auto" w:fill="auto"/>
            <w:noWrap/>
            <w:vAlign w:val="center"/>
            <w:hideMark/>
          </w:tcPr>
          <w:p w:rsidR="00000E53" w:rsidRPr="003F6F3D" w:rsidRDefault="00000E53" w:rsidP="00000E53">
            <w:pPr>
              <w:spacing w:line="216" w:lineRule="auto"/>
              <w:rPr>
                <w:i/>
                <w:sz w:val="20"/>
                <w:szCs w:val="20"/>
              </w:rPr>
            </w:pPr>
            <w:r w:rsidRPr="003F6F3D">
              <w:rPr>
                <w:sz w:val="20"/>
                <w:szCs w:val="20"/>
              </w:rPr>
              <w:t>Субвенции</w:t>
            </w:r>
          </w:p>
        </w:tc>
        <w:tc>
          <w:tcPr>
            <w:tcW w:w="1229" w:type="dxa"/>
            <w:tcBorders>
              <w:top w:val="nil"/>
              <w:left w:val="single" w:sz="4" w:space="0" w:color="auto"/>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19"/>
                <w:szCs w:val="19"/>
              </w:rPr>
            </w:pPr>
            <w:r w:rsidRPr="003F6F3D">
              <w:rPr>
                <w:sz w:val="19"/>
                <w:szCs w:val="19"/>
              </w:rPr>
              <w:t>3 555 572,5</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19"/>
                <w:szCs w:val="19"/>
              </w:rPr>
            </w:pPr>
            <w:r w:rsidRPr="003F6F3D">
              <w:rPr>
                <w:sz w:val="19"/>
                <w:szCs w:val="19"/>
              </w:rPr>
              <w:t>3 522 514,3</w:t>
            </w:r>
          </w:p>
        </w:tc>
        <w:tc>
          <w:tcPr>
            <w:tcW w:w="127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19"/>
                <w:szCs w:val="19"/>
              </w:rPr>
            </w:pPr>
            <w:r w:rsidRPr="003F6F3D">
              <w:rPr>
                <w:sz w:val="19"/>
                <w:szCs w:val="19"/>
              </w:rPr>
              <w:t>3 861 067,0</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19"/>
                <w:szCs w:val="19"/>
              </w:rPr>
            </w:pPr>
            <w:r w:rsidRPr="003F6F3D">
              <w:rPr>
                <w:sz w:val="19"/>
                <w:szCs w:val="19"/>
              </w:rPr>
              <w:t>3 829 533,8</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19"/>
                <w:szCs w:val="19"/>
              </w:rPr>
            </w:pPr>
            <w:r w:rsidRPr="003F6F3D">
              <w:rPr>
                <w:sz w:val="19"/>
                <w:szCs w:val="19"/>
              </w:rPr>
              <w:t>4 253 385,4</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19"/>
                <w:szCs w:val="19"/>
              </w:rPr>
            </w:pPr>
            <w:r w:rsidRPr="003F6F3D">
              <w:rPr>
                <w:sz w:val="19"/>
                <w:szCs w:val="19"/>
              </w:rPr>
              <w:t>4 227 328,7</w:t>
            </w:r>
          </w:p>
        </w:tc>
      </w:tr>
      <w:tr w:rsidR="00000E53" w:rsidRPr="003F6F3D" w:rsidTr="00000E53">
        <w:trPr>
          <w:trHeight w:val="56"/>
        </w:trPr>
        <w:tc>
          <w:tcPr>
            <w:tcW w:w="2552" w:type="dxa"/>
            <w:tcBorders>
              <w:top w:val="nil"/>
              <w:left w:val="single" w:sz="4" w:space="0" w:color="auto"/>
              <w:bottom w:val="single" w:sz="4" w:space="0" w:color="auto"/>
              <w:right w:val="nil"/>
            </w:tcBorders>
            <w:shd w:val="clear" w:color="auto" w:fill="auto"/>
            <w:noWrap/>
            <w:vAlign w:val="center"/>
          </w:tcPr>
          <w:p w:rsidR="00000E53" w:rsidRPr="003F6F3D" w:rsidRDefault="00000E53" w:rsidP="00000E53">
            <w:pPr>
              <w:spacing w:line="216" w:lineRule="auto"/>
              <w:rPr>
                <w:i/>
                <w:sz w:val="20"/>
                <w:szCs w:val="20"/>
              </w:rPr>
            </w:pPr>
            <w:r w:rsidRPr="003F6F3D">
              <w:rPr>
                <w:i/>
                <w:sz w:val="20"/>
                <w:szCs w:val="20"/>
              </w:rPr>
              <w:t xml:space="preserve">доля субвенций в объеме </w:t>
            </w:r>
            <w:r w:rsidRPr="003F6F3D">
              <w:rPr>
                <w:i/>
                <w:sz w:val="20"/>
                <w:szCs w:val="20"/>
              </w:rPr>
              <w:br/>
              <w:t>МБТ МО (%)</w:t>
            </w:r>
          </w:p>
        </w:tc>
        <w:tc>
          <w:tcPr>
            <w:tcW w:w="1229" w:type="dxa"/>
            <w:tcBorders>
              <w:top w:val="nil"/>
              <w:left w:val="single" w:sz="4" w:space="0" w:color="auto"/>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center"/>
              <w:rPr>
                <w:i/>
                <w:sz w:val="19"/>
                <w:szCs w:val="19"/>
              </w:rPr>
            </w:pPr>
            <w:r w:rsidRPr="003F6F3D">
              <w:rPr>
                <w:i/>
                <w:sz w:val="19"/>
                <w:szCs w:val="19"/>
              </w:rPr>
              <w:t>48,1</w:t>
            </w:r>
          </w:p>
        </w:tc>
        <w:tc>
          <w:tcPr>
            <w:tcW w:w="1276" w:type="dxa"/>
            <w:tcBorders>
              <w:top w:val="nil"/>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center"/>
              <w:rPr>
                <w:i/>
                <w:sz w:val="19"/>
                <w:szCs w:val="19"/>
              </w:rPr>
            </w:pPr>
            <w:r w:rsidRPr="003F6F3D">
              <w:rPr>
                <w:i/>
                <w:sz w:val="19"/>
                <w:szCs w:val="19"/>
              </w:rPr>
              <w:t>48,8</w:t>
            </w:r>
          </w:p>
        </w:tc>
        <w:tc>
          <w:tcPr>
            <w:tcW w:w="1275" w:type="dxa"/>
            <w:tcBorders>
              <w:top w:val="nil"/>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center"/>
              <w:rPr>
                <w:i/>
                <w:sz w:val="19"/>
                <w:szCs w:val="19"/>
              </w:rPr>
            </w:pPr>
            <w:r w:rsidRPr="003F6F3D">
              <w:rPr>
                <w:i/>
                <w:sz w:val="19"/>
                <w:szCs w:val="19"/>
              </w:rPr>
              <w:t>44,4</w:t>
            </w:r>
          </w:p>
        </w:tc>
        <w:tc>
          <w:tcPr>
            <w:tcW w:w="1276" w:type="dxa"/>
            <w:tcBorders>
              <w:top w:val="nil"/>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center"/>
              <w:rPr>
                <w:i/>
                <w:sz w:val="19"/>
                <w:szCs w:val="19"/>
              </w:rPr>
            </w:pPr>
            <w:r w:rsidRPr="003F6F3D">
              <w:rPr>
                <w:i/>
                <w:sz w:val="19"/>
                <w:szCs w:val="19"/>
              </w:rPr>
              <w:t>45,1</w:t>
            </w:r>
          </w:p>
        </w:tc>
        <w:tc>
          <w:tcPr>
            <w:tcW w:w="1276" w:type="dxa"/>
            <w:tcBorders>
              <w:top w:val="nil"/>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center"/>
              <w:rPr>
                <w:i/>
                <w:sz w:val="19"/>
                <w:szCs w:val="19"/>
              </w:rPr>
            </w:pPr>
            <w:r w:rsidRPr="003F6F3D">
              <w:rPr>
                <w:i/>
                <w:sz w:val="19"/>
                <w:szCs w:val="19"/>
              </w:rPr>
              <w:t>31,4</w:t>
            </w:r>
          </w:p>
        </w:tc>
        <w:tc>
          <w:tcPr>
            <w:tcW w:w="1276" w:type="dxa"/>
            <w:tcBorders>
              <w:top w:val="nil"/>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center"/>
              <w:rPr>
                <w:i/>
                <w:sz w:val="19"/>
                <w:szCs w:val="19"/>
              </w:rPr>
            </w:pPr>
            <w:r w:rsidRPr="003F6F3D">
              <w:rPr>
                <w:i/>
                <w:sz w:val="19"/>
                <w:szCs w:val="19"/>
              </w:rPr>
              <w:t>31,6</w:t>
            </w:r>
          </w:p>
        </w:tc>
      </w:tr>
      <w:tr w:rsidR="00000E53" w:rsidRPr="003F6F3D" w:rsidTr="00000E53">
        <w:trPr>
          <w:trHeight w:val="300"/>
        </w:trPr>
        <w:tc>
          <w:tcPr>
            <w:tcW w:w="2552" w:type="dxa"/>
            <w:tcBorders>
              <w:top w:val="single" w:sz="4" w:space="0" w:color="auto"/>
              <w:left w:val="single" w:sz="4" w:space="0" w:color="auto"/>
              <w:bottom w:val="single" w:sz="4" w:space="0" w:color="auto"/>
              <w:right w:val="nil"/>
            </w:tcBorders>
            <w:shd w:val="clear" w:color="auto" w:fill="auto"/>
            <w:noWrap/>
            <w:vAlign w:val="center"/>
            <w:hideMark/>
          </w:tcPr>
          <w:p w:rsidR="00000E53" w:rsidRPr="003F6F3D" w:rsidRDefault="00000E53" w:rsidP="00000E53">
            <w:pPr>
              <w:spacing w:line="216" w:lineRule="auto"/>
              <w:rPr>
                <w:i/>
                <w:sz w:val="20"/>
                <w:szCs w:val="20"/>
              </w:rPr>
            </w:pPr>
            <w:r w:rsidRPr="003F6F3D">
              <w:rPr>
                <w:sz w:val="20"/>
                <w:szCs w:val="20"/>
              </w:rPr>
              <w:t>Иные МБТ</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19"/>
                <w:szCs w:val="19"/>
              </w:rPr>
            </w:pPr>
            <w:r w:rsidRPr="003F6F3D">
              <w:rPr>
                <w:sz w:val="19"/>
                <w:szCs w:val="19"/>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19"/>
                <w:szCs w:val="19"/>
              </w:rPr>
            </w:pPr>
            <w:r w:rsidRPr="003F6F3D">
              <w:rPr>
                <w:sz w:val="19"/>
                <w:szCs w:val="19"/>
              </w:rPr>
              <w:t>-</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19"/>
                <w:szCs w:val="19"/>
              </w:rPr>
            </w:pPr>
            <w:r w:rsidRPr="003F6F3D">
              <w:rPr>
                <w:sz w:val="19"/>
                <w:szCs w:val="19"/>
              </w:rPr>
              <w:t>61 000,0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19"/>
                <w:szCs w:val="19"/>
              </w:rPr>
            </w:pPr>
            <w:r w:rsidRPr="003F6F3D">
              <w:rPr>
                <w:sz w:val="19"/>
                <w:szCs w:val="19"/>
              </w:rPr>
              <w:t>61 000,0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19"/>
                <w:szCs w:val="19"/>
              </w:rPr>
            </w:pPr>
            <w:r w:rsidRPr="003F6F3D">
              <w:rPr>
                <w:sz w:val="19"/>
                <w:szCs w:val="19"/>
              </w:rPr>
              <w:t>441 570,2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19"/>
                <w:szCs w:val="19"/>
              </w:rPr>
            </w:pPr>
            <w:r w:rsidRPr="003F6F3D">
              <w:rPr>
                <w:sz w:val="19"/>
                <w:szCs w:val="19"/>
              </w:rPr>
              <w:t>438 717,2</w:t>
            </w:r>
          </w:p>
        </w:tc>
      </w:tr>
      <w:tr w:rsidR="00000E53" w:rsidRPr="003F6F3D" w:rsidTr="00000E53">
        <w:trPr>
          <w:trHeight w:val="300"/>
        </w:trPr>
        <w:tc>
          <w:tcPr>
            <w:tcW w:w="2552" w:type="dxa"/>
            <w:tcBorders>
              <w:top w:val="single" w:sz="4" w:space="0" w:color="auto"/>
              <w:left w:val="single" w:sz="4" w:space="0" w:color="auto"/>
              <w:bottom w:val="single" w:sz="4" w:space="0" w:color="auto"/>
              <w:right w:val="nil"/>
            </w:tcBorders>
            <w:shd w:val="clear" w:color="auto" w:fill="auto"/>
            <w:noWrap/>
            <w:vAlign w:val="center"/>
          </w:tcPr>
          <w:p w:rsidR="00000E53" w:rsidRPr="003F6F3D" w:rsidRDefault="00000E53" w:rsidP="00000E53">
            <w:pPr>
              <w:spacing w:line="216" w:lineRule="auto"/>
              <w:rPr>
                <w:i/>
                <w:sz w:val="20"/>
                <w:szCs w:val="20"/>
              </w:rPr>
            </w:pPr>
            <w:r w:rsidRPr="003F6F3D">
              <w:rPr>
                <w:i/>
                <w:sz w:val="20"/>
                <w:szCs w:val="20"/>
              </w:rPr>
              <w:t>доля иных МБТ в объеме МБТ МО (%)</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right"/>
              <w:rPr>
                <w:i/>
                <w:sz w:val="19"/>
                <w:szCs w:val="19"/>
              </w:rPr>
            </w:pPr>
            <w:r w:rsidRPr="003F6F3D">
              <w:rPr>
                <w:i/>
                <w:sz w:val="19"/>
                <w:szCs w:val="19"/>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right"/>
              <w:rPr>
                <w:i/>
                <w:sz w:val="19"/>
                <w:szCs w:val="19"/>
              </w:rPr>
            </w:pPr>
            <w:r w:rsidRPr="003F6F3D">
              <w:rPr>
                <w:i/>
                <w:sz w:val="19"/>
                <w:szCs w:val="19"/>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center"/>
              <w:rPr>
                <w:i/>
                <w:sz w:val="19"/>
                <w:szCs w:val="19"/>
              </w:rPr>
            </w:pPr>
            <w:r w:rsidRPr="003F6F3D">
              <w:rPr>
                <w:i/>
                <w:sz w:val="19"/>
                <w:szCs w:val="19"/>
              </w:rPr>
              <w:t>0,7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center"/>
              <w:rPr>
                <w:i/>
                <w:sz w:val="19"/>
                <w:szCs w:val="19"/>
              </w:rPr>
            </w:pPr>
            <w:r w:rsidRPr="003F6F3D">
              <w:rPr>
                <w:i/>
                <w:sz w:val="19"/>
                <w:szCs w:val="19"/>
              </w:rPr>
              <w:t>0,7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center"/>
              <w:rPr>
                <w:i/>
                <w:sz w:val="19"/>
                <w:szCs w:val="19"/>
              </w:rPr>
            </w:pPr>
            <w:r w:rsidRPr="003F6F3D">
              <w:rPr>
                <w:i/>
                <w:sz w:val="19"/>
                <w:szCs w:val="19"/>
              </w:rPr>
              <w:t>3,2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00E53" w:rsidRPr="003F6F3D" w:rsidRDefault="00000E53" w:rsidP="00000E53">
            <w:pPr>
              <w:spacing w:line="216" w:lineRule="auto"/>
              <w:jc w:val="center"/>
              <w:rPr>
                <w:i/>
                <w:sz w:val="19"/>
                <w:szCs w:val="19"/>
              </w:rPr>
            </w:pPr>
            <w:r w:rsidRPr="003F6F3D">
              <w:rPr>
                <w:i/>
                <w:sz w:val="19"/>
                <w:szCs w:val="19"/>
              </w:rPr>
              <w:t>3,3</w:t>
            </w:r>
          </w:p>
        </w:tc>
      </w:tr>
    </w:tbl>
    <w:p w:rsidR="00000E53" w:rsidRPr="003F6F3D" w:rsidRDefault="00000E53" w:rsidP="00000E53">
      <w:pPr>
        <w:pStyle w:val="ConsPlusTitle"/>
        <w:spacing w:before="120" w:line="276" w:lineRule="auto"/>
        <w:ind w:firstLine="709"/>
        <w:jc w:val="both"/>
        <w:rPr>
          <w:rFonts w:eastAsia="Calibri"/>
          <w:b w:val="0"/>
          <w:sz w:val="28"/>
          <w:szCs w:val="28"/>
        </w:rPr>
      </w:pPr>
      <w:r w:rsidRPr="003F6F3D">
        <w:rPr>
          <w:rFonts w:eastAsia="Calibri"/>
          <w:b w:val="0"/>
          <w:sz w:val="28"/>
          <w:szCs w:val="28"/>
        </w:rPr>
        <w:t>Расходы окружного бюджета на предоставление межбюджетных трансфертов в анализируемом периоде увеличились с 7 223 484,0 тыс. рублей в 2018 году до </w:t>
      </w:r>
      <w:r w:rsidRPr="003F6F3D">
        <w:rPr>
          <w:b w:val="0"/>
          <w:sz w:val="28"/>
          <w:szCs w:val="28"/>
        </w:rPr>
        <w:t>13 391 620,5 </w:t>
      </w:r>
      <w:r w:rsidRPr="003F6F3D">
        <w:rPr>
          <w:rFonts w:eastAsia="Calibri"/>
          <w:b w:val="0"/>
          <w:sz w:val="28"/>
          <w:szCs w:val="28"/>
        </w:rPr>
        <w:t xml:space="preserve">тыс. рублей в 2020 году. </w:t>
      </w:r>
    </w:p>
    <w:p w:rsidR="00000E53" w:rsidRPr="003F6F3D" w:rsidRDefault="00000E53" w:rsidP="00000E53">
      <w:pPr>
        <w:pStyle w:val="ConsPlusTitle"/>
        <w:spacing w:line="276" w:lineRule="auto"/>
        <w:ind w:firstLine="709"/>
        <w:jc w:val="both"/>
        <w:rPr>
          <w:rFonts w:eastAsia="Calibri"/>
          <w:b w:val="0"/>
          <w:sz w:val="28"/>
          <w:szCs w:val="28"/>
        </w:rPr>
      </w:pPr>
      <w:bookmarkStart w:id="96" w:name="_Hlk105581433"/>
      <w:r w:rsidRPr="003F6F3D">
        <w:rPr>
          <w:rFonts w:eastAsia="Calibri"/>
          <w:b w:val="0"/>
          <w:sz w:val="28"/>
          <w:szCs w:val="28"/>
        </w:rPr>
        <w:t>Доля межбюджетных трансфертов в общих расходах окружного бюджета составила в 2018 году – 21,4%, в 2019 году – 15,7%, в 2020 году – 28%.</w:t>
      </w:r>
    </w:p>
    <w:bookmarkEnd w:id="96"/>
    <w:p w:rsidR="00000E53" w:rsidRPr="003F6F3D" w:rsidRDefault="00000E53" w:rsidP="00000E53">
      <w:pPr>
        <w:pStyle w:val="ConsPlusTitle"/>
        <w:spacing w:line="276" w:lineRule="auto"/>
        <w:ind w:firstLine="709"/>
        <w:jc w:val="both"/>
        <w:rPr>
          <w:b w:val="0"/>
          <w:sz w:val="28"/>
          <w:szCs w:val="28"/>
        </w:rPr>
      </w:pPr>
      <w:r w:rsidRPr="003F6F3D">
        <w:rPr>
          <w:b w:val="0"/>
          <w:sz w:val="28"/>
          <w:szCs w:val="28"/>
        </w:rPr>
        <w:t>В структуре межбюджетных трансфертов в 2018-2019 годах основную долю занимают субвенции (48,8% и 45,1%), в 2020 году – дотации (44,4%).</w:t>
      </w:r>
    </w:p>
    <w:p w:rsidR="00000E53" w:rsidRPr="003F6F3D" w:rsidRDefault="00000E53" w:rsidP="00000E53">
      <w:pPr>
        <w:ind w:firstLine="709"/>
        <w:jc w:val="both"/>
        <w:rPr>
          <w:sz w:val="28"/>
          <w:szCs w:val="28"/>
        </w:rPr>
      </w:pPr>
      <w:r w:rsidRPr="003F6F3D">
        <w:rPr>
          <w:sz w:val="28"/>
          <w:szCs w:val="28"/>
        </w:rPr>
        <w:t>Уровень исполнения межбюджетных трансфертов в 2018-2020 годах представлен в таблице №2.</w:t>
      </w:r>
    </w:p>
    <w:p w:rsidR="00000E53" w:rsidRPr="003F6F3D" w:rsidRDefault="00000E53" w:rsidP="00000E53">
      <w:pPr>
        <w:ind w:firstLine="709"/>
        <w:jc w:val="right"/>
        <w:rPr>
          <w:sz w:val="28"/>
          <w:szCs w:val="28"/>
        </w:rPr>
      </w:pPr>
      <w:r w:rsidRPr="003F6F3D">
        <w:rPr>
          <w:sz w:val="28"/>
          <w:szCs w:val="28"/>
        </w:rPr>
        <w:t>Таблица №2</w:t>
      </w:r>
    </w:p>
    <w:p w:rsidR="00000E53" w:rsidRPr="003F6F3D" w:rsidRDefault="00000E53" w:rsidP="00000E53">
      <w:pPr>
        <w:ind w:firstLine="709"/>
        <w:jc w:val="right"/>
        <w:rPr>
          <w:sz w:val="28"/>
          <w:szCs w:val="28"/>
        </w:rPr>
      </w:pPr>
      <w:r w:rsidRPr="003F6F3D">
        <w:rPr>
          <w:sz w:val="28"/>
          <w:szCs w:val="28"/>
        </w:rPr>
        <w:t>(тыс. рублей)</w:t>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276"/>
        <w:gridCol w:w="1405"/>
        <w:gridCol w:w="1289"/>
        <w:gridCol w:w="1276"/>
        <w:gridCol w:w="1352"/>
        <w:gridCol w:w="1276"/>
      </w:tblGrid>
      <w:tr w:rsidR="00000E53" w:rsidRPr="003F6F3D" w:rsidTr="00000E53">
        <w:trPr>
          <w:trHeight w:val="180"/>
          <w:tblHeader/>
        </w:trPr>
        <w:tc>
          <w:tcPr>
            <w:tcW w:w="3399" w:type="dxa"/>
            <w:gridSpan w:val="2"/>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 xml:space="preserve">Наименование </w:t>
            </w:r>
            <w:r w:rsidRPr="003F6F3D">
              <w:rPr>
                <w:sz w:val="20"/>
                <w:szCs w:val="20"/>
              </w:rPr>
              <w:br/>
              <w:t>показателя</w:t>
            </w:r>
          </w:p>
        </w:tc>
        <w:tc>
          <w:tcPr>
            <w:tcW w:w="1405" w:type="dxa"/>
            <w:shd w:val="clear" w:color="auto" w:fill="auto"/>
            <w:vAlign w:val="center"/>
            <w:hideMark/>
          </w:tcPr>
          <w:p w:rsidR="00000E53" w:rsidRPr="003F6F3D" w:rsidRDefault="00000E53" w:rsidP="00000E53">
            <w:pPr>
              <w:spacing w:line="216" w:lineRule="auto"/>
              <w:jc w:val="center"/>
              <w:rPr>
                <w:b/>
                <w:bCs/>
              </w:rPr>
            </w:pPr>
            <w:r w:rsidRPr="003F6F3D">
              <w:rPr>
                <w:b/>
                <w:bCs/>
              </w:rPr>
              <w:t>МБТ МО</w:t>
            </w:r>
          </w:p>
        </w:tc>
        <w:tc>
          <w:tcPr>
            <w:tcW w:w="1289" w:type="dxa"/>
            <w:shd w:val="clear" w:color="auto" w:fill="auto"/>
            <w:vAlign w:val="center"/>
            <w:hideMark/>
          </w:tcPr>
          <w:p w:rsidR="00000E53" w:rsidRPr="003F6F3D" w:rsidRDefault="00000E53" w:rsidP="00000E53">
            <w:pPr>
              <w:spacing w:line="216" w:lineRule="auto"/>
              <w:jc w:val="center"/>
            </w:pPr>
            <w:r w:rsidRPr="003F6F3D">
              <w:t>Дотации</w:t>
            </w:r>
          </w:p>
        </w:tc>
        <w:tc>
          <w:tcPr>
            <w:tcW w:w="1276" w:type="dxa"/>
            <w:shd w:val="clear" w:color="auto" w:fill="auto"/>
            <w:vAlign w:val="center"/>
            <w:hideMark/>
          </w:tcPr>
          <w:p w:rsidR="00000E53" w:rsidRPr="003F6F3D" w:rsidRDefault="00000E53" w:rsidP="00000E53">
            <w:pPr>
              <w:spacing w:line="216" w:lineRule="auto"/>
              <w:jc w:val="center"/>
            </w:pPr>
            <w:r w:rsidRPr="003F6F3D">
              <w:t>Субсидии</w:t>
            </w:r>
          </w:p>
        </w:tc>
        <w:tc>
          <w:tcPr>
            <w:tcW w:w="1276" w:type="dxa"/>
            <w:shd w:val="clear" w:color="auto" w:fill="auto"/>
            <w:vAlign w:val="center"/>
            <w:hideMark/>
          </w:tcPr>
          <w:p w:rsidR="00000E53" w:rsidRPr="003F6F3D" w:rsidRDefault="00000E53" w:rsidP="00000E53">
            <w:pPr>
              <w:spacing w:line="216" w:lineRule="auto"/>
              <w:jc w:val="center"/>
            </w:pPr>
            <w:r w:rsidRPr="003F6F3D">
              <w:t>Субвенции</w:t>
            </w:r>
          </w:p>
        </w:tc>
        <w:tc>
          <w:tcPr>
            <w:tcW w:w="1276" w:type="dxa"/>
            <w:shd w:val="clear" w:color="auto" w:fill="auto"/>
            <w:vAlign w:val="center"/>
            <w:hideMark/>
          </w:tcPr>
          <w:p w:rsidR="00000E53" w:rsidRPr="003F6F3D" w:rsidRDefault="00000E53" w:rsidP="00000E53">
            <w:pPr>
              <w:spacing w:line="216" w:lineRule="auto"/>
              <w:jc w:val="center"/>
            </w:pPr>
            <w:r w:rsidRPr="003F6F3D">
              <w:t xml:space="preserve">Иные МБТ </w:t>
            </w:r>
          </w:p>
        </w:tc>
      </w:tr>
      <w:tr w:rsidR="00000E53" w:rsidRPr="003F6F3D" w:rsidTr="00000E53">
        <w:trPr>
          <w:trHeight w:val="130"/>
          <w:tblHeader/>
        </w:trPr>
        <w:tc>
          <w:tcPr>
            <w:tcW w:w="2122" w:type="dxa"/>
            <w:shd w:val="clear" w:color="auto" w:fill="auto"/>
            <w:vAlign w:val="center"/>
          </w:tcPr>
          <w:p w:rsidR="00000E53" w:rsidRPr="003F6F3D" w:rsidRDefault="00000E53" w:rsidP="00000E53">
            <w:pPr>
              <w:spacing w:line="216" w:lineRule="auto"/>
              <w:jc w:val="center"/>
              <w:rPr>
                <w:sz w:val="20"/>
                <w:szCs w:val="20"/>
              </w:rPr>
            </w:pPr>
            <w:r w:rsidRPr="003F6F3D">
              <w:rPr>
                <w:sz w:val="20"/>
                <w:szCs w:val="20"/>
              </w:rPr>
              <w:t>1</w:t>
            </w:r>
          </w:p>
        </w:tc>
        <w:tc>
          <w:tcPr>
            <w:tcW w:w="1277" w:type="dxa"/>
            <w:shd w:val="clear" w:color="auto" w:fill="auto"/>
            <w:vAlign w:val="center"/>
          </w:tcPr>
          <w:p w:rsidR="00000E53" w:rsidRPr="003F6F3D" w:rsidRDefault="00000E53" w:rsidP="00000E53">
            <w:pPr>
              <w:spacing w:line="216" w:lineRule="auto"/>
              <w:jc w:val="center"/>
              <w:rPr>
                <w:sz w:val="20"/>
                <w:szCs w:val="20"/>
              </w:rPr>
            </w:pPr>
            <w:r w:rsidRPr="003F6F3D">
              <w:rPr>
                <w:sz w:val="20"/>
                <w:szCs w:val="20"/>
              </w:rPr>
              <w:t>2</w:t>
            </w:r>
          </w:p>
        </w:tc>
        <w:tc>
          <w:tcPr>
            <w:tcW w:w="1405" w:type="dxa"/>
            <w:shd w:val="clear" w:color="auto" w:fill="auto"/>
            <w:noWrap/>
            <w:vAlign w:val="center"/>
          </w:tcPr>
          <w:p w:rsidR="00000E53" w:rsidRPr="003F6F3D" w:rsidRDefault="00000E53" w:rsidP="00000E53">
            <w:pPr>
              <w:spacing w:line="216" w:lineRule="auto"/>
              <w:jc w:val="center"/>
              <w:rPr>
                <w:b/>
                <w:bCs/>
              </w:rPr>
            </w:pPr>
            <w:r w:rsidRPr="003F6F3D">
              <w:rPr>
                <w:b/>
                <w:bCs/>
              </w:rPr>
              <w:t>3</w:t>
            </w:r>
          </w:p>
        </w:tc>
        <w:tc>
          <w:tcPr>
            <w:tcW w:w="1289" w:type="dxa"/>
            <w:shd w:val="clear" w:color="auto" w:fill="auto"/>
            <w:noWrap/>
            <w:vAlign w:val="center"/>
          </w:tcPr>
          <w:p w:rsidR="00000E53" w:rsidRPr="003F6F3D" w:rsidRDefault="00000E53" w:rsidP="00000E53">
            <w:pPr>
              <w:spacing w:line="216" w:lineRule="auto"/>
              <w:jc w:val="center"/>
            </w:pPr>
            <w:r w:rsidRPr="003F6F3D">
              <w:t>4</w:t>
            </w:r>
          </w:p>
        </w:tc>
        <w:tc>
          <w:tcPr>
            <w:tcW w:w="1276" w:type="dxa"/>
            <w:shd w:val="clear" w:color="auto" w:fill="auto"/>
            <w:noWrap/>
            <w:vAlign w:val="center"/>
          </w:tcPr>
          <w:p w:rsidR="00000E53" w:rsidRPr="003F6F3D" w:rsidRDefault="00000E53" w:rsidP="00000E53">
            <w:pPr>
              <w:spacing w:line="216" w:lineRule="auto"/>
              <w:jc w:val="center"/>
            </w:pPr>
            <w:r w:rsidRPr="003F6F3D">
              <w:t>5</w:t>
            </w:r>
          </w:p>
        </w:tc>
        <w:tc>
          <w:tcPr>
            <w:tcW w:w="1276" w:type="dxa"/>
            <w:shd w:val="clear" w:color="auto" w:fill="auto"/>
            <w:noWrap/>
            <w:vAlign w:val="center"/>
          </w:tcPr>
          <w:p w:rsidR="00000E53" w:rsidRPr="003F6F3D" w:rsidRDefault="00000E53" w:rsidP="00000E53">
            <w:pPr>
              <w:spacing w:line="216" w:lineRule="auto"/>
              <w:jc w:val="center"/>
            </w:pPr>
            <w:r w:rsidRPr="003F6F3D">
              <w:t>6</w:t>
            </w:r>
          </w:p>
        </w:tc>
        <w:tc>
          <w:tcPr>
            <w:tcW w:w="1276" w:type="dxa"/>
            <w:shd w:val="clear" w:color="auto" w:fill="auto"/>
            <w:noWrap/>
            <w:vAlign w:val="center"/>
          </w:tcPr>
          <w:p w:rsidR="00000E53" w:rsidRPr="003F6F3D" w:rsidRDefault="00000E53" w:rsidP="00000E53">
            <w:pPr>
              <w:spacing w:line="216" w:lineRule="auto"/>
              <w:jc w:val="center"/>
            </w:pPr>
            <w:r w:rsidRPr="003F6F3D">
              <w:t>7</w:t>
            </w:r>
          </w:p>
        </w:tc>
      </w:tr>
      <w:tr w:rsidR="00000E53" w:rsidRPr="003F6F3D" w:rsidTr="00000E53">
        <w:trPr>
          <w:trHeight w:val="300"/>
        </w:trPr>
        <w:tc>
          <w:tcPr>
            <w:tcW w:w="2122" w:type="dxa"/>
            <w:vMerge w:val="restart"/>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 xml:space="preserve"> 2018 г. </w:t>
            </w:r>
          </w:p>
        </w:tc>
        <w:tc>
          <w:tcPr>
            <w:tcW w:w="1277" w:type="dxa"/>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Утверждено</w:t>
            </w:r>
          </w:p>
        </w:tc>
        <w:tc>
          <w:tcPr>
            <w:tcW w:w="1405" w:type="dxa"/>
            <w:shd w:val="clear" w:color="auto" w:fill="auto"/>
            <w:noWrap/>
            <w:vAlign w:val="center"/>
            <w:hideMark/>
          </w:tcPr>
          <w:p w:rsidR="00000E53" w:rsidRPr="003F6F3D" w:rsidRDefault="00000E53" w:rsidP="00000E53">
            <w:pPr>
              <w:spacing w:line="216" w:lineRule="auto"/>
              <w:jc w:val="right"/>
              <w:rPr>
                <w:b/>
                <w:bCs/>
              </w:rPr>
            </w:pPr>
            <w:r w:rsidRPr="003F6F3D">
              <w:rPr>
                <w:b/>
                <w:bCs/>
              </w:rPr>
              <w:t>7 397 869,4</w:t>
            </w:r>
          </w:p>
        </w:tc>
        <w:tc>
          <w:tcPr>
            <w:tcW w:w="1289" w:type="dxa"/>
            <w:shd w:val="clear" w:color="auto" w:fill="auto"/>
            <w:noWrap/>
            <w:vAlign w:val="center"/>
            <w:hideMark/>
          </w:tcPr>
          <w:p w:rsidR="00000E53" w:rsidRPr="003F6F3D" w:rsidRDefault="00000E53" w:rsidP="00000E53">
            <w:pPr>
              <w:spacing w:line="216" w:lineRule="auto"/>
              <w:jc w:val="right"/>
            </w:pPr>
            <w:r w:rsidRPr="003F6F3D">
              <w:t>2 517 565,5</w:t>
            </w:r>
          </w:p>
        </w:tc>
        <w:tc>
          <w:tcPr>
            <w:tcW w:w="1276" w:type="dxa"/>
            <w:shd w:val="clear" w:color="auto" w:fill="auto"/>
            <w:noWrap/>
            <w:vAlign w:val="center"/>
            <w:hideMark/>
          </w:tcPr>
          <w:p w:rsidR="00000E53" w:rsidRPr="003F6F3D" w:rsidRDefault="00000E53" w:rsidP="00000E53">
            <w:pPr>
              <w:spacing w:line="216" w:lineRule="auto"/>
              <w:jc w:val="right"/>
            </w:pPr>
            <w:r w:rsidRPr="003F6F3D">
              <w:t>1 324 731,4</w:t>
            </w:r>
          </w:p>
        </w:tc>
        <w:tc>
          <w:tcPr>
            <w:tcW w:w="1276" w:type="dxa"/>
            <w:shd w:val="clear" w:color="auto" w:fill="auto"/>
            <w:noWrap/>
            <w:vAlign w:val="center"/>
            <w:hideMark/>
          </w:tcPr>
          <w:p w:rsidR="00000E53" w:rsidRPr="003F6F3D" w:rsidRDefault="00000E53" w:rsidP="00000E53">
            <w:pPr>
              <w:spacing w:line="216" w:lineRule="auto"/>
              <w:jc w:val="right"/>
            </w:pPr>
            <w:r w:rsidRPr="003F6F3D">
              <w:t>3 555 572,5</w:t>
            </w:r>
          </w:p>
        </w:tc>
        <w:tc>
          <w:tcPr>
            <w:tcW w:w="1276" w:type="dxa"/>
            <w:shd w:val="clear" w:color="auto" w:fill="auto"/>
            <w:noWrap/>
            <w:vAlign w:val="center"/>
            <w:hideMark/>
          </w:tcPr>
          <w:p w:rsidR="00000E53" w:rsidRPr="003F6F3D" w:rsidRDefault="00000E53" w:rsidP="00000E53">
            <w:pPr>
              <w:spacing w:line="216" w:lineRule="auto"/>
              <w:jc w:val="right"/>
            </w:pPr>
            <w:r w:rsidRPr="003F6F3D">
              <w:t>-</w:t>
            </w:r>
          </w:p>
        </w:tc>
      </w:tr>
      <w:tr w:rsidR="00000E53" w:rsidRPr="003F6F3D" w:rsidTr="00000E53">
        <w:trPr>
          <w:trHeight w:val="300"/>
        </w:trPr>
        <w:tc>
          <w:tcPr>
            <w:tcW w:w="2122" w:type="dxa"/>
            <w:vMerge/>
            <w:vAlign w:val="center"/>
            <w:hideMark/>
          </w:tcPr>
          <w:p w:rsidR="00000E53" w:rsidRPr="003F6F3D" w:rsidRDefault="00000E53" w:rsidP="00000E53">
            <w:pPr>
              <w:spacing w:line="216" w:lineRule="auto"/>
              <w:rPr>
                <w:sz w:val="20"/>
                <w:szCs w:val="20"/>
              </w:rPr>
            </w:pPr>
          </w:p>
        </w:tc>
        <w:tc>
          <w:tcPr>
            <w:tcW w:w="1277" w:type="dxa"/>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Исполнено</w:t>
            </w:r>
          </w:p>
        </w:tc>
        <w:tc>
          <w:tcPr>
            <w:tcW w:w="1405" w:type="dxa"/>
            <w:shd w:val="clear" w:color="auto" w:fill="auto"/>
            <w:noWrap/>
            <w:vAlign w:val="center"/>
            <w:hideMark/>
          </w:tcPr>
          <w:p w:rsidR="00000E53" w:rsidRPr="003F6F3D" w:rsidRDefault="00000E53" w:rsidP="00000E53">
            <w:pPr>
              <w:spacing w:line="216" w:lineRule="auto"/>
              <w:jc w:val="right"/>
              <w:rPr>
                <w:b/>
                <w:bCs/>
              </w:rPr>
            </w:pPr>
            <w:r w:rsidRPr="003F6F3D">
              <w:rPr>
                <w:b/>
                <w:bCs/>
              </w:rPr>
              <w:t>7 223 484,0</w:t>
            </w:r>
          </w:p>
        </w:tc>
        <w:tc>
          <w:tcPr>
            <w:tcW w:w="1289" w:type="dxa"/>
            <w:shd w:val="clear" w:color="auto" w:fill="auto"/>
            <w:noWrap/>
            <w:vAlign w:val="center"/>
            <w:hideMark/>
          </w:tcPr>
          <w:p w:rsidR="00000E53" w:rsidRPr="003F6F3D" w:rsidRDefault="00000E53" w:rsidP="00000E53">
            <w:pPr>
              <w:spacing w:line="216" w:lineRule="auto"/>
              <w:jc w:val="right"/>
            </w:pPr>
            <w:r w:rsidRPr="003F6F3D">
              <w:t>2 491 725,3</w:t>
            </w:r>
          </w:p>
        </w:tc>
        <w:tc>
          <w:tcPr>
            <w:tcW w:w="1276" w:type="dxa"/>
            <w:shd w:val="clear" w:color="auto" w:fill="auto"/>
            <w:noWrap/>
            <w:vAlign w:val="center"/>
            <w:hideMark/>
          </w:tcPr>
          <w:p w:rsidR="00000E53" w:rsidRPr="003F6F3D" w:rsidRDefault="00000E53" w:rsidP="00000E53">
            <w:pPr>
              <w:spacing w:line="216" w:lineRule="auto"/>
              <w:jc w:val="right"/>
            </w:pPr>
            <w:r w:rsidRPr="003F6F3D">
              <w:t>1 209 244,4</w:t>
            </w:r>
          </w:p>
        </w:tc>
        <w:tc>
          <w:tcPr>
            <w:tcW w:w="1276" w:type="dxa"/>
            <w:shd w:val="clear" w:color="auto" w:fill="auto"/>
            <w:noWrap/>
            <w:vAlign w:val="center"/>
            <w:hideMark/>
          </w:tcPr>
          <w:p w:rsidR="00000E53" w:rsidRPr="003F6F3D" w:rsidRDefault="00000E53" w:rsidP="00000E53">
            <w:pPr>
              <w:spacing w:line="216" w:lineRule="auto"/>
              <w:jc w:val="right"/>
            </w:pPr>
            <w:r w:rsidRPr="003F6F3D">
              <w:t>3 522 514,3</w:t>
            </w:r>
          </w:p>
        </w:tc>
        <w:tc>
          <w:tcPr>
            <w:tcW w:w="1276" w:type="dxa"/>
            <w:shd w:val="clear" w:color="auto" w:fill="auto"/>
            <w:noWrap/>
            <w:vAlign w:val="center"/>
            <w:hideMark/>
          </w:tcPr>
          <w:p w:rsidR="00000E53" w:rsidRPr="003F6F3D" w:rsidRDefault="00000E53" w:rsidP="00000E53">
            <w:pPr>
              <w:spacing w:line="216" w:lineRule="auto"/>
              <w:jc w:val="right"/>
            </w:pPr>
            <w:r w:rsidRPr="003F6F3D">
              <w:t>-</w:t>
            </w:r>
          </w:p>
        </w:tc>
      </w:tr>
      <w:tr w:rsidR="00000E53" w:rsidRPr="003F6F3D" w:rsidTr="00000E53">
        <w:trPr>
          <w:trHeight w:val="300"/>
        </w:trPr>
        <w:tc>
          <w:tcPr>
            <w:tcW w:w="2122" w:type="dxa"/>
            <w:vMerge w:val="restart"/>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 xml:space="preserve"> 2019 г. </w:t>
            </w:r>
          </w:p>
        </w:tc>
        <w:tc>
          <w:tcPr>
            <w:tcW w:w="1277" w:type="dxa"/>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Утверждено</w:t>
            </w:r>
          </w:p>
        </w:tc>
        <w:tc>
          <w:tcPr>
            <w:tcW w:w="1405" w:type="dxa"/>
            <w:shd w:val="clear" w:color="auto" w:fill="auto"/>
            <w:noWrap/>
            <w:vAlign w:val="center"/>
            <w:hideMark/>
          </w:tcPr>
          <w:p w:rsidR="00000E53" w:rsidRPr="003F6F3D" w:rsidRDefault="00000E53" w:rsidP="00000E53">
            <w:pPr>
              <w:spacing w:line="216" w:lineRule="auto"/>
              <w:jc w:val="right"/>
              <w:rPr>
                <w:b/>
                <w:bCs/>
              </w:rPr>
            </w:pPr>
            <w:r w:rsidRPr="003F6F3D">
              <w:rPr>
                <w:b/>
                <w:bCs/>
              </w:rPr>
              <w:t>8 691 104,2</w:t>
            </w:r>
          </w:p>
        </w:tc>
        <w:tc>
          <w:tcPr>
            <w:tcW w:w="1289" w:type="dxa"/>
            <w:shd w:val="clear" w:color="auto" w:fill="auto"/>
            <w:noWrap/>
            <w:vAlign w:val="center"/>
            <w:hideMark/>
          </w:tcPr>
          <w:p w:rsidR="00000E53" w:rsidRPr="003F6F3D" w:rsidRDefault="00000E53" w:rsidP="00000E53">
            <w:pPr>
              <w:spacing w:line="216" w:lineRule="auto"/>
              <w:jc w:val="right"/>
            </w:pPr>
            <w:r w:rsidRPr="003F6F3D">
              <w:t>3 258 296,6</w:t>
            </w:r>
          </w:p>
        </w:tc>
        <w:tc>
          <w:tcPr>
            <w:tcW w:w="1276" w:type="dxa"/>
            <w:shd w:val="clear" w:color="auto" w:fill="auto"/>
            <w:noWrap/>
            <w:vAlign w:val="center"/>
            <w:hideMark/>
          </w:tcPr>
          <w:p w:rsidR="00000E53" w:rsidRPr="003F6F3D" w:rsidRDefault="00000E53" w:rsidP="00000E53">
            <w:pPr>
              <w:spacing w:line="216" w:lineRule="auto"/>
              <w:jc w:val="right"/>
            </w:pPr>
            <w:r w:rsidRPr="003F6F3D">
              <w:t>1 510 740,6</w:t>
            </w:r>
          </w:p>
        </w:tc>
        <w:tc>
          <w:tcPr>
            <w:tcW w:w="1276" w:type="dxa"/>
            <w:shd w:val="clear" w:color="auto" w:fill="auto"/>
            <w:noWrap/>
            <w:vAlign w:val="center"/>
            <w:hideMark/>
          </w:tcPr>
          <w:p w:rsidR="00000E53" w:rsidRPr="003F6F3D" w:rsidRDefault="00000E53" w:rsidP="00000E53">
            <w:pPr>
              <w:spacing w:line="216" w:lineRule="auto"/>
              <w:jc w:val="right"/>
            </w:pPr>
            <w:r w:rsidRPr="003F6F3D">
              <w:t>3 861 067,0</w:t>
            </w:r>
          </w:p>
        </w:tc>
        <w:tc>
          <w:tcPr>
            <w:tcW w:w="1276" w:type="dxa"/>
            <w:shd w:val="clear" w:color="auto" w:fill="auto"/>
            <w:noWrap/>
            <w:vAlign w:val="center"/>
            <w:hideMark/>
          </w:tcPr>
          <w:p w:rsidR="00000E53" w:rsidRPr="003F6F3D" w:rsidRDefault="00000E53" w:rsidP="00000E53">
            <w:pPr>
              <w:spacing w:line="216" w:lineRule="auto"/>
              <w:jc w:val="right"/>
            </w:pPr>
            <w:r w:rsidRPr="003F6F3D">
              <w:t>61 000,0</w:t>
            </w:r>
          </w:p>
        </w:tc>
      </w:tr>
      <w:tr w:rsidR="00000E53" w:rsidRPr="003F6F3D" w:rsidTr="00000E53">
        <w:trPr>
          <w:trHeight w:val="300"/>
        </w:trPr>
        <w:tc>
          <w:tcPr>
            <w:tcW w:w="2122" w:type="dxa"/>
            <w:vMerge/>
            <w:vAlign w:val="center"/>
            <w:hideMark/>
          </w:tcPr>
          <w:p w:rsidR="00000E53" w:rsidRPr="003F6F3D" w:rsidRDefault="00000E53" w:rsidP="00000E53">
            <w:pPr>
              <w:spacing w:line="216" w:lineRule="auto"/>
              <w:rPr>
                <w:sz w:val="20"/>
                <w:szCs w:val="20"/>
              </w:rPr>
            </w:pPr>
          </w:p>
        </w:tc>
        <w:tc>
          <w:tcPr>
            <w:tcW w:w="1277" w:type="dxa"/>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Исполнено</w:t>
            </w:r>
          </w:p>
        </w:tc>
        <w:tc>
          <w:tcPr>
            <w:tcW w:w="1405" w:type="dxa"/>
            <w:shd w:val="clear" w:color="auto" w:fill="auto"/>
            <w:noWrap/>
            <w:vAlign w:val="center"/>
            <w:hideMark/>
          </w:tcPr>
          <w:p w:rsidR="00000E53" w:rsidRPr="003F6F3D" w:rsidRDefault="00000E53" w:rsidP="00000E53">
            <w:pPr>
              <w:spacing w:line="216" w:lineRule="auto"/>
              <w:jc w:val="right"/>
              <w:rPr>
                <w:b/>
                <w:bCs/>
              </w:rPr>
            </w:pPr>
            <w:r w:rsidRPr="003F6F3D">
              <w:rPr>
                <w:b/>
                <w:bCs/>
              </w:rPr>
              <w:t>8 499 857,1</w:t>
            </w:r>
          </w:p>
        </w:tc>
        <w:tc>
          <w:tcPr>
            <w:tcW w:w="1289" w:type="dxa"/>
            <w:shd w:val="clear" w:color="auto" w:fill="auto"/>
            <w:noWrap/>
            <w:vAlign w:val="center"/>
            <w:hideMark/>
          </w:tcPr>
          <w:p w:rsidR="00000E53" w:rsidRPr="003F6F3D" w:rsidRDefault="00000E53" w:rsidP="00000E53">
            <w:pPr>
              <w:spacing w:line="216" w:lineRule="auto"/>
              <w:jc w:val="right"/>
            </w:pPr>
            <w:r w:rsidRPr="003F6F3D">
              <w:t>3 258 296,6</w:t>
            </w:r>
          </w:p>
        </w:tc>
        <w:tc>
          <w:tcPr>
            <w:tcW w:w="1276" w:type="dxa"/>
            <w:shd w:val="clear" w:color="auto" w:fill="auto"/>
            <w:noWrap/>
            <w:vAlign w:val="center"/>
            <w:hideMark/>
          </w:tcPr>
          <w:p w:rsidR="00000E53" w:rsidRPr="003F6F3D" w:rsidRDefault="00000E53" w:rsidP="00000E53">
            <w:pPr>
              <w:spacing w:line="216" w:lineRule="auto"/>
              <w:jc w:val="right"/>
            </w:pPr>
            <w:r w:rsidRPr="003F6F3D">
              <w:t>1 351 026,7</w:t>
            </w:r>
          </w:p>
        </w:tc>
        <w:tc>
          <w:tcPr>
            <w:tcW w:w="1276" w:type="dxa"/>
            <w:shd w:val="clear" w:color="auto" w:fill="auto"/>
            <w:noWrap/>
            <w:vAlign w:val="center"/>
            <w:hideMark/>
          </w:tcPr>
          <w:p w:rsidR="00000E53" w:rsidRPr="003F6F3D" w:rsidRDefault="00000E53" w:rsidP="00000E53">
            <w:pPr>
              <w:spacing w:line="216" w:lineRule="auto"/>
              <w:jc w:val="right"/>
            </w:pPr>
            <w:r w:rsidRPr="003F6F3D">
              <w:t>3 829 533,8</w:t>
            </w:r>
          </w:p>
        </w:tc>
        <w:tc>
          <w:tcPr>
            <w:tcW w:w="1276" w:type="dxa"/>
            <w:shd w:val="clear" w:color="auto" w:fill="auto"/>
            <w:noWrap/>
            <w:vAlign w:val="center"/>
            <w:hideMark/>
          </w:tcPr>
          <w:p w:rsidR="00000E53" w:rsidRPr="003F6F3D" w:rsidRDefault="00000E53" w:rsidP="00000E53">
            <w:pPr>
              <w:spacing w:line="216" w:lineRule="auto"/>
              <w:jc w:val="right"/>
            </w:pPr>
            <w:r w:rsidRPr="003F6F3D">
              <w:t>61 000,0</w:t>
            </w:r>
          </w:p>
        </w:tc>
      </w:tr>
      <w:tr w:rsidR="00000E53" w:rsidRPr="003F6F3D" w:rsidTr="00000E53">
        <w:trPr>
          <w:trHeight w:val="300"/>
        </w:trPr>
        <w:tc>
          <w:tcPr>
            <w:tcW w:w="2122" w:type="dxa"/>
            <w:vMerge w:val="restart"/>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 xml:space="preserve"> 2020 г. </w:t>
            </w:r>
          </w:p>
        </w:tc>
        <w:tc>
          <w:tcPr>
            <w:tcW w:w="1277" w:type="dxa"/>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Утверждено</w:t>
            </w:r>
          </w:p>
        </w:tc>
        <w:tc>
          <w:tcPr>
            <w:tcW w:w="1405" w:type="dxa"/>
            <w:shd w:val="clear" w:color="auto" w:fill="auto"/>
            <w:noWrap/>
            <w:vAlign w:val="center"/>
            <w:hideMark/>
          </w:tcPr>
          <w:p w:rsidR="00000E53" w:rsidRPr="003F6F3D" w:rsidRDefault="00000E53" w:rsidP="00000E53">
            <w:pPr>
              <w:spacing w:line="216" w:lineRule="auto"/>
              <w:jc w:val="right"/>
              <w:rPr>
                <w:b/>
                <w:bCs/>
              </w:rPr>
            </w:pPr>
            <w:r w:rsidRPr="003F6F3D">
              <w:rPr>
                <w:b/>
                <w:bCs/>
              </w:rPr>
              <w:t>13 590 763,3</w:t>
            </w:r>
          </w:p>
        </w:tc>
        <w:tc>
          <w:tcPr>
            <w:tcW w:w="1289" w:type="dxa"/>
            <w:shd w:val="clear" w:color="auto" w:fill="auto"/>
            <w:noWrap/>
            <w:vAlign w:val="center"/>
            <w:hideMark/>
          </w:tcPr>
          <w:p w:rsidR="00000E53" w:rsidRPr="003F6F3D" w:rsidRDefault="00000E53" w:rsidP="00000E53">
            <w:pPr>
              <w:spacing w:line="216" w:lineRule="auto"/>
              <w:jc w:val="right"/>
            </w:pPr>
            <w:r w:rsidRPr="003F6F3D">
              <w:t>5 946 826,7</w:t>
            </w:r>
          </w:p>
        </w:tc>
        <w:tc>
          <w:tcPr>
            <w:tcW w:w="1276" w:type="dxa"/>
            <w:shd w:val="clear" w:color="auto" w:fill="auto"/>
            <w:noWrap/>
            <w:vAlign w:val="center"/>
            <w:hideMark/>
          </w:tcPr>
          <w:p w:rsidR="00000E53" w:rsidRPr="003F6F3D" w:rsidRDefault="00000E53" w:rsidP="00000E53">
            <w:pPr>
              <w:spacing w:line="216" w:lineRule="auto"/>
              <w:jc w:val="right"/>
            </w:pPr>
            <w:r w:rsidRPr="003F6F3D">
              <w:t>2 948 981,0</w:t>
            </w:r>
          </w:p>
        </w:tc>
        <w:tc>
          <w:tcPr>
            <w:tcW w:w="1276" w:type="dxa"/>
            <w:shd w:val="clear" w:color="auto" w:fill="auto"/>
            <w:noWrap/>
            <w:vAlign w:val="center"/>
            <w:hideMark/>
          </w:tcPr>
          <w:p w:rsidR="00000E53" w:rsidRPr="003F6F3D" w:rsidRDefault="00000E53" w:rsidP="00000E53">
            <w:pPr>
              <w:spacing w:line="216" w:lineRule="auto"/>
              <w:jc w:val="right"/>
            </w:pPr>
            <w:r w:rsidRPr="003F6F3D">
              <w:t>4 253 385,4</w:t>
            </w:r>
          </w:p>
        </w:tc>
        <w:tc>
          <w:tcPr>
            <w:tcW w:w="1276" w:type="dxa"/>
            <w:shd w:val="clear" w:color="auto" w:fill="auto"/>
            <w:noWrap/>
            <w:vAlign w:val="center"/>
            <w:hideMark/>
          </w:tcPr>
          <w:p w:rsidR="00000E53" w:rsidRPr="003F6F3D" w:rsidRDefault="00000E53" w:rsidP="00000E53">
            <w:pPr>
              <w:spacing w:line="216" w:lineRule="auto"/>
              <w:jc w:val="right"/>
            </w:pPr>
            <w:r w:rsidRPr="003F6F3D">
              <w:t>441 570,2</w:t>
            </w:r>
          </w:p>
        </w:tc>
      </w:tr>
      <w:tr w:rsidR="00000E53" w:rsidRPr="003F6F3D" w:rsidTr="00000E53">
        <w:trPr>
          <w:trHeight w:val="300"/>
        </w:trPr>
        <w:tc>
          <w:tcPr>
            <w:tcW w:w="2122" w:type="dxa"/>
            <w:vMerge/>
            <w:vAlign w:val="center"/>
            <w:hideMark/>
          </w:tcPr>
          <w:p w:rsidR="00000E53" w:rsidRPr="003F6F3D" w:rsidRDefault="00000E53" w:rsidP="00000E53">
            <w:pPr>
              <w:spacing w:line="216" w:lineRule="auto"/>
              <w:rPr>
                <w:sz w:val="20"/>
                <w:szCs w:val="20"/>
              </w:rPr>
            </w:pPr>
          </w:p>
        </w:tc>
        <w:tc>
          <w:tcPr>
            <w:tcW w:w="1277" w:type="dxa"/>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Исполнено</w:t>
            </w:r>
          </w:p>
        </w:tc>
        <w:tc>
          <w:tcPr>
            <w:tcW w:w="1405" w:type="dxa"/>
            <w:shd w:val="clear" w:color="auto" w:fill="auto"/>
            <w:noWrap/>
            <w:vAlign w:val="center"/>
            <w:hideMark/>
          </w:tcPr>
          <w:p w:rsidR="00000E53" w:rsidRPr="003F6F3D" w:rsidRDefault="00000E53" w:rsidP="00000E53">
            <w:pPr>
              <w:spacing w:line="216" w:lineRule="auto"/>
              <w:jc w:val="right"/>
              <w:rPr>
                <w:b/>
                <w:bCs/>
              </w:rPr>
            </w:pPr>
            <w:r w:rsidRPr="003F6F3D">
              <w:rPr>
                <w:b/>
                <w:bCs/>
              </w:rPr>
              <w:t>13 391 620,5</w:t>
            </w:r>
          </w:p>
        </w:tc>
        <w:tc>
          <w:tcPr>
            <w:tcW w:w="1289" w:type="dxa"/>
            <w:shd w:val="clear" w:color="auto" w:fill="auto"/>
            <w:noWrap/>
            <w:vAlign w:val="center"/>
            <w:hideMark/>
          </w:tcPr>
          <w:p w:rsidR="00000E53" w:rsidRPr="003F6F3D" w:rsidRDefault="00000E53" w:rsidP="00000E53">
            <w:pPr>
              <w:spacing w:line="216" w:lineRule="auto"/>
              <w:jc w:val="right"/>
            </w:pPr>
            <w:r w:rsidRPr="003F6F3D">
              <w:t>5 946 826,7</w:t>
            </w:r>
          </w:p>
        </w:tc>
        <w:tc>
          <w:tcPr>
            <w:tcW w:w="1276" w:type="dxa"/>
            <w:shd w:val="clear" w:color="auto" w:fill="auto"/>
            <w:noWrap/>
            <w:vAlign w:val="center"/>
            <w:hideMark/>
          </w:tcPr>
          <w:p w:rsidR="00000E53" w:rsidRPr="003F6F3D" w:rsidRDefault="00000E53" w:rsidP="00000E53">
            <w:pPr>
              <w:spacing w:line="216" w:lineRule="auto"/>
              <w:jc w:val="right"/>
            </w:pPr>
            <w:r w:rsidRPr="003F6F3D">
              <w:t>2 778 747,9</w:t>
            </w:r>
          </w:p>
        </w:tc>
        <w:tc>
          <w:tcPr>
            <w:tcW w:w="1276" w:type="dxa"/>
            <w:shd w:val="clear" w:color="auto" w:fill="auto"/>
            <w:noWrap/>
            <w:vAlign w:val="center"/>
            <w:hideMark/>
          </w:tcPr>
          <w:p w:rsidR="00000E53" w:rsidRPr="003F6F3D" w:rsidRDefault="00000E53" w:rsidP="00000E53">
            <w:pPr>
              <w:spacing w:line="216" w:lineRule="auto"/>
              <w:jc w:val="right"/>
            </w:pPr>
            <w:r w:rsidRPr="003F6F3D">
              <w:t>4 227 328,7</w:t>
            </w:r>
          </w:p>
        </w:tc>
        <w:tc>
          <w:tcPr>
            <w:tcW w:w="1276" w:type="dxa"/>
            <w:shd w:val="clear" w:color="auto" w:fill="auto"/>
            <w:noWrap/>
            <w:vAlign w:val="center"/>
            <w:hideMark/>
          </w:tcPr>
          <w:p w:rsidR="00000E53" w:rsidRPr="003F6F3D" w:rsidRDefault="00000E53" w:rsidP="00000E53">
            <w:pPr>
              <w:spacing w:line="216" w:lineRule="auto"/>
              <w:jc w:val="right"/>
            </w:pPr>
            <w:r w:rsidRPr="003F6F3D">
              <w:t>438 717,2</w:t>
            </w:r>
          </w:p>
        </w:tc>
      </w:tr>
      <w:tr w:rsidR="00000E53" w:rsidRPr="003F6F3D" w:rsidTr="00000E53">
        <w:trPr>
          <w:trHeight w:val="201"/>
        </w:trPr>
        <w:tc>
          <w:tcPr>
            <w:tcW w:w="2122" w:type="dxa"/>
            <w:vMerge w:val="restart"/>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 xml:space="preserve">Уровень исполнения (%) </w:t>
            </w:r>
          </w:p>
        </w:tc>
        <w:tc>
          <w:tcPr>
            <w:tcW w:w="1277" w:type="dxa"/>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2018 г.</w:t>
            </w:r>
          </w:p>
        </w:tc>
        <w:tc>
          <w:tcPr>
            <w:tcW w:w="1405" w:type="dxa"/>
            <w:shd w:val="clear" w:color="auto" w:fill="auto"/>
            <w:noWrap/>
            <w:vAlign w:val="center"/>
            <w:hideMark/>
          </w:tcPr>
          <w:p w:rsidR="00000E53" w:rsidRPr="003F6F3D" w:rsidRDefault="00000E53" w:rsidP="00000E53">
            <w:pPr>
              <w:spacing w:line="216" w:lineRule="auto"/>
              <w:jc w:val="center"/>
              <w:rPr>
                <w:b/>
                <w:bCs/>
              </w:rPr>
            </w:pPr>
            <w:r w:rsidRPr="003F6F3D">
              <w:rPr>
                <w:b/>
                <w:bCs/>
              </w:rPr>
              <w:t>97,6</w:t>
            </w:r>
          </w:p>
        </w:tc>
        <w:tc>
          <w:tcPr>
            <w:tcW w:w="1289" w:type="dxa"/>
            <w:shd w:val="clear" w:color="auto" w:fill="auto"/>
            <w:noWrap/>
            <w:vAlign w:val="center"/>
            <w:hideMark/>
          </w:tcPr>
          <w:p w:rsidR="00000E53" w:rsidRPr="003F6F3D" w:rsidRDefault="00000E53" w:rsidP="00000E53">
            <w:pPr>
              <w:spacing w:line="216" w:lineRule="auto"/>
              <w:jc w:val="center"/>
            </w:pPr>
            <w:r w:rsidRPr="003F6F3D">
              <w:t>98,9</w:t>
            </w:r>
          </w:p>
        </w:tc>
        <w:tc>
          <w:tcPr>
            <w:tcW w:w="1276" w:type="dxa"/>
            <w:shd w:val="clear" w:color="auto" w:fill="auto"/>
            <w:noWrap/>
            <w:vAlign w:val="center"/>
            <w:hideMark/>
          </w:tcPr>
          <w:p w:rsidR="00000E53" w:rsidRPr="003F6F3D" w:rsidRDefault="00000E53" w:rsidP="00000E53">
            <w:pPr>
              <w:spacing w:line="216" w:lineRule="auto"/>
              <w:jc w:val="center"/>
            </w:pPr>
            <w:r w:rsidRPr="003F6F3D">
              <w:t>91,3</w:t>
            </w:r>
          </w:p>
        </w:tc>
        <w:tc>
          <w:tcPr>
            <w:tcW w:w="1276" w:type="dxa"/>
            <w:shd w:val="clear" w:color="auto" w:fill="auto"/>
            <w:noWrap/>
            <w:vAlign w:val="center"/>
            <w:hideMark/>
          </w:tcPr>
          <w:p w:rsidR="00000E53" w:rsidRPr="003F6F3D" w:rsidRDefault="00000E53" w:rsidP="00000E53">
            <w:pPr>
              <w:spacing w:line="216" w:lineRule="auto"/>
              <w:jc w:val="center"/>
            </w:pPr>
            <w:r w:rsidRPr="003F6F3D">
              <w:t>99,1</w:t>
            </w:r>
          </w:p>
        </w:tc>
        <w:tc>
          <w:tcPr>
            <w:tcW w:w="1276" w:type="dxa"/>
            <w:shd w:val="clear" w:color="auto" w:fill="auto"/>
            <w:noWrap/>
            <w:vAlign w:val="center"/>
            <w:hideMark/>
          </w:tcPr>
          <w:p w:rsidR="00000E53" w:rsidRPr="003F6F3D" w:rsidRDefault="00000E53" w:rsidP="00000E53">
            <w:pPr>
              <w:spacing w:line="216" w:lineRule="auto"/>
              <w:jc w:val="center"/>
            </w:pPr>
            <w:r w:rsidRPr="003F6F3D">
              <w:t>- </w:t>
            </w:r>
          </w:p>
        </w:tc>
      </w:tr>
      <w:tr w:rsidR="00000E53" w:rsidRPr="003F6F3D" w:rsidTr="00000E53">
        <w:trPr>
          <w:trHeight w:val="248"/>
        </w:trPr>
        <w:tc>
          <w:tcPr>
            <w:tcW w:w="2122" w:type="dxa"/>
            <w:vMerge/>
            <w:vAlign w:val="center"/>
            <w:hideMark/>
          </w:tcPr>
          <w:p w:rsidR="00000E53" w:rsidRPr="003F6F3D" w:rsidRDefault="00000E53" w:rsidP="00000E53">
            <w:pPr>
              <w:spacing w:line="216" w:lineRule="auto"/>
              <w:rPr>
                <w:sz w:val="20"/>
                <w:szCs w:val="20"/>
              </w:rPr>
            </w:pPr>
          </w:p>
        </w:tc>
        <w:tc>
          <w:tcPr>
            <w:tcW w:w="1277" w:type="dxa"/>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2019 г.</w:t>
            </w:r>
          </w:p>
        </w:tc>
        <w:tc>
          <w:tcPr>
            <w:tcW w:w="1405" w:type="dxa"/>
            <w:shd w:val="clear" w:color="auto" w:fill="auto"/>
            <w:noWrap/>
            <w:vAlign w:val="center"/>
            <w:hideMark/>
          </w:tcPr>
          <w:p w:rsidR="00000E53" w:rsidRPr="003F6F3D" w:rsidRDefault="00000E53" w:rsidP="00000E53">
            <w:pPr>
              <w:spacing w:line="216" w:lineRule="auto"/>
              <w:jc w:val="center"/>
              <w:rPr>
                <w:b/>
                <w:bCs/>
              </w:rPr>
            </w:pPr>
            <w:r w:rsidRPr="003F6F3D">
              <w:rPr>
                <w:b/>
                <w:bCs/>
              </w:rPr>
              <w:t>97,8</w:t>
            </w:r>
          </w:p>
        </w:tc>
        <w:tc>
          <w:tcPr>
            <w:tcW w:w="1289" w:type="dxa"/>
            <w:shd w:val="clear" w:color="auto" w:fill="auto"/>
            <w:noWrap/>
            <w:vAlign w:val="center"/>
            <w:hideMark/>
          </w:tcPr>
          <w:p w:rsidR="00000E53" w:rsidRPr="003F6F3D" w:rsidRDefault="00000E53" w:rsidP="00000E53">
            <w:pPr>
              <w:spacing w:line="216" w:lineRule="auto"/>
              <w:jc w:val="center"/>
            </w:pPr>
            <w:r w:rsidRPr="003F6F3D">
              <w:t>100,0</w:t>
            </w:r>
          </w:p>
        </w:tc>
        <w:tc>
          <w:tcPr>
            <w:tcW w:w="1276" w:type="dxa"/>
            <w:shd w:val="clear" w:color="auto" w:fill="auto"/>
            <w:noWrap/>
            <w:vAlign w:val="center"/>
            <w:hideMark/>
          </w:tcPr>
          <w:p w:rsidR="00000E53" w:rsidRPr="003F6F3D" w:rsidRDefault="00000E53" w:rsidP="00000E53">
            <w:pPr>
              <w:spacing w:line="216" w:lineRule="auto"/>
              <w:jc w:val="center"/>
            </w:pPr>
            <w:r w:rsidRPr="003F6F3D">
              <w:t>89,4</w:t>
            </w:r>
          </w:p>
        </w:tc>
        <w:tc>
          <w:tcPr>
            <w:tcW w:w="1276" w:type="dxa"/>
            <w:shd w:val="clear" w:color="auto" w:fill="auto"/>
            <w:noWrap/>
            <w:vAlign w:val="center"/>
            <w:hideMark/>
          </w:tcPr>
          <w:p w:rsidR="00000E53" w:rsidRPr="003F6F3D" w:rsidRDefault="00000E53" w:rsidP="00000E53">
            <w:pPr>
              <w:spacing w:line="216" w:lineRule="auto"/>
              <w:jc w:val="center"/>
            </w:pPr>
            <w:r w:rsidRPr="003F6F3D">
              <w:t>99,2</w:t>
            </w:r>
          </w:p>
        </w:tc>
        <w:tc>
          <w:tcPr>
            <w:tcW w:w="1276" w:type="dxa"/>
            <w:shd w:val="clear" w:color="auto" w:fill="auto"/>
            <w:noWrap/>
            <w:vAlign w:val="center"/>
            <w:hideMark/>
          </w:tcPr>
          <w:p w:rsidR="00000E53" w:rsidRPr="003F6F3D" w:rsidRDefault="00000E53" w:rsidP="00000E53">
            <w:pPr>
              <w:spacing w:line="216" w:lineRule="auto"/>
              <w:jc w:val="center"/>
            </w:pPr>
            <w:r w:rsidRPr="003F6F3D">
              <w:t>100,0</w:t>
            </w:r>
          </w:p>
        </w:tc>
      </w:tr>
      <w:tr w:rsidR="00000E53" w:rsidRPr="003F6F3D" w:rsidTr="00000E53">
        <w:trPr>
          <w:trHeight w:val="183"/>
        </w:trPr>
        <w:tc>
          <w:tcPr>
            <w:tcW w:w="2122" w:type="dxa"/>
            <w:vMerge/>
            <w:vAlign w:val="center"/>
            <w:hideMark/>
          </w:tcPr>
          <w:p w:rsidR="00000E53" w:rsidRPr="003F6F3D" w:rsidRDefault="00000E53" w:rsidP="00000E53">
            <w:pPr>
              <w:spacing w:line="216" w:lineRule="auto"/>
              <w:rPr>
                <w:sz w:val="20"/>
                <w:szCs w:val="20"/>
              </w:rPr>
            </w:pPr>
          </w:p>
        </w:tc>
        <w:tc>
          <w:tcPr>
            <w:tcW w:w="1277" w:type="dxa"/>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2020 г.</w:t>
            </w:r>
          </w:p>
        </w:tc>
        <w:tc>
          <w:tcPr>
            <w:tcW w:w="1405" w:type="dxa"/>
            <w:shd w:val="clear" w:color="auto" w:fill="auto"/>
            <w:noWrap/>
            <w:vAlign w:val="center"/>
            <w:hideMark/>
          </w:tcPr>
          <w:p w:rsidR="00000E53" w:rsidRPr="003F6F3D" w:rsidRDefault="00000E53" w:rsidP="00000E53">
            <w:pPr>
              <w:spacing w:line="216" w:lineRule="auto"/>
              <w:jc w:val="center"/>
              <w:rPr>
                <w:b/>
                <w:bCs/>
              </w:rPr>
            </w:pPr>
            <w:r w:rsidRPr="003F6F3D">
              <w:rPr>
                <w:b/>
                <w:bCs/>
              </w:rPr>
              <w:t>98,6</w:t>
            </w:r>
          </w:p>
        </w:tc>
        <w:tc>
          <w:tcPr>
            <w:tcW w:w="1289" w:type="dxa"/>
            <w:shd w:val="clear" w:color="auto" w:fill="auto"/>
            <w:noWrap/>
            <w:vAlign w:val="center"/>
            <w:hideMark/>
          </w:tcPr>
          <w:p w:rsidR="00000E53" w:rsidRPr="003F6F3D" w:rsidRDefault="00000E53" w:rsidP="00000E53">
            <w:pPr>
              <w:spacing w:line="216" w:lineRule="auto"/>
              <w:jc w:val="center"/>
            </w:pPr>
            <w:r w:rsidRPr="003F6F3D">
              <w:t>100,0</w:t>
            </w:r>
          </w:p>
        </w:tc>
        <w:tc>
          <w:tcPr>
            <w:tcW w:w="1276" w:type="dxa"/>
            <w:shd w:val="clear" w:color="auto" w:fill="auto"/>
            <w:noWrap/>
            <w:vAlign w:val="center"/>
            <w:hideMark/>
          </w:tcPr>
          <w:p w:rsidR="00000E53" w:rsidRPr="003F6F3D" w:rsidRDefault="00000E53" w:rsidP="00000E53">
            <w:pPr>
              <w:spacing w:line="216" w:lineRule="auto"/>
              <w:jc w:val="center"/>
            </w:pPr>
            <w:r w:rsidRPr="003F6F3D">
              <w:t>94,2</w:t>
            </w:r>
          </w:p>
        </w:tc>
        <w:tc>
          <w:tcPr>
            <w:tcW w:w="1276" w:type="dxa"/>
            <w:shd w:val="clear" w:color="auto" w:fill="auto"/>
            <w:noWrap/>
            <w:vAlign w:val="center"/>
            <w:hideMark/>
          </w:tcPr>
          <w:p w:rsidR="00000E53" w:rsidRPr="003F6F3D" w:rsidRDefault="00000E53" w:rsidP="00000E53">
            <w:pPr>
              <w:spacing w:line="216" w:lineRule="auto"/>
              <w:jc w:val="center"/>
            </w:pPr>
            <w:r w:rsidRPr="003F6F3D">
              <w:t>99,4</w:t>
            </w:r>
          </w:p>
        </w:tc>
        <w:tc>
          <w:tcPr>
            <w:tcW w:w="1276" w:type="dxa"/>
            <w:shd w:val="clear" w:color="auto" w:fill="auto"/>
            <w:noWrap/>
            <w:vAlign w:val="center"/>
            <w:hideMark/>
          </w:tcPr>
          <w:p w:rsidR="00000E53" w:rsidRPr="003F6F3D" w:rsidRDefault="00000E53" w:rsidP="00000E53">
            <w:pPr>
              <w:spacing w:line="216" w:lineRule="auto"/>
              <w:jc w:val="center"/>
            </w:pPr>
            <w:r w:rsidRPr="003F6F3D">
              <w:t>99,4</w:t>
            </w:r>
          </w:p>
        </w:tc>
      </w:tr>
    </w:tbl>
    <w:p w:rsidR="00000E53" w:rsidRPr="003F6F3D" w:rsidRDefault="00000E53" w:rsidP="00000E53">
      <w:pPr>
        <w:spacing w:before="120"/>
        <w:ind w:firstLine="709"/>
        <w:jc w:val="both"/>
        <w:rPr>
          <w:sz w:val="28"/>
          <w:szCs w:val="28"/>
        </w:rPr>
      </w:pPr>
      <w:r w:rsidRPr="003F6F3D">
        <w:rPr>
          <w:sz w:val="28"/>
          <w:szCs w:val="28"/>
        </w:rPr>
        <w:t xml:space="preserve">Анализ предоставленных межбюджетных трансфертов показал в целом высокий уровень исполнения (от 89,4% до 100%). </w:t>
      </w:r>
    </w:p>
    <w:p w:rsidR="00000E53" w:rsidRPr="003F6F3D" w:rsidRDefault="00000E53" w:rsidP="00000E53">
      <w:pPr>
        <w:widowControl w:val="0"/>
        <w:autoSpaceDE w:val="0"/>
        <w:autoSpaceDN w:val="0"/>
        <w:adjustRightInd w:val="0"/>
        <w:spacing w:before="120"/>
        <w:ind w:firstLine="709"/>
        <w:jc w:val="both"/>
        <w:rPr>
          <w:sz w:val="28"/>
          <w:szCs w:val="28"/>
        </w:rPr>
      </w:pPr>
      <w:r w:rsidRPr="003F6F3D">
        <w:rPr>
          <w:sz w:val="28"/>
          <w:szCs w:val="28"/>
        </w:rPr>
        <w:t xml:space="preserve">Бюджетам муниципальных образований в ходе исполнения окружного бюджета за 2018-2020 годы направлено 2 вида </w:t>
      </w:r>
      <w:r w:rsidRPr="003F6F3D">
        <w:rPr>
          <w:b/>
          <w:sz w:val="28"/>
          <w:szCs w:val="28"/>
        </w:rPr>
        <w:t>дотаций</w:t>
      </w:r>
      <w:r w:rsidRPr="003F6F3D">
        <w:rPr>
          <w:sz w:val="28"/>
          <w:szCs w:val="28"/>
        </w:rPr>
        <w:t xml:space="preserve"> (дотации на выравнивание бюджетной обеспеченности и на поддержку мер по обеспечению сбалансированности бюджетов) на общую сумму 11 696 848,6 тыс. рублей, в том числе:</w:t>
      </w:r>
    </w:p>
    <w:p w:rsidR="00000E53" w:rsidRPr="003F6F3D" w:rsidRDefault="00000E53" w:rsidP="00000E53">
      <w:pPr>
        <w:widowControl w:val="0"/>
        <w:autoSpaceDE w:val="0"/>
        <w:autoSpaceDN w:val="0"/>
        <w:adjustRightInd w:val="0"/>
        <w:ind w:firstLine="709"/>
        <w:jc w:val="both"/>
        <w:rPr>
          <w:sz w:val="28"/>
          <w:szCs w:val="28"/>
        </w:rPr>
      </w:pPr>
      <w:r w:rsidRPr="003F6F3D">
        <w:rPr>
          <w:sz w:val="28"/>
          <w:szCs w:val="28"/>
        </w:rPr>
        <w:t>- в 2018 году – 2 491 725,3 тыс. рублей или 98,9% утвержденных назначений (план – 2 517 565,5 тыс. рублей);</w:t>
      </w:r>
    </w:p>
    <w:p w:rsidR="00000E53" w:rsidRPr="003F6F3D" w:rsidRDefault="00000E53" w:rsidP="00000E53">
      <w:pPr>
        <w:ind w:firstLine="709"/>
        <w:jc w:val="both"/>
        <w:rPr>
          <w:sz w:val="28"/>
          <w:szCs w:val="28"/>
        </w:rPr>
      </w:pPr>
      <w:r w:rsidRPr="003F6F3D">
        <w:rPr>
          <w:sz w:val="28"/>
          <w:szCs w:val="28"/>
        </w:rPr>
        <w:t>- в 2019 году – 3 258 296,6 тыс. рублей или 100%;</w:t>
      </w:r>
    </w:p>
    <w:p w:rsidR="00000E53" w:rsidRPr="003F6F3D" w:rsidRDefault="00000E53" w:rsidP="00000E53">
      <w:pPr>
        <w:ind w:firstLine="709"/>
        <w:jc w:val="both"/>
        <w:rPr>
          <w:sz w:val="28"/>
          <w:szCs w:val="28"/>
        </w:rPr>
      </w:pPr>
      <w:r w:rsidRPr="003F6F3D">
        <w:rPr>
          <w:sz w:val="28"/>
          <w:szCs w:val="28"/>
        </w:rPr>
        <w:t>- в 2020 году – 5 946 826,7 тыс. рублей или 100%.</w:t>
      </w:r>
    </w:p>
    <w:p w:rsidR="00000E53" w:rsidRPr="003F6F3D" w:rsidRDefault="00000E53" w:rsidP="00000E53">
      <w:pPr>
        <w:widowControl w:val="0"/>
        <w:autoSpaceDE w:val="0"/>
        <w:autoSpaceDN w:val="0"/>
        <w:adjustRightInd w:val="0"/>
        <w:spacing w:before="120"/>
        <w:ind w:firstLine="709"/>
        <w:jc w:val="both"/>
        <w:rPr>
          <w:sz w:val="28"/>
          <w:szCs w:val="28"/>
        </w:rPr>
      </w:pPr>
      <w:r w:rsidRPr="003F6F3D">
        <w:rPr>
          <w:sz w:val="28"/>
          <w:szCs w:val="28"/>
        </w:rPr>
        <w:t>Дотации предоставлялись Департаментом финансов, экономики и имущественных отношений Чукотского автономного округа в рамках реализации государственной программы «Управление региональными финансами и имуществом Чукотского автономного округа»</w:t>
      </w:r>
      <w:r w:rsidRPr="003F6F3D">
        <w:rPr>
          <w:rStyle w:val="ab"/>
          <w:sz w:val="28"/>
          <w:szCs w:val="28"/>
        </w:rPr>
        <w:footnoteReference w:id="202"/>
      </w:r>
      <w:r w:rsidRPr="003F6F3D">
        <w:rPr>
          <w:sz w:val="28"/>
          <w:szCs w:val="28"/>
        </w:rPr>
        <w:t>.</w:t>
      </w:r>
    </w:p>
    <w:p w:rsidR="00000E53" w:rsidRPr="003F6F3D" w:rsidRDefault="00000E53" w:rsidP="00000E53">
      <w:pPr>
        <w:widowControl w:val="0"/>
        <w:autoSpaceDE w:val="0"/>
        <w:autoSpaceDN w:val="0"/>
        <w:adjustRightInd w:val="0"/>
        <w:ind w:firstLine="709"/>
        <w:jc w:val="both"/>
        <w:rPr>
          <w:sz w:val="28"/>
          <w:szCs w:val="28"/>
        </w:rPr>
      </w:pPr>
      <w:r w:rsidRPr="003F6F3D">
        <w:rPr>
          <w:sz w:val="28"/>
          <w:szCs w:val="28"/>
        </w:rPr>
        <w:t xml:space="preserve">Дотации на выравнивание уровня бюджетной обеспеченности предоставлены всем местным бюджетам. Наибольший объем указанной дотации направлен Анадырскому муниципальному району (в 2018 году – 475 182,4 тыс. рублей, в 2019 году – 577 028,6 тыс. рублей, в 2020 году – 708 305,5 тыс. рублей). </w:t>
      </w:r>
    </w:p>
    <w:p w:rsidR="00000E53" w:rsidRPr="003F6F3D" w:rsidRDefault="00000E53" w:rsidP="00000E53">
      <w:pPr>
        <w:ind w:firstLine="709"/>
        <w:jc w:val="both"/>
        <w:rPr>
          <w:sz w:val="28"/>
          <w:szCs w:val="28"/>
        </w:rPr>
      </w:pPr>
      <w:r w:rsidRPr="003F6F3D">
        <w:rPr>
          <w:sz w:val="28"/>
          <w:szCs w:val="28"/>
        </w:rPr>
        <w:t xml:space="preserve">Дотации на поддержку мер по обеспечению сбалансированности бюджетов направлены городским округам и муниципальным районам, наибольший объем направлен в 2018 году Чукотскому муниципальному району – 50 380,6 тыс. рублей, в 2019 году городскому округу </w:t>
      </w:r>
      <w:proofErr w:type="spellStart"/>
      <w:r w:rsidRPr="003F6F3D">
        <w:rPr>
          <w:sz w:val="28"/>
          <w:szCs w:val="28"/>
        </w:rPr>
        <w:t>Певеку</w:t>
      </w:r>
      <w:proofErr w:type="spellEnd"/>
      <w:r w:rsidRPr="003F6F3D">
        <w:rPr>
          <w:sz w:val="28"/>
          <w:szCs w:val="28"/>
        </w:rPr>
        <w:t xml:space="preserve"> – 310 506,7 тыс. рублей, в 2020 году городскому округу </w:t>
      </w:r>
      <w:proofErr w:type="spellStart"/>
      <w:r w:rsidRPr="003F6F3D">
        <w:rPr>
          <w:sz w:val="28"/>
          <w:szCs w:val="28"/>
        </w:rPr>
        <w:t>Эгвекиноту</w:t>
      </w:r>
      <w:proofErr w:type="spellEnd"/>
      <w:r w:rsidRPr="003F6F3D">
        <w:rPr>
          <w:sz w:val="28"/>
          <w:szCs w:val="28"/>
        </w:rPr>
        <w:t xml:space="preserve"> – 955 649,8 тыс. рублей.</w:t>
      </w:r>
    </w:p>
    <w:p w:rsidR="00000E53" w:rsidRPr="003F6F3D" w:rsidRDefault="00000E53" w:rsidP="00000E53">
      <w:pPr>
        <w:spacing w:line="264" w:lineRule="auto"/>
        <w:ind w:firstLine="709"/>
        <w:jc w:val="both"/>
        <w:rPr>
          <w:sz w:val="28"/>
          <w:szCs w:val="28"/>
        </w:rPr>
      </w:pPr>
      <w:r w:rsidRPr="003F6F3D">
        <w:rPr>
          <w:sz w:val="28"/>
          <w:szCs w:val="28"/>
        </w:rPr>
        <w:t xml:space="preserve">Проверкой выполнения отдельных условий, определенных соглашениями о предоставлении дотаций Чукотскому муниципальному району в 2019 году и </w:t>
      </w:r>
      <w:proofErr w:type="spellStart"/>
      <w:r w:rsidRPr="003F6F3D">
        <w:rPr>
          <w:sz w:val="28"/>
          <w:szCs w:val="28"/>
        </w:rPr>
        <w:t>Провиденского</w:t>
      </w:r>
      <w:proofErr w:type="spellEnd"/>
      <w:r w:rsidRPr="003F6F3D">
        <w:rPr>
          <w:sz w:val="28"/>
          <w:szCs w:val="28"/>
        </w:rPr>
        <w:t xml:space="preserve"> городскому округу в 2020 году, установлено следующее.</w:t>
      </w:r>
    </w:p>
    <w:p w:rsidR="00000E53" w:rsidRPr="003F6F3D" w:rsidRDefault="00000E53" w:rsidP="00000E53">
      <w:pPr>
        <w:spacing w:line="264" w:lineRule="auto"/>
        <w:ind w:firstLine="709"/>
        <w:jc w:val="both"/>
        <w:rPr>
          <w:sz w:val="28"/>
          <w:szCs w:val="28"/>
        </w:rPr>
      </w:pPr>
      <w:r w:rsidRPr="003F6F3D">
        <w:rPr>
          <w:sz w:val="28"/>
          <w:szCs w:val="28"/>
        </w:rPr>
        <w:t>Отчеты об исполнении обязательств получателями дотаций представлялись своевременно и в полном объеме.</w:t>
      </w:r>
    </w:p>
    <w:p w:rsidR="00000E53" w:rsidRPr="003F6F3D" w:rsidRDefault="00000E53" w:rsidP="00000E53">
      <w:pPr>
        <w:spacing w:line="264" w:lineRule="auto"/>
        <w:ind w:firstLine="709"/>
        <w:jc w:val="both"/>
        <w:rPr>
          <w:sz w:val="28"/>
          <w:szCs w:val="28"/>
        </w:rPr>
      </w:pPr>
      <w:r w:rsidRPr="003F6F3D">
        <w:rPr>
          <w:sz w:val="28"/>
          <w:szCs w:val="28"/>
        </w:rPr>
        <w:t>По итогам исполнения местных бюджетов за 2019 и 2020 годы обеспечен рост налоговых и неналоговых доходов, в том числе:</w:t>
      </w:r>
    </w:p>
    <w:p w:rsidR="00000E53" w:rsidRPr="003F6F3D" w:rsidRDefault="00000E53" w:rsidP="00000E53">
      <w:pPr>
        <w:spacing w:line="264" w:lineRule="auto"/>
        <w:ind w:firstLine="709"/>
        <w:jc w:val="both"/>
        <w:rPr>
          <w:sz w:val="28"/>
          <w:szCs w:val="28"/>
        </w:rPr>
      </w:pPr>
      <w:r w:rsidRPr="003F6F3D">
        <w:rPr>
          <w:sz w:val="28"/>
          <w:szCs w:val="28"/>
        </w:rPr>
        <w:t xml:space="preserve">- Чукотский муниципальный район – рост составил 20% (с 70 740,0 тыс. рублей в 2018 году до 85 024,5 тыс. рублей в 2019 году);  </w:t>
      </w:r>
    </w:p>
    <w:p w:rsidR="00000E53" w:rsidRPr="003F6F3D" w:rsidRDefault="00000E53" w:rsidP="00000E53">
      <w:pPr>
        <w:spacing w:line="264" w:lineRule="auto"/>
        <w:ind w:firstLine="709"/>
        <w:jc w:val="both"/>
        <w:rPr>
          <w:sz w:val="28"/>
          <w:szCs w:val="28"/>
        </w:rPr>
      </w:pPr>
      <w:r w:rsidRPr="003F6F3D">
        <w:rPr>
          <w:sz w:val="28"/>
          <w:szCs w:val="28"/>
        </w:rPr>
        <w:t>- </w:t>
      </w:r>
      <w:proofErr w:type="spellStart"/>
      <w:r w:rsidRPr="003F6F3D">
        <w:rPr>
          <w:sz w:val="28"/>
          <w:szCs w:val="28"/>
        </w:rPr>
        <w:t>Провиденский</w:t>
      </w:r>
      <w:proofErr w:type="spellEnd"/>
      <w:r w:rsidRPr="003F6F3D">
        <w:rPr>
          <w:sz w:val="28"/>
          <w:szCs w:val="28"/>
        </w:rPr>
        <w:t xml:space="preserve"> городской округ – рост составил 19,4% (с 1 013 329,5 тыс. рублей в 2019 году до 1 210 137,6 тыс. рублей в 2020 году).  </w:t>
      </w:r>
    </w:p>
    <w:p w:rsidR="00000E53" w:rsidRPr="003F6F3D" w:rsidRDefault="00000E53" w:rsidP="00000E53">
      <w:pPr>
        <w:ind w:firstLine="709"/>
        <w:jc w:val="both"/>
        <w:rPr>
          <w:sz w:val="28"/>
          <w:szCs w:val="28"/>
        </w:rPr>
      </w:pPr>
      <w:r w:rsidRPr="003F6F3D">
        <w:rPr>
          <w:sz w:val="28"/>
          <w:szCs w:val="28"/>
        </w:rPr>
        <w:t>Нормативы формирования расходов на содержание органов местного самоуправления муниципальных образований Чукотского автономного округа, установленные Правительством Чукотского автономного округа</w:t>
      </w:r>
      <w:r w:rsidRPr="003F6F3D">
        <w:rPr>
          <w:rStyle w:val="ab"/>
          <w:sz w:val="28"/>
          <w:szCs w:val="28"/>
        </w:rPr>
        <w:footnoteReference w:id="203"/>
      </w:r>
      <w:r w:rsidRPr="003F6F3D">
        <w:rPr>
          <w:sz w:val="28"/>
          <w:szCs w:val="28"/>
        </w:rPr>
        <w:t>, в отчетном периоде не превышены:</w:t>
      </w:r>
    </w:p>
    <w:p w:rsidR="00000E53" w:rsidRPr="003F6F3D" w:rsidRDefault="00000E53" w:rsidP="00000E53">
      <w:pPr>
        <w:spacing w:line="264" w:lineRule="auto"/>
        <w:ind w:firstLine="709"/>
        <w:jc w:val="both"/>
        <w:rPr>
          <w:sz w:val="28"/>
          <w:szCs w:val="28"/>
        </w:rPr>
      </w:pPr>
      <w:r w:rsidRPr="003F6F3D">
        <w:rPr>
          <w:sz w:val="28"/>
          <w:szCs w:val="28"/>
        </w:rPr>
        <w:t xml:space="preserve">- Чукотский муниципальный район – при установленном нормативе 131 856,0 тыс. рублей, фактические расходы составили 103 502,6 тыс. рублей;  </w:t>
      </w:r>
    </w:p>
    <w:p w:rsidR="00000E53" w:rsidRPr="003F6F3D" w:rsidRDefault="00000E53" w:rsidP="00000E53">
      <w:pPr>
        <w:spacing w:line="264" w:lineRule="auto"/>
        <w:ind w:firstLine="709"/>
        <w:jc w:val="both"/>
        <w:rPr>
          <w:sz w:val="28"/>
          <w:szCs w:val="28"/>
        </w:rPr>
      </w:pPr>
      <w:r w:rsidRPr="003F6F3D">
        <w:rPr>
          <w:sz w:val="28"/>
          <w:szCs w:val="28"/>
        </w:rPr>
        <w:t>- </w:t>
      </w:r>
      <w:proofErr w:type="spellStart"/>
      <w:r w:rsidRPr="003F6F3D">
        <w:rPr>
          <w:sz w:val="28"/>
          <w:szCs w:val="28"/>
        </w:rPr>
        <w:t>Провиденский</w:t>
      </w:r>
      <w:proofErr w:type="spellEnd"/>
      <w:r w:rsidRPr="003F6F3D">
        <w:rPr>
          <w:sz w:val="28"/>
          <w:szCs w:val="28"/>
        </w:rPr>
        <w:t xml:space="preserve"> городской округ – при установленном – 123 212,5 тыс. рублей, расходы составили 121 166,2 тыс. рублей.</w:t>
      </w:r>
    </w:p>
    <w:p w:rsidR="00000E53" w:rsidRPr="003F6F3D" w:rsidRDefault="00000E53" w:rsidP="00000E53">
      <w:pPr>
        <w:spacing w:line="264" w:lineRule="auto"/>
        <w:ind w:firstLine="709"/>
        <w:jc w:val="both"/>
        <w:rPr>
          <w:sz w:val="28"/>
          <w:szCs w:val="28"/>
        </w:rPr>
      </w:pPr>
      <w:r w:rsidRPr="003F6F3D">
        <w:rPr>
          <w:sz w:val="28"/>
          <w:szCs w:val="28"/>
        </w:rPr>
        <w:t xml:space="preserve">Решения о повышении оплаты труда работникам органов местного самоуправления сверх темпов и сроков, предусмотренных для работников органов государственной власти на региональном уровне, в отчетных периодах не принимались. </w:t>
      </w:r>
    </w:p>
    <w:p w:rsidR="00000E53" w:rsidRPr="003F6F3D" w:rsidRDefault="00000E53" w:rsidP="00000E53">
      <w:pPr>
        <w:autoSpaceDE w:val="0"/>
        <w:autoSpaceDN w:val="0"/>
        <w:adjustRightInd w:val="0"/>
        <w:spacing w:line="264" w:lineRule="auto"/>
        <w:ind w:firstLine="709"/>
        <w:jc w:val="both"/>
        <w:rPr>
          <w:sz w:val="28"/>
          <w:szCs w:val="28"/>
        </w:rPr>
      </w:pPr>
      <w:r w:rsidRPr="003F6F3D">
        <w:rPr>
          <w:sz w:val="28"/>
          <w:szCs w:val="28"/>
        </w:rPr>
        <w:t>Численность работников органов местного самоуправления в отчетном периоде не увеличивалась, в том числе:</w:t>
      </w:r>
    </w:p>
    <w:p w:rsidR="00000E53" w:rsidRPr="003F6F3D" w:rsidRDefault="00000E53" w:rsidP="00000E53">
      <w:pPr>
        <w:spacing w:line="264" w:lineRule="auto"/>
        <w:ind w:firstLine="709"/>
        <w:jc w:val="both"/>
        <w:rPr>
          <w:sz w:val="28"/>
          <w:szCs w:val="28"/>
        </w:rPr>
      </w:pPr>
      <w:r w:rsidRPr="003F6F3D">
        <w:rPr>
          <w:sz w:val="28"/>
          <w:szCs w:val="28"/>
        </w:rPr>
        <w:t>- Чукотский муниципальный район – по состоянию на 1 января 2019 года плановая численность составляла 105 штатных единиц, фактическая – 97 штатных единиц, по состоянию на 1 января 2020 года плановая составила 39 штатных единиц, фактическая – 35 штатных единиц</w:t>
      </w:r>
      <w:r w:rsidRPr="003F6F3D">
        <w:rPr>
          <w:rStyle w:val="ab"/>
          <w:sz w:val="28"/>
          <w:szCs w:val="28"/>
        </w:rPr>
        <w:footnoteReference w:id="204"/>
      </w:r>
      <w:r w:rsidRPr="003F6F3D">
        <w:rPr>
          <w:sz w:val="28"/>
          <w:szCs w:val="28"/>
        </w:rPr>
        <w:t xml:space="preserve">;  </w:t>
      </w:r>
    </w:p>
    <w:p w:rsidR="00000E53" w:rsidRPr="003F6F3D" w:rsidRDefault="00000E53" w:rsidP="00000E53">
      <w:pPr>
        <w:spacing w:line="264" w:lineRule="auto"/>
        <w:ind w:firstLine="709"/>
        <w:jc w:val="both"/>
        <w:rPr>
          <w:sz w:val="28"/>
          <w:szCs w:val="28"/>
        </w:rPr>
      </w:pPr>
      <w:r w:rsidRPr="003F6F3D">
        <w:rPr>
          <w:sz w:val="28"/>
          <w:szCs w:val="28"/>
        </w:rPr>
        <w:t>- </w:t>
      </w:r>
      <w:proofErr w:type="spellStart"/>
      <w:r w:rsidRPr="003F6F3D">
        <w:rPr>
          <w:sz w:val="28"/>
          <w:szCs w:val="28"/>
        </w:rPr>
        <w:t>Провиденский</w:t>
      </w:r>
      <w:proofErr w:type="spellEnd"/>
      <w:r w:rsidRPr="003F6F3D">
        <w:rPr>
          <w:sz w:val="28"/>
          <w:szCs w:val="28"/>
        </w:rPr>
        <w:t xml:space="preserve"> городской округ – по состоянию на 1 января 2020 года плановая численность составляла 61 штатную единицу, фактическая – 55 штатных единиц, по состоянию на 1 января 2021 года плановая составила 59 штатных единиц, фактическая – 55,5 штатных единиц. </w:t>
      </w:r>
    </w:p>
    <w:p w:rsidR="00000E53" w:rsidRPr="003F6F3D" w:rsidRDefault="00000E53" w:rsidP="00000E53">
      <w:pPr>
        <w:spacing w:line="264" w:lineRule="auto"/>
        <w:ind w:firstLine="709"/>
        <w:jc w:val="both"/>
        <w:rPr>
          <w:iCs/>
          <w:sz w:val="28"/>
          <w:szCs w:val="28"/>
        </w:rPr>
      </w:pPr>
      <w:r w:rsidRPr="003F6F3D">
        <w:rPr>
          <w:sz w:val="28"/>
          <w:szCs w:val="28"/>
        </w:rPr>
        <w:t xml:space="preserve">Основные условия, определенные соглашениями при предоставлении дотаций, муниципальными образованиями Чукотским муниципальным районом в 2019 году и </w:t>
      </w:r>
      <w:proofErr w:type="spellStart"/>
      <w:r w:rsidRPr="003F6F3D">
        <w:rPr>
          <w:sz w:val="28"/>
          <w:szCs w:val="28"/>
        </w:rPr>
        <w:t>Провиденским</w:t>
      </w:r>
      <w:proofErr w:type="spellEnd"/>
      <w:r w:rsidRPr="003F6F3D">
        <w:rPr>
          <w:sz w:val="28"/>
          <w:szCs w:val="28"/>
        </w:rPr>
        <w:t xml:space="preserve"> городским округом в 2020 году </w:t>
      </w:r>
      <w:r w:rsidRPr="003F6F3D">
        <w:rPr>
          <w:iCs/>
          <w:sz w:val="28"/>
          <w:szCs w:val="28"/>
        </w:rPr>
        <w:t xml:space="preserve">выполнены. </w:t>
      </w:r>
    </w:p>
    <w:p w:rsidR="00000E53" w:rsidRPr="003F6F3D" w:rsidRDefault="00000E53" w:rsidP="00000E53">
      <w:pPr>
        <w:spacing w:before="120"/>
        <w:ind w:firstLine="709"/>
        <w:jc w:val="both"/>
        <w:rPr>
          <w:sz w:val="28"/>
          <w:szCs w:val="28"/>
        </w:rPr>
      </w:pPr>
      <w:r w:rsidRPr="003F6F3D">
        <w:rPr>
          <w:b/>
          <w:sz w:val="28"/>
          <w:szCs w:val="28"/>
        </w:rPr>
        <w:t>Субсидии</w:t>
      </w:r>
      <w:r w:rsidRPr="003F6F3D">
        <w:rPr>
          <w:sz w:val="28"/>
          <w:szCs w:val="28"/>
        </w:rPr>
        <w:t xml:space="preserve"> на </w:t>
      </w:r>
      <w:proofErr w:type="spellStart"/>
      <w:r w:rsidRPr="003F6F3D">
        <w:rPr>
          <w:sz w:val="28"/>
          <w:szCs w:val="28"/>
        </w:rPr>
        <w:t>софинансирование</w:t>
      </w:r>
      <w:proofErr w:type="spellEnd"/>
      <w:r w:rsidRPr="003F6F3D">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предоставлены на общую сумму 5 339 019,0 тыс. рублей, в том числе:</w:t>
      </w:r>
    </w:p>
    <w:p w:rsidR="00000E53" w:rsidRPr="003F6F3D" w:rsidRDefault="00000E53" w:rsidP="00000E53">
      <w:pPr>
        <w:widowControl w:val="0"/>
        <w:autoSpaceDE w:val="0"/>
        <w:autoSpaceDN w:val="0"/>
        <w:adjustRightInd w:val="0"/>
        <w:ind w:firstLine="709"/>
        <w:jc w:val="both"/>
        <w:rPr>
          <w:sz w:val="28"/>
          <w:szCs w:val="28"/>
        </w:rPr>
      </w:pPr>
      <w:r w:rsidRPr="003F6F3D">
        <w:rPr>
          <w:sz w:val="28"/>
          <w:szCs w:val="28"/>
        </w:rPr>
        <w:t>- в 2018 году – 1 209 244,4 тыс. рублей или 94,1% утвержденных назначений (план – 1 324 731,4 тыс. рублей);</w:t>
      </w:r>
    </w:p>
    <w:p w:rsidR="00000E53" w:rsidRPr="003F6F3D" w:rsidRDefault="00000E53" w:rsidP="00000E53">
      <w:pPr>
        <w:ind w:firstLine="709"/>
        <w:jc w:val="both"/>
        <w:rPr>
          <w:sz w:val="28"/>
          <w:szCs w:val="28"/>
        </w:rPr>
      </w:pPr>
      <w:r w:rsidRPr="003F6F3D">
        <w:rPr>
          <w:sz w:val="28"/>
          <w:szCs w:val="28"/>
        </w:rPr>
        <w:t>- в 2019 году – 1 351 026,7 тыс. рублей или 97% (1 510 740,6 тыс. рублей);</w:t>
      </w:r>
    </w:p>
    <w:p w:rsidR="00000E53" w:rsidRPr="003F6F3D" w:rsidRDefault="00000E53" w:rsidP="00000E53">
      <w:pPr>
        <w:ind w:firstLine="709"/>
        <w:jc w:val="both"/>
        <w:rPr>
          <w:sz w:val="28"/>
          <w:szCs w:val="28"/>
        </w:rPr>
      </w:pPr>
      <w:r w:rsidRPr="003F6F3D">
        <w:rPr>
          <w:sz w:val="28"/>
          <w:szCs w:val="28"/>
        </w:rPr>
        <w:t>- в 2020 году – 2 778 747,9 тыс. рублей или 94,2% (2 948 981,0 тыс. рублей).</w:t>
      </w:r>
    </w:p>
    <w:p w:rsidR="00000E53" w:rsidRPr="003F6F3D" w:rsidRDefault="00000E53" w:rsidP="00000E53">
      <w:pPr>
        <w:widowControl w:val="0"/>
        <w:autoSpaceDE w:val="0"/>
        <w:autoSpaceDN w:val="0"/>
        <w:adjustRightInd w:val="0"/>
        <w:spacing w:before="120"/>
        <w:ind w:firstLine="709"/>
        <w:jc w:val="both"/>
        <w:rPr>
          <w:rFonts w:eastAsiaTheme="minorHAnsi"/>
          <w:sz w:val="28"/>
          <w:szCs w:val="28"/>
        </w:rPr>
      </w:pPr>
      <w:r w:rsidRPr="003F6F3D">
        <w:rPr>
          <w:sz w:val="28"/>
          <w:szCs w:val="28"/>
        </w:rPr>
        <w:t xml:space="preserve">Субсидия на реализацию мероприятий, связанных с </w:t>
      </w:r>
      <w:r w:rsidRPr="003F6F3D">
        <w:rPr>
          <w:rFonts w:eastAsiaTheme="minorHAnsi"/>
          <w:sz w:val="28"/>
          <w:szCs w:val="28"/>
        </w:rPr>
        <w:t xml:space="preserve">обеспечением жителей округа социально значимыми продовольственными товарами, в структуре занимает наибольшую долю в 2018 году – 43,2% (522 224,1 тыс. рублей) и в 2019 году – 42,8% (578 890,7 тыс. рублей), в 2020 году при увеличении в стоимостном выражении (806 194,3 тыс. рублей) доля в общем объеме предоставленных субсидий снизилась до 29%. </w:t>
      </w:r>
    </w:p>
    <w:p w:rsidR="00000E53" w:rsidRPr="003F6F3D" w:rsidRDefault="00000E53" w:rsidP="00000E53">
      <w:pPr>
        <w:ind w:firstLine="709"/>
        <w:jc w:val="both"/>
        <w:rPr>
          <w:rFonts w:eastAsiaTheme="minorHAnsi"/>
          <w:sz w:val="28"/>
          <w:szCs w:val="28"/>
        </w:rPr>
      </w:pPr>
      <w:r w:rsidRPr="003F6F3D">
        <w:rPr>
          <w:rFonts w:eastAsiaTheme="minorHAnsi"/>
          <w:sz w:val="28"/>
          <w:szCs w:val="28"/>
        </w:rPr>
        <w:t xml:space="preserve">Субсидия предоставлялась: </w:t>
      </w:r>
    </w:p>
    <w:p w:rsidR="00000E53" w:rsidRPr="003F6F3D" w:rsidRDefault="00000E53" w:rsidP="00000E53">
      <w:pPr>
        <w:ind w:firstLine="709"/>
        <w:jc w:val="both"/>
        <w:rPr>
          <w:rFonts w:eastAsiaTheme="minorHAnsi"/>
          <w:sz w:val="28"/>
          <w:szCs w:val="28"/>
        </w:rPr>
      </w:pPr>
      <w:r w:rsidRPr="003F6F3D">
        <w:rPr>
          <w:rFonts w:eastAsiaTheme="minorHAnsi"/>
          <w:sz w:val="28"/>
          <w:szCs w:val="28"/>
        </w:rPr>
        <w:t>- в 2018 и 2019 годах – Департаментом промышленной политики Чукотского автономного округа в рамках реализации государственной программы Чукотского автономного округа «Стимулирование экономической активности населения Чукотского автономного округа»</w:t>
      </w:r>
      <w:r w:rsidRPr="003F6F3D">
        <w:rPr>
          <w:rStyle w:val="ab"/>
          <w:rFonts w:eastAsiaTheme="minorHAnsi"/>
          <w:sz w:val="28"/>
          <w:szCs w:val="28"/>
        </w:rPr>
        <w:footnoteReference w:id="205"/>
      </w:r>
      <w:r w:rsidRPr="003F6F3D">
        <w:rPr>
          <w:rFonts w:eastAsiaTheme="minorHAnsi"/>
          <w:sz w:val="28"/>
          <w:szCs w:val="28"/>
        </w:rPr>
        <w:t>;</w:t>
      </w:r>
    </w:p>
    <w:p w:rsidR="00000E53" w:rsidRPr="003F6F3D" w:rsidRDefault="00000E53" w:rsidP="00000E53">
      <w:pPr>
        <w:ind w:firstLine="709"/>
        <w:jc w:val="both"/>
        <w:rPr>
          <w:rFonts w:eastAsiaTheme="minorHAnsi"/>
          <w:sz w:val="28"/>
          <w:szCs w:val="28"/>
        </w:rPr>
      </w:pPr>
      <w:r w:rsidRPr="003F6F3D">
        <w:rPr>
          <w:rFonts w:eastAsiaTheme="minorHAnsi"/>
          <w:sz w:val="28"/>
          <w:szCs w:val="28"/>
        </w:rPr>
        <w:t>- в 2020 году – Департаментом сельского хозяйства и продовольствия Чукотского автономного округа в рамках государственной программы Чукотского автономного округа «Развитие агропромышленного комплекса Чукотского автономного округа»</w:t>
      </w:r>
      <w:r w:rsidRPr="003F6F3D">
        <w:rPr>
          <w:rStyle w:val="ab"/>
          <w:rFonts w:eastAsiaTheme="minorHAnsi"/>
          <w:sz w:val="28"/>
          <w:szCs w:val="28"/>
        </w:rPr>
        <w:footnoteReference w:id="206"/>
      </w:r>
      <w:r w:rsidRPr="003F6F3D">
        <w:rPr>
          <w:rFonts w:eastAsiaTheme="minorHAnsi"/>
          <w:sz w:val="28"/>
          <w:szCs w:val="28"/>
        </w:rPr>
        <w:t>.</w:t>
      </w:r>
    </w:p>
    <w:p w:rsidR="00000E53" w:rsidRPr="003F6F3D" w:rsidRDefault="00000E53" w:rsidP="00000E53">
      <w:pPr>
        <w:widowControl w:val="0"/>
        <w:autoSpaceDE w:val="0"/>
        <w:autoSpaceDN w:val="0"/>
        <w:adjustRightInd w:val="0"/>
        <w:ind w:firstLine="709"/>
        <w:jc w:val="both"/>
        <w:rPr>
          <w:rFonts w:eastAsiaTheme="minorHAnsi"/>
          <w:sz w:val="28"/>
          <w:szCs w:val="28"/>
        </w:rPr>
      </w:pPr>
      <w:r w:rsidRPr="003F6F3D">
        <w:rPr>
          <w:rFonts w:eastAsiaTheme="minorHAnsi"/>
          <w:sz w:val="28"/>
          <w:szCs w:val="28"/>
        </w:rPr>
        <w:t xml:space="preserve">Указанная субсидия направлялась городским округам </w:t>
      </w:r>
      <w:proofErr w:type="spellStart"/>
      <w:r w:rsidRPr="003F6F3D">
        <w:rPr>
          <w:rFonts w:eastAsiaTheme="minorHAnsi"/>
          <w:sz w:val="28"/>
          <w:szCs w:val="28"/>
        </w:rPr>
        <w:t>Певек</w:t>
      </w:r>
      <w:proofErr w:type="spellEnd"/>
      <w:r w:rsidRPr="003F6F3D">
        <w:rPr>
          <w:rFonts w:eastAsiaTheme="minorHAnsi"/>
          <w:sz w:val="28"/>
          <w:szCs w:val="28"/>
        </w:rPr>
        <w:t xml:space="preserve">, </w:t>
      </w:r>
      <w:proofErr w:type="spellStart"/>
      <w:r w:rsidRPr="003F6F3D">
        <w:rPr>
          <w:rFonts w:eastAsiaTheme="minorHAnsi"/>
          <w:sz w:val="28"/>
          <w:szCs w:val="28"/>
        </w:rPr>
        <w:t>Эгвекинот</w:t>
      </w:r>
      <w:proofErr w:type="spellEnd"/>
      <w:r w:rsidRPr="003F6F3D">
        <w:rPr>
          <w:rFonts w:eastAsiaTheme="minorHAnsi"/>
          <w:sz w:val="28"/>
          <w:szCs w:val="28"/>
        </w:rPr>
        <w:t xml:space="preserve">, </w:t>
      </w:r>
      <w:proofErr w:type="spellStart"/>
      <w:r w:rsidRPr="003F6F3D">
        <w:rPr>
          <w:rFonts w:eastAsiaTheme="minorHAnsi"/>
          <w:sz w:val="28"/>
          <w:szCs w:val="28"/>
        </w:rPr>
        <w:t>Провиденский</w:t>
      </w:r>
      <w:proofErr w:type="spellEnd"/>
      <w:r w:rsidRPr="003F6F3D">
        <w:rPr>
          <w:rFonts w:eastAsiaTheme="minorHAnsi"/>
          <w:sz w:val="28"/>
          <w:szCs w:val="28"/>
        </w:rPr>
        <w:t xml:space="preserve"> и муниципальным районам Анадырскому, </w:t>
      </w:r>
      <w:proofErr w:type="spellStart"/>
      <w:r w:rsidRPr="003F6F3D">
        <w:rPr>
          <w:rFonts w:eastAsiaTheme="minorHAnsi"/>
          <w:sz w:val="28"/>
          <w:szCs w:val="28"/>
        </w:rPr>
        <w:t>Билибинскому</w:t>
      </w:r>
      <w:proofErr w:type="spellEnd"/>
      <w:r w:rsidRPr="003F6F3D">
        <w:rPr>
          <w:rFonts w:eastAsiaTheme="minorHAnsi"/>
          <w:sz w:val="28"/>
          <w:szCs w:val="28"/>
        </w:rPr>
        <w:t xml:space="preserve"> и Чукотскому, из них наибольший объем направлен Анадырскому муниципальному району в 2018 году – 144 496,9 тыс. рублей, в 2019 году – 171 920,5 тыс. рублей, в 2020 году – 227 368,9 тыс. рублей.</w:t>
      </w:r>
    </w:p>
    <w:p w:rsidR="00000E53" w:rsidRPr="003F6F3D" w:rsidRDefault="00000E53" w:rsidP="00000E53">
      <w:pPr>
        <w:autoSpaceDE w:val="0"/>
        <w:autoSpaceDN w:val="0"/>
        <w:adjustRightInd w:val="0"/>
        <w:ind w:firstLine="709"/>
        <w:jc w:val="both"/>
        <w:rPr>
          <w:rFonts w:eastAsiaTheme="minorHAnsi"/>
          <w:sz w:val="28"/>
          <w:szCs w:val="28"/>
        </w:rPr>
      </w:pPr>
      <w:bookmarkStart w:id="97" w:name="_Hlk105691782"/>
      <w:r w:rsidRPr="003F6F3D">
        <w:rPr>
          <w:rFonts w:eastAsiaTheme="minorHAnsi"/>
          <w:sz w:val="28"/>
          <w:szCs w:val="28"/>
        </w:rPr>
        <w:t>Условия, определенные общими требованиями к расходным обязательствам органов местного самоуправления по обеспечению жителей округа социально значимыми продовольственными товарами</w:t>
      </w:r>
      <w:r w:rsidRPr="003F6F3D">
        <w:rPr>
          <w:rStyle w:val="ab"/>
          <w:sz w:val="28"/>
          <w:szCs w:val="28"/>
          <w:lang w:bidi="en-US"/>
        </w:rPr>
        <w:footnoteReference w:id="207"/>
      </w:r>
      <w:r w:rsidRPr="003F6F3D">
        <w:rPr>
          <w:rFonts w:eastAsiaTheme="minorHAnsi"/>
          <w:sz w:val="28"/>
          <w:szCs w:val="28"/>
        </w:rPr>
        <w:t>, по данным отчетов выполнены:</w:t>
      </w:r>
    </w:p>
    <w:p w:rsidR="00000E53" w:rsidRPr="003F6F3D" w:rsidRDefault="00000E53" w:rsidP="00000E53">
      <w:pPr>
        <w:autoSpaceDE w:val="0"/>
        <w:autoSpaceDN w:val="0"/>
        <w:adjustRightInd w:val="0"/>
        <w:ind w:firstLine="709"/>
        <w:jc w:val="both"/>
        <w:rPr>
          <w:sz w:val="28"/>
          <w:szCs w:val="28"/>
          <w:lang w:bidi="en-US"/>
        </w:rPr>
      </w:pPr>
      <w:r w:rsidRPr="003F6F3D">
        <w:rPr>
          <w:rFonts w:eastAsiaTheme="minorHAnsi"/>
          <w:sz w:val="28"/>
          <w:szCs w:val="28"/>
        </w:rPr>
        <w:t>- </w:t>
      </w:r>
      <w:r w:rsidRPr="003F6F3D">
        <w:rPr>
          <w:sz w:val="28"/>
          <w:szCs w:val="28"/>
          <w:lang w:bidi="en-US"/>
        </w:rPr>
        <w:t>реализация населению социально значимых продовольственных товаров осуществлялась по рекомендуемым Правительством Чукотского автономного округа ценам;</w:t>
      </w:r>
    </w:p>
    <w:p w:rsidR="00000E53" w:rsidRPr="003F6F3D" w:rsidRDefault="00000E53" w:rsidP="00000E53">
      <w:pPr>
        <w:widowControl w:val="0"/>
        <w:ind w:firstLine="709"/>
        <w:jc w:val="both"/>
        <w:rPr>
          <w:sz w:val="28"/>
          <w:szCs w:val="28"/>
          <w:lang w:bidi="en-US"/>
        </w:rPr>
      </w:pPr>
      <w:r w:rsidRPr="003F6F3D">
        <w:rPr>
          <w:sz w:val="28"/>
          <w:szCs w:val="28"/>
          <w:lang w:bidi="en-US"/>
        </w:rPr>
        <w:t>- обеспечено наличие в розничной продаже предметов первой необходимости (утвержденный минимальный перечень).</w:t>
      </w:r>
    </w:p>
    <w:p w:rsidR="00000E53" w:rsidRPr="003F6F3D" w:rsidRDefault="00000E53" w:rsidP="00000E53">
      <w:pPr>
        <w:ind w:firstLine="708"/>
        <w:jc w:val="both"/>
        <w:rPr>
          <w:sz w:val="28"/>
          <w:szCs w:val="28"/>
          <w:lang w:bidi="en-US"/>
        </w:rPr>
      </w:pPr>
    </w:p>
    <w:p w:rsidR="00000E53" w:rsidRPr="003F6F3D" w:rsidRDefault="00000E53" w:rsidP="00000E53">
      <w:pPr>
        <w:ind w:firstLine="708"/>
        <w:jc w:val="both"/>
        <w:rPr>
          <w:sz w:val="28"/>
          <w:szCs w:val="28"/>
          <w:lang w:bidi="en-US"/>
        </w:rPr>
      </w:pPr>
      <w:r w:rsidRPr="003F6F3D">
        <w:rPr>
          <w:sz w:val="28"/>
          <w:szCs w:val="28"/>
          <w:lang w:bidi="en-US"/>
        </w:rPr>
        <w:t>Показатель эффективности реализации мероприятия «</w:t>
      </w:r>
      <w:r w:rsidRPr="003F6F3D">
        <w:rPr>
          <w:sz w:val="28"/>
          <w:szCs w:val="28"/>
        </w:rPr>
        <w:t>Объем реализации населению социально значимых продовольственных товаров» достигнут:</w:t>
      </w:r>
    </w:p>
    <w:p w:rsidR="00000E53" w:rsidRPr="003F6F3D" w:rsidRDefault="00000E53" w:rsidP="00000E53">
      <w:pPr>
        <w:ind w:firstLine="709"/>
        <w:jc w:val="both"/>
        <w:rPr>
          <w:rFonts w:cs="Calibri"/>
          <w:sz w:val="28"/>
          <w:szCs w:val="28"/>
        </w:rPr>
      </w:pPr>
      <w:r w:rsidRPr="003F6F3D">
        <w:rPr>
          <w:sz w:val="28"/>
          <w:szCs w:val="28"/>
          <w:lang w:bidi="en-US"/>
        </w:rPr>
        <w:t xml:space="preserve">- 2018 год – </w:t>
      </w:r>
      <w:r w:rsidRPr="003F6F3D">
        <w:rPr>
          <w:rFonts w:cs="Calibri"/>
          <w:sz w:val="28"/>
          <w:szCs w:val="28"/>
        </w:rPr>
        <w:t>выполнение составило 3 106,1 тонны (план – 2 800,0 тонн) или 110,9%;</w:t>
      </w:r>
    </w:p>
    <w:p w:rsidR="00000E53" w:rsidRPr="003F6F3D" w:rsidRDefault="00000E53" w:rsidP="00000E53">
      <w:pPr>
        <w:ind w:firstLine="709"/>
        <w:jc w:val="both"/>
        <w:rPr>
          <w:rFonts w:cs="Calibri"/>
          <w:sz w:val="28"/>
          <w:szCs w:val="28"/>
        </w:rPr>
      </w:pPr>
      <w:r w:rsidRPr="003F6F3D">
        <w:rPr>
          <w:sz w:val="28"/>
          <w:szCs w:val="28"/>
          <w:lang w:bidi="en-US"/>
        </w:rPr>
        <w:t xml:space="preserve">- 2019 год – </w:t>
      </w:r>
      <w:r w:rsidRPr="003F6F3D">
        <w:rPr>
          <w:rFonts w:cs="Calibri"/>
          <w:sz w:val="28"/>
          <w:szCs w:val="28"/>
        </w:rPr>
        <w:t>выполнение составило 4 955,2 тонны (план – 4 500,0 тонн) или 110,1%;</w:t>
      </w:r>
    </w:p>
    <w:p w:rsidR="00000E53" w:rsidRPr="003F6F3D" w:rsidRDefault="00000E53" w:rsidP="00000E53">
      <w:pPr>
        <w:ind w:firstLine="709"/>
        <w:jc w:val="both"/>
        <w:rPr>
          <w:rFonts w:cs="Calibri"/>
          <w:sz w:val="28"/>
          <w:szCs w:val="28"/>
        </w:rPr>
      </w:pPr>
      <w:r w:rsidRPr="003F6F3D">
        <w:rPr>
          <w:sz w:val="28"/>
          <w:szCs w:val="28"/>
          <w:lang w:bidi="en-US"/>
        </w:rPr>
        <w:t xml:space="preserve">- 2020 год – </w:t>
      </w:r>
      <w:r w:rsidRPr="003F6F3D">
        <w:rPr>
          <w:rFonts w:cs="Calibri"/>
          <w:sz w:val="28"/>
          <w:szCs w:val="28"/>
        </w:rPr>
        <w:t>выполнение составило 4 244,35 тонны (план – 4 200,0 тонн) или 101,1%.</w:t>
      </w:r>
    </w:p>
    <w:p w:rsidR="00000E53" w:rsidRPr="003F6F3D" w:rsidRDefault="00000E53" w:rsidP="00000E53">
      <w:pPr>
        <w:spacing w:before="120"/>
        <w:ind w:firstLine="709"/>
        <w:jc w:val="both"/>
        <w:rPr>
          <w:sz w:val="28"/>
          <w:szCs w:val="28"/>
        </w:rPr>
      </w:pPr>
      <w:r w:rsidRPr="003F6F3D">
        <w:rPr>
          <w:rFonts w:eastAsiaTheme="minorHAnsi"/>
          <w:sz w:val="28"/>
          <w:szCs w:val="28"/>
        </w:rPr>
        <w:t xml:space="preserve">В 2020 году наибольший </w:t>
      </w:r>
      <w:r w:rsidRPr="003F6F3D">
        <w:rPr>
          <w:sz w:val="28"/>
          <w:szCs w:val="28"/>
        </w:rPr>
        <w:t xml:space="preserve">объем субсидии предоставлен </w:t>
      </w:r>
      <w:r w:rsidRPr="003F6F3D">
        <w:rPr>
          <w:rFonts w:eastAsiaTheme="minorHAnsi"/>
          <w:sz w:val="28"/>
          <w:szCs w:val="28"/>
        </w:rPr>
        <w:t>Департаментом промышленной политики Чукотского автономного округа в рамках подпрограммы «Реализация мероприятий по развитию коммунальной инфраструктуры» государственной программы Чукотского автономного округа «</w:t>
      </w:r>
      <w:r w:rsidRPr="003F6F3D">
        <w:rPr>
          <w:sz w:val="28"/>
          <w:szCs w:val="28"/>
        </w:rPr>
        <w:t>Развитие жилищно-коммунального хозяйства и водохозяйственного комплекса Чукотского автономного округа»</w:t>
      </w:r>
      <w:r w:rsidRPr="003F6F3D">
        <w:rPr>
          <w:rStyle w:val="ab"/>
          <w:sz w:val="28"/>
          <w:szCs w:val="28"/>
        </w:rPr>
        <w:footnoteReference w:id="208"/>
      </w:r>
      <w:r w:rsidRPr="003F6F3D">
        <w:rPr>
          <w:sz w:val="28"/>
          <w:szCs w:val="28"/>
        </w:rPr>
        <w:t xml:space="preserve"> на реализацию мер по содействию развития инфраструктуры – модернизация, реконструкция, капитальный ремонт и строительство новых объектов коммунальной и энергетической инфраструктуры города </w:t>
      </w:r>
      <w:proofErr w:type="spellStart"/>
      <w:r w:rsidRPr="003F6F3D">
        <w:rPr>
          <w:sz w:val="28"/>
          <w:szCs w:val="28"/>
        </w:rPr>
        <w:t>Певек</w:t>
      </w:r>
      <w:proofErr w:type="spellEnd"/>
      <w:r w:rsidRPr="003F6F3D">
        <w:rPr>
          <w:sz w:val="28"/>
          <w:szCs w:val="28"/>
        </w:rPr>
        <w:t xml:space="preserve"> – 37,1% или 1 030 000,0 тыс. рублей (средства федерального бюджета – соглашение между Министерством строительства и жилищно-коммунального хозяйства Российской Федерации и Правительством Чукотского автономного округа).</w:t>
      </w:r>
    </w:p>
    <w:p w:rsidR="00000E53" w:rsidRPr="003F6F3D" w:rsidRDefault="00000E53" w:rsidP="00000E53">
      <w:pPr>
        <w:ind w:firstLine="709"/>
        <w:jc w:val="both"/>
        <w:rPr>
          <w:sz w:val="28"/>
          <w:szCs w:val="28"/>
        </w:rPr>
      </w:pPr>
      <w:r w:rsidRPr="003F6F3D">
        <w:rPr>
          <w:sz w:val="28"/>
          <w:szCs w:val="28"/>
        </w:rPr>
        <w:t xml:space="preserve">Администрацией городского округа </w:t>
      </w:r>
      <w:proofErr w:type="spellStart"/>
      <w:r w:rsidRPr="003F6F3D">
        <w:rPr>
          <w:sz w:val="28"/>
          <w:szCs w:val="28"/>
        </w:rPr>
        <w:t>Певек</w:t>
      </w:r>
      <w:proofErr w:type="spellEnd"/>
      <w:r w:rsidRPr="003F6F3D">
        <w:rPr>
          <w:sz w:val="28"/>
          <w:szCs w:val="28"/>
        </w:rPr>
        <w:t xml:space="preserve"> для реализации мероприятия «Инженерные сети тепло, водоснабжения и водоотведения (канализация) в г. </w:t>
      </w:r>
      <w:proofErr w:type="spellStart"/>
      <w:r w:rsidRPr="003F6F3D">
        <w:rPr>
          <w:sz w:val="28"/>
          <w:szCs w:val="28"/>
        </w:rPr>
        <w:t>Певек</w:t>
      </w:r>
      <w:proofErr w:type="spellEnd"/>
      <w:r w:rsidRPr="003F6F3D">
        <w:rPr>
          <w:sz w:val="28"/>
          <w:szCs w:val="28"/>
        </w:rPr>
        <w:t>» заключен муниципальный контракт с АО «</w:t>
      </w:r>
      <w:proofErr w:type="spellStart"/>
      <w:r w:rsidRPr="003F6F3D">
        <w:rPr>
          <w:sz w:val="28"/>
          <w:szCs w:val="28"/>
        </w:rPr>
        <w:t>Эльконский</w:t>
      </w:r>
      <w:proofErr w:type="spellEnd"/>
      <w:r w:rsidRPr="003F6F3D">
        <w:rPr>
          <w:sz w:val="28"/>
          <w:szCs w:val="28"/>
        </w:rPr>
        <w:t xml:space="preserve"> горно-металлургический комбинат», срок окончания работ – 2021 год. В соответствии с Протокольным решением Министерства энергетики Российской Федерации срок окончания работ по контракту продлен до октября 2022 года.</w:t>
      </w:r>
    </w:p>
    <w:bookmarkEnd w:id="97"/>
    <w:p w:rsidR="00000E53" w:rsidRPr="003F6F3D" w:rsidRDefault="00000E53" w:rsidP="00000E53">
      <w:pPr>
        <w:spacing w:before="120"/>
        <w:ind w:firstLine="709"/>
        <w:jc w:val="both"/>
        <w:rPr>
          <w:sz w:val="28"/>
          <w:szCs w:val="28"/>
        </w:rPr>
      </w:pPr>
      <w:r w:rsidRPr="003F6F3D">
        <w:rPr>
          <w:sz w:val="28"/>
          <w:szCs w:val="28"/>
        </w:rPr>
        <w:t xml:space="preserve">В целях финансового обеспечения расходных обязательств, возникающих при выполнении переданных полномочий, из окружного бюджета предоставлены бюджетам муниципальных образований </w:t>
      </w:r>
      <w:r w:rsidRPr="003F6F3D">
        <w:rPr>
          <w:b/>
          <w:sz w:val="28"/>
          <w:szCs w:val="28"/>
        </w:rPr>
        <w:t>субвенции</w:t>
      </w:r>
      <w:r w:rsidRPr="003F6F3D">
        <w:rPr>
          <w:sz w:val="28"/>
          <w:szCs w:val="28"/>
        </w:rPr>
        <w:t xml:space="preserve"> на общую сумму 11 579 376,8 тыс. рублей, в том числе:</w:t>
      </w:r>
    </w:p>
    <w:p w:rsidR="00000E53" w:rsidRPr="003F6F3D" w:rsidRDefault="00000E53" w:rsidP="00000E53">
      <w:pPr>
        <w:widowControl w:val="0"/>
        <w:autoSpaceDE w:val="0"/>
        <w:autoSpaceDN w:val="0"/>
        <w:adjustRightInd w:val="0"/>
        <w:ind w:firstLine="709"/>
        <w:jc w:val="both"/>
        <w:rPr>
          <w:sz w:val="28"/>
          <w:szCs w:val="28"/>
        </w:rPr>
      </w:pPr>
      <w:r w:rsidRPr="003F6F3D">
        <w:rPr>
          <w:sz w:val="28"/>
          <w:szCs w:val="28"/>
        </w:rPr>
        <w:t>- в 2018 году – 3 522 514,3 тыс. рублей или 99,1% утвержденных показателей (план – 3 555 572,5 тыс. рублей);</w:t>
      </w:r>
    </w:p>
    <w:p w:rsidR="00000E53" w:rsidRPr="003F6F3D" w:rsidRDefault="00000E53" w:rsidP="00000E53">
      <w:pPr>
        <w:ind w:firstLine="709"/>
        <w:jc w:val="both"/>
        <w:rPr>
          <w:sz w:val="28"/>
          <w:szCs w:val="28"/>
        </w:rPr>
      </w:pPr>
      <w:r w:rsidRPr="003F6F3D">
        <w:rPr>
          <w:sz w:val="28"/>
          <w:szCs w:val="28"/>
        </w:rPr>
        <w:t>- в 2019 году – 3 829 533,8 тыс. рублей или 99,2% (3 861 067,0 тыс. рублей);</w:t>
      </w:r>
    </w:p>
    <w:p w:rsidR="00000E53" w:rsidRPr="003F6F3D" w:rsidRDefault="00000E53" w:rsidP="00000E53">
      <w:pPr>
        <w:ind w:firstLine="709"/>
        <w:jc w:val="both"/>
        <w:rPr>
          <w:sz w:val="28"/>
          <w:szCs w:val="28"/>
        </w:rPr>
      </w:pPr>
      <w:r w:rsidRPr="003F6F3D">
        <w:rPr>
          <w:sz w:val="28"/>
          <w:szCs w:val="28"/>
        </w:rPr>
        <w:t>- в 2020 году – 4 227 328,7 тыс. рублей или 99,4% (4 253 385,4 тыс. рублей).</w:t>
      </w:r>
    </w:p>
    <w:p w:rsidR="00000E53" w:rsidRPr="003F6F3D" w:rsidRDefault="00000E53" w:rsidP="00000E53">
      <w:pPr>
        <w:ind w:firstLine="709"/>
        <w:jc w:val="both"/>
        <w:rPr>
          <w:sz w:val="28"/>
          <w:szCs w:val="28"/>
        </w:rPr>
      </w:pPr>
      <w:r w:rsidRPr="003F6F3D">
        <w:rPr>
          <w:rFonts w:eastAsiaTheme="minorHAnsi"/>
          <w:sz w:val="28"/>
          <w:szCs w:val="28"/>
        </w:rPr>
        <w:t>В анализируемом периоде наибольшую долю в структуре предоставленных субвенций занимает с</w:t>
      </w:r>
      <w:r w:rsidRPr="003F6F3D">
        <w:rPr>
          <w:sz w:val="28"/>
          <w:szCs w:val="28"/>
        </w:rPr>
        <w:t>убвенция на реализацию прав на получение общедоступного и бесплатного образования в муниципальных образовательных организациях, входящих в Чукотский (</w:t>
      </w:r>
      <w:proofErr w:type="spellStart"/>
      <w:r w:rsidRPr="003F6F3D">
        <w:rPr>
          <w:sz w:val="28"/>
          <w:szCs w:val="28"/>
        </w:rPr>
        <w:t>надмуниципальный</w:t>
      </w:r>
      <w:proofErr w:type="spellEnd"/>
      <w:r w:rsidRPr="003F6F3D">
        <w:rPr>
          <w:sz w:val="28"/>
          <w:szCs w:val="28"/>
        </w:rPr>
        <w:t xml:space="preserve">) образовательный округ (далее – субвенция на образование) в 2018 году – 96,7% (3 404 553,2 тыс. рублей), в 2019 году – 96,9% (3 709 895,4 тыс. рублей), в 2020 году – 96,9% (4 096 166,7 тыс. рублей). Субвенция предоставлялась </w:t>
      </w:r>
      <w:r w:rsidRPr="003F6F3D">
        <w:rPr>
          <w:bCs/>
          <w:sz w:val="28"/>
          <w:szCs w:val="28"/>
        </w:rPr>
        <w:t xml:space="preserve">Департаментом образования и науки Чукотского автономного округа </w:t>
      </w:r>
      <w:r w:rsidRPr="003F6F3D">
        <w:rPr>
          <w:sz w:val="28"/>
          <w:szCs w:val="28"/>
        </w:rPr>
        <w:t>в рамках реализации двух государственных программ Чукотского автономного округа:</w:t>
      </w:r>
    </w:p>
    <w:p w:rsidR="00000E53" w:rsidRPr="003F6F3D" w:rsidRDefault="00000E53" w:rsidP="00000E53">
      <w:pPr>
        <w:ind w:firstLine="709"/>
        <w:jc w:val="both"/>
        <w:rPr>
          <w:bCs/>
          <w:sz w:val="28"/>
          <w:szCs w:val="28"/>
        </w:rPr>
      </w:pPr>
      <w:r w:rsidRPr="003F6F3D">
        <w:rPr>
          <w:sz w:val="28"/>
          <w:szCs w:val="28"/>
        </w:rPr>
        <w:t>- в 2018 году – «</w:t>
      </w:r>
      <w:r w:rsidRPr="003F6F3D">
        <w:rPr>
          <w:bCs/>
          <w:sz w:val="28"/>
          <w:szCs w:val="28"/>
        </w:rPr>
        <w:t>Развитие образования, культуры, спорта, туризма и молодежной политики Чукотского автономного округа»</w:t>
      </w:r>
      <w:r w:rsidRPr="003F6F3D">
        <w:rPr>
          <w:rStyle w:val="ab"/>
          <w:sz w:val="28"/>
          <w:szCs w:val="28"/>
        </w:rPr>
        <w:footnoteReference w:id="209"/>
      </w:r>
      <w:r w:rsidRPr="003F6F3D">
        <w:rPr>
          <w:bCs/>
          <w:sz w:val="28"/>
          <w:szCs w:val="28"/>
        </w:rPr>
        <w:t xml:space="preserve">. </w:t>
      </w:r>
    </w:p>
    <w:p w:rsidR="00000E53" w:rsidRPr="003F6F3D" w:rsidRDefault="00000E53" w:rsidP="00000E53">
      <w:pPr>
        <w:ind w:firstLine="709"/>
        <w:jc w:val="both"/>
        <w:rPr>
          <w:sz w:val="28"/>
          <w:szCs w:val="28"/>
        </w:rPr>
      </w:pPr>
      <w:r w:rsidRPr="003F6F3D">
        <w:rPr>
          <w:sz w:val="28"/>
          <w:szCs w:val="28"/>
        </w:rPr>
        <w:t>- в 2019 и 2020 годах – «Развитие образования и науки Чукотского автономного округа»</w:t>
      </w:r>
      <w:r w:rsidRPr="003F6F3D">
        <w:rPr>
          <w:rStyle w:val="ab"/>
          <w:sz w:val="28"/>
          <w:szCs w:val="28"/>
        </w:rPr>
        <w:footnoteReference w:id="210"/>
      </w:r>
      <w:r w:rsidRPr="003F6F3D">
        <w:rPr>
          <w:sz w:val="28"/>
          <w:szCs w:val="28"/>
        </w:rPr>
        <w:t>.</w:t>
      </w:r>
    </w:p>
    <w:p w:rsidR="00000E53" w:rsidRPr="003F6F3D" w:rsidRDefault="00000E53" w:rsidP="00000E53">
      <w:pPr>
        <w:ind w:firstLine="709"/>
        <w:jc w:val="both"/>
        <w:rPr>
          <w:rFonts w:eastAsiaTheme="minorHAnsi"/>
          <w:sz w:val="28"/>
          <w:szCs w:val="28"/>
        </w:rPr>
      </w:pPr>
      <w:r w:rsidRPr="003F6F3D">
        <w:rPr>
          <w:sz w:val="28"/>
          <w:szCs w:val="28"/>
        </w:rPr>
        <w:t xml:space="preserve">Субвенцию на образование получили городские округа Анадырь, </w:t>
      </w:r>
      <w:proofErr w:type="spellStart"/>
      <w:r w:rsidRPr="003F6F3D">
        <w:rPr>
          <w:rFonts w:eastAsiaTheme="minorHAnsi"/>
          <w:sz w:val="28"/>
          <w:szCs w:val="28"/>
        </w:rPr>
        <w:t>Певек</w:t>
      </w:r>
      <w:proofErr w:type="spellEnd"/>
      <w:r w:rsidRPr="003F6F3D">
        <w:rPr>
          <w:rFonts w:eastAsiaTheme="minorHAnsi"/>
          <w:sz w:val="28"/>
          <w:szCs w:val="28"/>
        </w:rPr>
        <w:t xml:space="preserve">, </w:t>
      </w:r>
      <w:proofErr w:type="spellStart"/>
      <w:r w:rsidRPr="003F6F3D">
        <w:rPr>
          <w:rFonts w:eastAsiaTheme="minorHAnsi"/>
          <w:sz w:val="28"/>
          <w:szCs w:val="28"/>
        </w:rPr>
        <w:t>Эгвекинот</w:t>
      </w:r>
      <w:proofErr w:type="spellEnd"/>
      <w:r w:rsidRPr="003F6F3D">
        <w:rPr>
          <w:rFonts w:eastAsiaTheme="minorHAnsi"/>
          <w:sz w:val="28"/>
          <w:szCs w:val="28"/>
        </w:rPr>
        <w:t xml:space="preserve">, </w:t>
      </w:r>
      <w:proofErr w:type="spellStart"/>
      <w:r w:rsidRPr="003F6F3D">
        <w:rPr>
          <w:rFonts w:eastAsiaTheme="minorHAnsi"/>
          <w:sz w:val="28"/>
          <w:szCs w:val="28"/>
        </w:rPr>
        <w:t>Провиденский</w:t>
      </w:r>
      <w:proofErr w:type="spellEnd"/>
      <w:r w:rsidRPr="003F6F3D">
        <w:rPr>
          <w:rFonts w:eastAsiaTheme="minorHAnsi"/>
          <w:sz w:val="28"/>
          <w:szCs w:val="28"/>
        </w:rPr>
        <w:t xml:space="preserve"> и муниципальные районы Анадырский, </w:t>
      </w:r>
      <w:proofErr w:type="spellStart"/>
      <w:r w:rsidRPr="003F6F3D">
        <w:rPr>
          <w:rFonts w:eastAsiaTheme="minorHAnsi"/>
          <w:sz w:val="28"/>
          <w:szCs w:val="28"/>
        </w:rPr>
        <w:t>Билибинский</w:t>
      </w:r>
      <w:proofErr w:type="spellEnd"/>
      <w:r w:rsidRPr="003F6F3D">
        <w:rPr>
          <w:rFonts w:eastAsiaTheme="minorHAnsi"/>
          <w:sz w:val="28"/>
          <w:szCs w:val="28"/>
        </w:rPr>
        <w:t xml:space="preserve"> и Чукотский (из них наибольший объем направлен Анадырскому муниципальному району в 2018 году – 686 353,0 тыс. рублей, в 2019 году – 737 764,0 тыс. рублей, в 2020 году – 800 818,8 тыс. рублей). Средства субвенции на образование направлены на финансовое обеспечение выполнения муниципальных заданий 67 муниципальных учреждений образования, из них 33 образовательных учреждения находятся в муниципальных районах Анадырский (11) и </w:t>
      </w:r>
      <w:proofErr w:type="spellStart"/>
      <w:r w:rsidRPr="003F6F3D">
        <w:rPr>
          <w:rFonts w:eastAsiaTheme="minorHAnsi"/>
          <w:sz w:val="28"/>
          <w:szCs w:val="28"/>
        </w:rPr>
        <w:t>Билибинский</w:t>
      </w:r>
      <w:proofErr w:type="spellEnd"/>
      <w:r w:rsidRPr="003F6F3D">
        <w:rPr>
          <w:rFonts w:eastAsiaTheme="minorHAnsi"/>
          <w:sz w:val="28"/>
          <w:szCs w:val="28"/>
        </w:rPr>
        <w:t xml:space="preserve"> (11), и городском округе </w:t>
      </w:r>
      <w:proofErr w:type="spellStart"/>
      <w:r w:rsidRPr="003F6F3D">
        <w:rPr>
          <w:rFonts w:eastAsiaTheme="minorHAnsi"/>
          <w:sz w:val="28"/>
          <w:szCs w:val="28"/>
        </w:rPr>
        <w:t>Эгвекинот</w:t>
      </w:r>
      <w:proofErr w:type="spellEnd"/>
      <w:r w:rsidRPr="003F6F3D">
        <w:rPr>
          <w:rFonts w:eastAsiaTheme="minorHAnsi"/>
          <w:sz w:val="28"/>
          <w:szCs w:val="28"/>
        </w:rPr>
        <w:t xml:space="preserve"> (11). </w:t>
      </w:r>
    </w:p>
    <w:p w:rsidR="00000E53" w:rsidRPr="003F6F3D" w:rsidRDefault="00000E53" w:rsidP="00000E53">
      <w:pPr>
        <w:spacing w:before="120"/>
        <w:ind w:firstLine="709"/>
        <w:jc w:val="both"/>
        <w:rPr>
          <w:sz w:val="28"/>
          <w:szCs w:val="28"/>
        </w:rPr>
      </w:pPr>
      <w:r w:rsidRPr="003F6F3D">
        <w:rPr>
          <w:bCs/>
          <w:sz w:val="28"/>
          <w:szCs w:val="28"/>
        </w:rPr>
        <w:t xml:space="preserve">Доля субвенции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общем объеме субвенций составляет </w:t>
      </w:r>
      <w:r w:rsidRPr="003F6F3D">
        <w:rPr>
          <w:sz w:val="28"/>
          <w:szCs w:val="28"/>
        </w:rPr>
        <w:t xml:space="preserve">в 2018 году – 1,3% (44 203,9 тыс. рублей), в 2019 году – 0,9% (34 501,2 тыс. рублей), в 2020 году – 1,2% (50 674,0 тыс. рублей). Субвенция предоставлялась </w:t>
      </w:r>
      <w:r w:rsidRPr="003F6F3D">
        <w:rPr>
          <w:bCs/>
          <w:sz w:val="28"/>
          <w:szCs w:val="28"/>
        </w:rPr>
        <w:t xml:space="preserve">Департаментом социальной политики </w:t>
      </w:r>
      <w:r w:rsidRPr="003F6F3D">
        <w:rPr>
          <w:sz w:val="28"/>
          <w:szCs w:val="28"/>
        </w:rPr>
        <w:t>в рамках реализации подпрограммы «С</w:t>
      </w:r>
      <w:r w:rsidRPr="003F6F3D">
        <w:rPr>
          <w:rFonts w:eastAsiaTheme="minorHAnsi"/>
          <w:sz w:val="28"/>
          <w:szCs w:val="28"/>
        </w:rPr>
        <w:t xml:space="preserve">оциальная поддержка семей и детей» </w:t>
      </w:r>
      <w:r w:rsidRPr="003F6F3D">
        <w:rPr>
          <w:sz w:val="28"/>
          <w:szCs w:val="28"/>
        </w:rPr>
        <w:t>государственной программы Чукотского автономного округа «Социальная поддержка населения Чукотского автономного округа»</w:t>
      </w:r>
      <w:r w:rsidRPr="003F6F3D">
        <w:rPr>
          <w:rStyle w:val="ab"/>
          <w:sz w:val="28"/>
          <w:szCs w:val="28"/>
        </w:rPr>
        <w:footnoteReference w:id="211"/>
      </w:r>
      <w:r w:rsidRPr="003F6F3D">
        <w:rPr>
          <w:sz w:val="28"/>
          <w:szCs w:val="28"/>
        </w:rPr>
        <w:t>.</w:t>
      </w:r>
    </w:p>
    <w:p w:rsidR="00000E53" w:rsidRPr="003F6F3D" w:rsidRDefault="00000E53" w:rsidP="00000E53">
      <w:pPr>
        <w:autoSpaceDE w:val="0"/>
        <w:autoSpaceDN w:val="0"/>
        <w:adjustRightInd w:val="0"/>
        <w:ind w:firstLine="708"/>
        <w:jc w:val="both"/>
        <w:rPr>
          <w:sz w:val="28"/>
          <w:szCs w:val="28"/>
        </w:rPr>
      </w:pPr>
      <w:r w:rsidRPr="003F6F3D">
        <w:rPr>
          <w:sz w:val="28"/>
          <w:szCs w:val="28"/>
        </w:rPr>
        <w:t>Достижение целевого показателя «Количество детей-сирот и детей, оставшихся без попечения родителей, а также лиц из их числа, обеспеченных благоустроенными жилыми помещениями специализированного жилищного фонда по договорам найма специализированных жилых помещений» составило:</w:t>
      </w:r>
    </w:p>
    <w:p w:rsidR="00000E53" w:rsidRPr="003F6F3D" w:rsidRDefault="00000E53" w:rsidP="00000E53">
      <w:pPr>
        <w:autoSpaceDE w:val="0"/>
        <w:autoSpaceDN w:val="0"/>
        <w:adjustRightInd w:val="0"/>
        <w:ind w:firstLine="708"/>
        <w:jc w:val="both"/>
        <w:rPr>
          <w:sz w:val="28"/>
          <w:szCs w:val="28"/>
        </w:rPr>
      </w:pPr>
      <w:r w:rsidRPr="003F6F3D">
        <w:rPr>
          <w:sz w:val="28"/>
          <w:szCs w:val="28"/>
        </w:rPr>
        <w:t>- 2018 год – 62%;</w:t>
      </w:r>
    </w:p>
    <w:p w:rsidR="00000E53" w:rsidRPr="003F6F3D" w:rsidRDefault="00000E53" w:rsidP="00000E53">
      <w:pPr>
        <w:autoSpaceDE w:val="0"/>
        <w:autoSpaceDN w:val="0"/>
        <w:adjustRightInd w:val="0"/>
        <w:ind w:firstLine="708"/>
        <w:jc w:val="both"/>
        <w:rPr>
          <w:sz w:val="28"/>
          <w:szCs w:val="28"/>
        </w:rPr>
      </w:pPr>
      <w:r w:rsidRPr="003F6F3D">
        <w:rPr>
          <w:sz w:val="28"/>
          <w:szCs w:val="28"/>
        </w:rPr>
        <w:t>- 2019 год – 52%;</w:t>
      </w:r>
    </w:p>
    <w:p w:rsidR="00000E53" w:rsidRPr="003F6F3D" w:rsidRDefault="00000E53" w:rsidP="00000E53">
      <w:pPr>
        <w:autoSpaceDE w:val="0"/>
        <w:autoSpaceDN w:val="0"/>
        <w:adjustRightInd w:val="0"/>
        <w:ind w:firstLine="708"/>
        <w:jc w:val="both"/>
        <w:rPr>
          <w:sz w:val="28"/>
          <w:szCs w:val="28"/>
        </w:rPr>
      </w:pPr>
      <w:r w:rsidRPr="003F6F3D">
        <w:rPr>
          <w:sz w:val="28"/>
          <w:szCs w:val="28"/>
        </w:rPr>
        <w:t>- 2020 год – 37%.</w:t>
      </w:r>
    </w:p>
    <w:p w:rsidR="00000E53" w:rsidRPr="003F6F3D" w:rsidRDefault="00000E53" w:rsidP="00000E53">
      <w:pPr>
        <w:autoSpaceDE w:val="0"/>
        <w:autoSpaceDN w:val="0"/>
        <w:adjustRightInd w:val="0"/>
        <w:ind w:firstLine="708"/>
        <w:jc w:val="both"/>
        <w:rPr>
          <w:sz w:val="28"/>
          <w:szCs w:val="28"/>
        </w:rPr>
      </w:pPr>
      <w:r w:rsidRPr="003F6F3D">
        <w:rPr>
          <w:sz w:val="28"/>
          <w:szCs w:val="28"/>
        </w:rPr>
        <w:t xml:space="preserve">Низкий уровень </w:t>
      </w:r>
      <w:r w:rsidRPr="003F6F3D">
        <w:rPr>
          <w:rFonts w:eastAsiaTheme="minorHAnsi"/>
          <w:sz w:val="28"/>
          <w:szCs w:val="28"/>
        </w:rPr>
        <w:t xml:space="preserve">обеспечения детей-сирот и детей, оставшихся без попечения родителей, а также лиц из их числа жилыми помещениями, </w:t>
      </w:r>
      <w:r w:rsidRPr="003F6F3D">
        <w:rPr>
          <w:sz w:val="28"/>
          <w:szCs w:val="28"/>
        </w:rPr>
        <w:t xml:space="preserve">отмечается в Анадырском и Чукотском муниципальных районах, и обусловлен отсутствием рынка жилья в населенных пунктах районов и сложной процедурой закупок </w:t>
      </w:r>
      <w:proofErr w:type="gramStart"/>
      <w:r w:rsidRPr="003F6F3D">
        <w:rPr>
          <w:sz w:val="28"/>
          <w:szCs w:val="28"/>
        </w:rPr>
        <w:t>для граждан</w:t>
      </w:r>
      <w:proofErr w:type="gramEnd"/>
      <w:r w:rsidRPr="003F6F3D">
        <w:rPr>
          <w:sz w:val="28"/>
          <w:szCs w:val="28"/>
        </w:rPr>
        <w:t xml:space="preserve"> желающих продать жилые помещения («вторичный» рынок жилых помещений). </w:t>
      </w:r>
    </w:p>
    <w:p w:rsidR="00000E53" w:rsidRPr="003F6F3D" w:rsidRDefault="00000E53" w:rsidP="00000E53">
      <w:pPr>
        <w:autoSpaceDE w:val="0"/>
        <w:autoSpaceDN w:val="0"/>
        <w:adjustRightInd w:val="0"/>
        <w:ind w:firstLine="708"/>
        <w:jc w:val="both"/>
        <w:rPr>
          <w:sz w:val="28"/>
          <w:szCs w:val="28"/>
        </w:rPr>
      </w:pPr>
      <w:r w:rsidRPr="003F6F3D">
        <w:rPr>
          <w:sz w:val="28"/>
          <w:szCs w:val="28"/>
        </w:rPr>
        <w:t>И</w:t>
      </w:r>
      <w:r w:rsidRPr="003F6F3D">
        <w:rPr>
          <w:sz w:val="28"/>
        </w:rPr>
        <w:t xml:space="preserve">з проведенных в 2019 и 2020 годах </w:t>
      </w:r>
      <w:proofErr w:type="spellStart"/>
      <w:r w:rsidRPr="003F6F3D">
        <w:rPr>
          <w:sz w:val="28"/>
        </w:rPr>
        <w:t>Провиденским</w:t>
      </w:r>
      <w:proofErr w:type="spellEnd"/>
      <w:r w:rsidRPr="003F6F3D">
        <w:rPr>
          <w:sz w:val="28"/>
        </w:rPr>
        <w:t xml:space="preserve"> городским округом 7 электронных аукционов </w:t>
      </w:r>
      <w:r w:rsidRPr="003F6F3D">
        <w:rPr>
          <w:sz w:val="28"/>
          <w:szCs w:val="28"/>
        </w:rPr>
        <w:t xml:space="preserve">по приобретению жилых помещений </w:t>
      </w:r>
      <w:r w:rsidRPr="003F6F3D">
        <w:rPr>
          <w:bCs/>
          <w:sz w:val="28"/>
          <w:szCs w:val="28"/>
        </w:rPr>
        <w:t xml:space="preserve">для детей-сирот, </w:t>
      </w:r>
      <w:r w:rsidRPr="003F6F3D">
        <w:rPr>
          <w:sz w:val="28"/>
        </w:rPr>
        <w:t xml:space="preserve">закупки состоялись по двум процедурам (28,6%). </w:t>
      </w:r>
      <w:r w:rsidRPr="003F6F3D">
        <w:rPr>
          <w:sz w:val="28"/>
          <w:szCs w:val="28"/>
        </w:rPr>
        <w:t xml:space="preserve">В Чукотском муниципальном районе проведено 92 электронных аукциона, по результатам заключено 10 контрактов (10%). В Анадырском муниципальном районе в 2017-2018 годах проведено 32 электронных аукциона, закупки по которым признаны несостоявшимися в связи с отсутствием заявок на участие в процедуре.  </w:t>
      </w:r>
    </w:p>
    <w:p w:rsidR="00000E53" w:rsidRPr="003F6F3D" w:rsidRDefault="00000E53" w:rsidP="00000E53">
      <w:pPr>
        <w:spacing w:before="120"/>
        <w:ind w:firstLine="709"/>
        <w:jc w:val="both"/>
        <w:rPr>
          <w:rFonts w:eastAsiaTheme="minorHAnsi"/>
          <w:sz w:val="28"/>
          <w:szCs w:val="28"/>
        </w:rPr>
      </w:pPr>
      <w:r w:rsidRPr="003F6F3D">
        <w:rPr>
          <w:bCs/>
          <w:sz w:val="28"/>
          <w:szCs w:val="28"/>
        </w:rPr>
        <w:t xml:space="preserve">Объем </w:t>
      </w:r>
      <w:r w:rsidRPr="003F6F3D">
        <w:rPr>
          <w:b/>
          <w:bCs/>
          <w:sz w:val="28"/>
          <w:szCs w:val="28"/>
        </w:rPr>
        <w:t>иных межбюджетных трансфертов</w:t>
      </w:r>
      <w:r w:rsidRPr="003F6F3D">
        <w:rPr>
          <w:sz w:val="28"/>
          <w:szCs w:val="28"/>
        </w:rPr>
        <w:t xml:space="preserve">, направленных бюджетам муниципальных образований, </w:t>
      </w:r>
      <w:r w:rsidRPr="003F6F3D">
        <w:rPr>
          <w:bCs/>
          <w:sz w:val="28"/>
          <w:szCs w:val="28"/>
        </w:rPr>
        <w:t>составил 499 717,2 тыс. рублей</w:t>
      </w:r>
      <w:r w:rsidRPr="003F6F3D">
        <w:rPr>
          <w:sz w:val="28"/>
          <w:szCs w:val="28"/>
        </w:rPr>
        <w:t>, в том числе:</w:t>
      </w:r>
    </w:p>
    <w:p w:rsidR="00000E53" w:rsidRPr="003F6F3D" w:rsidRDefault="00000E53" w:rsidP="00000E53">
      <w:pPr>
        <w:widowControl w:val="0"/>
        <w:autoSpaceDE w:val="0"/>
        <w:autoSpaceDN w:val="0"/>
        <w:adjustRightInd w:val="0"/>
        <w:ind w:firstLine="709"/>
        <w:jc w:val="both"/>
        <w:rPr>
          <w:sz w:val="28"/>
          <w:szCs w:val="28"/>
        </w:rPr>
      </w:pPr>
      <w:r w:rsidRPr="003F6F3D">
        <w:rPr>
          <w:sz w:val="28"/>
          <w:szCs w:val="28"/>
        </w:rPr>
        <w:t>- в 2019 году – 61 000,0 тыс. рублей или 100% утвержденных назначений;</w:t>
      </w:r>
    </w:p>
    <w:p w:rsidR="00000E53" w:rsidRPr="003F6F3D" w:rsidRDefault="00000E53" w:rsidP="00000E53">
      <w:pPr>
        <w:ind w:firstLine="709"/>
        <w:jc w:val="both"/>
        <w:rPr>
          <w:sz w:val="28"/>
          <w:szCs w:val="28"/>
        </w:rPr>
      </w:pPr>
      <w:r w:rsidRPr="003F6F3D">
        <w:rPr>
          <w:sz w:val="28"/>
          <w:szCs w:val="28"/>
        </w:rPr>
        <w:t>- в 2020 году – 438 717,2 тыс. рублей или 99,4%.</w:t>
      </w:r>
    </w:p>
    <w:p w:rsidR="00000E53" w:rsidRPr="003F6F3D" w:rsidRDefault="00000E53" w:rsidP="00000E53">
      <w:pPr>
        <w:ind w:firstLine="709"/>
        <w:jc w:val="both"/>
        <w:rPr>
          <w:rFonts w:eastAsiaTheme="minorHAnsi"/>
          <w:sz w:val="28"/>
          <w:szCs w:val="28"/>
        </w:rPr>
      </w:pPr>
      <w:r w:rsidRPr="003F6F3D">
        <w:rPr>
          <w:rFonts w:eastAsiaTheme="minorHAnsi"/>
          <w:sz w:val="28"/>
          <w:szCs w:val="28"/>
        </w:rPr>
        <w:t xml:space="preserve">Средства направлены на реализацию </w:t>
      </w:r>
      <w:r w:rsidRPr="003F6F3D">
        <w:rPr>
          <w:sz w:val="28"/>
          <w:szCs w:val="28"/>
        </w:rPr>
        <w:t>регионального проекта «Дорожная сеть» городскому округу Анадырь (ежегодно по 40 000,0 тыс. рублей), за достижение показателей деятельности органов местного самоуправления городским округам и муниципальным районам (в 2019 году – 21 000,0 тыс. рублей, в 2020 году – 33 847,5 тыс. рублей), в 2020 году наибольший размер составил трансферт Анадырскому муниципальному району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 на обеспечение жильем работников социальной сферы – 163 723,2 тыс. рублей.</w:t>
      </w:r>
    </w:p>
    <w:p w:rsidR="00000E53" w:rsidRPr="003F6F3D" w:rsidRDefault="00000E53" w:rsidP="00000E53">
      <w:pPr>
        <w:pStyle w:val="ConsPlusTitle"/>
        <w:spacing w:line="276" w:lineRule="auto"/>
        <w:ind w:firstLine="709"/>
        <w:jc w:val="both"/>
        <w:rPr>
          <w:rFonts w:eastAsiaTheme="minorHAnsi"/>
          <w:b w:val="0"/>
          <w:sz w:val="28"/>
          <w:szCs w:val="28"/>
        </w:rPr>
      </w:pPr>
      <w:r w:rsidRPr="003F6F3D">
        <w:rPr>
          <w:b w:val="0"/>
          <w:sz w:val="28"/>
          <w:szCs w:val="28"/>
        </w:rPr>
        <w:t xml:space="preserve">Информация о межбюджетных трансфертах, предоставленных из окружного бюджета муниципальным образованиям в 2018-2020 годах, в разрезе главных распорядителей бюджетных средств, </w:t>
      </w:r>
      <w:r w:rsidRPr="003F6F3D">
        <w:rPr>
          <w:rFonts w:eastAsiaTheme="minorHAnsi"/>
          <w:b w:val="0"/>
          <w:sz w:val="28"/>
          <w:szCs w:val="28"/>
        </w:rPr>
        <w:t xml:space="preserve">программных и непрограммных мероприятий, а также в разрезе форм и периодов предоставления отражена в Приложениях №1, №2, №3, №4 и №5 к Отчету. </w:t>
      </w:r>
    </w:p>
    <w:p w:rsidR="00000E53" w:rsidRPr="003F6F3D" w:rsidRDefault="00000E53" w:rsidP="00000E53">
      <w:pPr>
        <w:pStyle w:val="ConsPlusTitle"/>
        <w:spacing w:line="276" w:lineRule="auto"/>
        <w:ind w:firstLine="709"/>
        <w:jc w:val="both"/>
        <w:rPr>
          <w:rFonts w:eastAsiaTheme="minorHAnsi"/>
          <w:b w:val="0"/>
          <w:sz w:val="28"/>
          <w:szCs w:val="28"/>
        </w:rPr>
      </w:pPr>
    </w:p>
    <w:p w:rsidR="00000E53" w:rsidRPr="003F6F3D" w:rsidRDefault="00000E53" w:rsidP="00000E53">
      <w:pPr>
        <w:pStyle w:val="ConsPlusTitle"/>
        <w:spacing w:before="240" w:after="120"/>
        <w:jc w:val="center"/>
        <w:rPr>
          <w:bCs w:val="0"/>
          <w:sz w:val="28"/>
          <w:szCs w:val="28"/>
        </w:rPr>
      </w:pPr>
      <w:r w:rsidRPr="003F6F3D">
        <w:rPr>
          <w:sz w:val="28"/>
          <w:szCs w:val="28"/>
        </w:rPr>
        <w:t xml:space="preserve">2. Анализ исполнения бюджетов </w:t>
      </w:r>
      <w:r w:rsidRPr="003F6F3D">
        <w:rPr>
          <w:sz w:val="28"/>
          <w:szCs w:val="28"/>
        </w:rPr>
        <w:br/>
        <w:t xml:space="preserve">муниципальными образованиями Чукотского автономного округа </w:t>
      </w:r>
      <w:bookmarkStart w:id="98" w:name="_Hlk98684118"/>
    </w:p>
    <w:bookmarkEnd w:id="98"/>
    <w:p w:rsidR="00000E53" w:rsidRPr="003F6F3D" w:rsidRDefault="00000E53" w:rsidP="00000E53">
      <w:pPr>
        <w:ind w:firstLine="709"/>
        <w:jc w:val="both"/>
        <w:rPr>
          <w:sz w:val="28"/>
          <w:szCs w:val="28"/>
        </w:rPr>
      </w:pPr>
      <w:r w:rsidRPr="003F6F3D">
        <w:rPr>
          <w:sz w:val="28"/>
          <w:szCs w:val="28"/>
        </w:rPr>
        <w:t xml:space="preserve">Проведенный в ходе экспертно-аналитического мероприятия анализ исполнения бюджетов за 2018-2020 годы 4 городских округов (Анадырь, </w:t>
      </w:r>
      <w:proofErr w:type="spellStart"/>
      <w:r w:rsidRPr="003F6F3D">
        <w:rPr>
          <w:sz w:val="28"/>
          <w:szCs w:val="28"/>
        </w:rPr>
        <w:t>Певек</w:t>
      </w:r>
      <w:proofErr w:type="spellEnd"/>
      <w:r w:rsidRPr="003F6F3D">
        <w:rPr>
          <w:sz w:val="28"/>
          <w:szCs w:val="28"/>
        </w:rPr>
        <w:t xml:space="preserve">, </w:t>
      </w:r>
      <w:proofErr w:type="spellStart"/>
      <w:r w:rsidRPr="003F6F3D">
        <w:rPr>
          <w:sz w:val="28"/>
          <w:szCs w:val="28"/>
        </w:rPr>
        <w:t>Эгвекинот</w:t>
      </w:r>
      <w:proofErr w:type="spellEnd"/>
      <w:r w:rsidRPr="003F6F3D">
        <w:rPr>
          <w:sz w:val="28"/>
          <w:szCs w:val="28"/>
        </w:rPr>
        <w:t xml:space="preserve"> и </w:t>
      </w:r>
      <w:proofErr w:type="spellStart"/>
      <w:r w:rsidRPr="003F6F3D">
        <w:rPr>
          <w:sz w:val="28"/>
          <w:szCs w:val="28"/>
        </w:rPr>
        <w:t>Провиденский</w:t>
      </w:r>
      <w:proofErr w:type="spellEnd"/>
      <w:r w:rsidRPr="003F6F3D">
        <w:rPr>
          <w:sz w:val="28"/>
          <w:szCs w:val="28"/>
        </w:rPr>
        <w:t xml:space="preserve">) и 3 муниципальных районов (Анадырский, </w:t>
      </w:r>
      <w:proofErr w:type="spellStart"/>
      <w:r w:rsidRPr="003F6F3D">
        <w:rPr>
          <w:sz w:val="28"/>
          <w:szCs w:val="28"/>
        </w:rPr>
        <w:t>Билибинский</w:t>
      </w:r>
      <w:proofErr w:type="spellEnd"/>
      <w:r w:rsidRPr="003F6F3D">
        <w:rPr>
          <w:sz w:val="28"/>
          <w:szCs w:val="28"/>
        </w:rPr>
        <w:t xml:space="preserve"> и Чукотский) с учетом полученных межбюджетных трансфертов из окружного бюджета показал следующее.</w:t>
      </w:r>
    </w:p>
    <w:p w:rsidR="00000E53" w:rsidRPr="003F6F3D" w:rsidRDefault="00000E53" w:rsidP="00000E53">
      <w:pPr>
        <w:ind w:firstLine="709"/>
        <w:jc w:val="both"/>
        <w:rPr>
          <w:rFonts w:eastAsiaTheme="minorHAnsi"/>
          <w:sz w:val="28"/>
          <w:szCs w:val="28"/>
        </w:rPr>
      </w:pPr>
      <w:r w:rsidRPr="003F6F3D">
        <w:rPr>
          <w:rFonts w:eastAsiaTheme="minorHAnsi"/>
          <w:sz w:val="28"/>
          <w:szCs w:val="28"/>
        </w:rPr>
        <w:t>Структура доходов местных бюджетов отражена в таблице №3.</w:t>
      </w:r>
    </w:p>
    <w:p w:rsidR="00000E53" w:rsidRPr="003F6F3D" w:rsidRDefault="00000E53" w:rsidP="00000E53">
      <w:pPr>
        <w:ind w:firstLine="709"/>
        <w:jc w:val="right"/>
        <w:rPr>
          <w:sz w:val="28"/>
          <w:szCs w:val="28"/>
        </w:rPr>
      </w:pPr>
      <w:r w:rsidRPr="003F6F3D">
        <w:rPr>
          <w:sz w:val="28"/>
          <w:szCs w:val="28"/>
        </w:rPr>
        <w:t>Таблица №3</w:t>
      </w:r>
    </w:p>
    <w:p w:rsidR="00000E53" w:rsidRPr="003F6F3D" w:rsidRDefault="00000E53" w:rsidP="00000E53">
      <w:pPr>
        <w:ind w:firstLine="709"/>
        <w:jc w:val="right"/>
        <w:rPr>
          <w:sz w:val="28"/>
          <w:szCs w:val="28"/>
        </w:rPr>
      </w:pPr>
      <w:r w:rsidRPr="003F6F3D">
        <w:rPr>
          <w:sz w:val="28"/>
          <w:szCs w:val="28"/>
        </w:rPr>
        <w:t>(тыс. рублей)</w:t>
      </w:r>
    </w:p>
    <w:tbl>
      <w:tblPr>
        <w:tblW w:w="10490" w:type="dxa"/>
        <w:tblInd w:w="-289" w:type="dxa"/>
        <w:tblLook w:val="04A0" w:firstRow="1" w:lastRow="0" w:firstColumn="1" w:lastColumn="0" w:noHBand="0" w:noVBand="1"/>
      </w:tblPr>
      <w:tblGrid>
        <w:gridCol w:w="2410"/>
        <w:gridCol w:w="1423"/>
        <w:gridCol w:w="1304"/>
        <w:gridCol w:w="1389"/>
        <w:gridCol w:w="1276"/>
        <w:gridCol w:w="1417"/>
        <w:gridCol w:w="1271"/>
      </w:tblGrid>
      <w:tr w:rsidR="00000E53" w:rsidRPr="003F6F3D" w:rsidTr="00000E53">
        <w:trPr>
          <w:trHeight w:val="300"/>
          <w:tblHeader/>
        </w:trPr>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Наименование показателя</w:t>
            </w:r>
          </w:p>
        </w:tc>
        <w:tc>
          <w:tcPr>
            <w:tcW w:w="2727" w:type="dxa"/>
            <w:gridSpan w:val="2"/>
            <w:tcBorders>
              <w:top w:val="single" w:sz="4" w:space="0" w:color="auto"/>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2018 год</w:t>
            </w:r>
          </w:p>
        </w:tc>
        <w:tc>
          <w:tcPr>
            <w:tcW w:w="2665" w:type="dxa"/>
            <w:gridSpan w:val="2"/>
            <w:tcBorders>
              <w:top w:val="single" w:sz="4" w:space="0" w:color="auto"/>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2019 год</w:t>
            </w:r>
          </w:p>
        </w:tc>
        <w:tc>
          <w:tcPr>
            <w:tcW w:w="2688" w:type="dxa"/>
            <w:gridSpan w:val="2"/>
            <w:tcBorders>
              <w:top w:val="single" w:sz="4" w:space="0" w:color="auto"/>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2020 год</w:t>
            </w:r>
          </w:p>
        </w:tc>
      </w:tr>
      <w:tr w:rsidR="00000E53" w:rsidRPr="003F6F3D" w:rsidTr="00000E53">
        <w:trPr>
          <w:trHeight w:val="419"/>
          <w:tblHeader/>
        </w:trPr>
        <w:tc>
          <w:tcPr>
            <w:tcW w:w="2410" w:type="dxa"/>
            <w:vMerge/>
            <w:tcBorders>
              <w:top w:val="single" w:sz="4" w:space="0" w:color="auto"/>
              <w:left w:val="single" w:sz="4" w:space="0" w:color="auto"/>
              <w:bottom w:val="single" w:sz="4" w:space="0" w:color="000000"/>
              <w:right w:val="single" w:sz="4" w:space="0" w:color="auto"/>
            </w:tcBorders>
            <w:vAlign w:val="center"/>
            <w:hideMark/>
          </w:tcPr>
          <w:p w:rsidR="00000E53" w:rsidRPr="003F6F3D" w:rsidRDefault="00000E53" w:rsidP="00000E53">
            <w:pPr>
              <w:spacing w:line="216" w:lineRule="auto"/>
              <w:rPr>
                <w:sz w:val="20"/>
                <w:szCs w:val="20"/>
              </w:rPr>
            </w:pPr>
          </w:p>
        </w:tc>
        <w:tc>
          <w:tcPr>
            <w:tcW w:w="1423"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 xml:space="preserve">Налоговые и неналоговые </w:t>
            </w:r>
          </w:p>
        </w:tc>
        <w:tc>
          <w:tcPr>
            <w:tcW w:w="1304"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МБТ МО</w:t>
            </w:r>
          </w:p>
        </w:tc>
        <w:tc>
          <w:tcPr>
            <w:tcW w:w="1389"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 xml:space="preserve">Налоговые и неналоговые </w:t>
            </w:r>
          </w:p>
        </w:tc>
        <w:tc>
          <w:tcPr>
            <w:tcW w:w="1276"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МБТ МО</w:t>
            </w:r>
          </w:p>
        </w:tc>
        <w:tc>
          <w:tcPr>
            <w:tcW w:w="1417"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 xml:space="preserve">Налоговые и неналоговые </w:t>
            </w:r>
          </w:p>
        </w:tc>
        <w:tc>
          <w:tcPr>
            <w:tcW w:w="1271"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МБТ МО</w:t>
            </w:r>
          </w:p>
        </w:tc>
      </w:tr>
      <w:tr w:rsidR="00000E53" w:rsidRPr="003F6F3D" w:rsidTr="00000E53">
        <w:trPr>
          <w:trHeight w:val="270"/>
          <w:tblHeader/>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1</w:t>
            </w:r>
          </w:p>
        </w:tc>
        <w:tc>
          <w:tcPr>
            <w:tcW w:w="1423"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2</w:t>
            </w:r>
          </w:p>
        </w:tc>
        <w:tc>
          <w:tcPr>
            <w:tcW w:w="1304"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3</w:t>
            </w:r>
          </w:p>
        </w:tc>
        <w:tc>
          <w:tcPr>
            <w:tcW w:w="1389"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4</w:t>
            </w:r>
          </w:p>
        </w:tc>
        <w:tc>
          <w:tcPr>
            <w:tcW w:w="1276"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5</w:t>
            </w:r>
          </w:p>
        </w:tc>
        <w:tc>
          <w:tcPr>
            <w:tcW w:w="1417"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6</w:t>
            </w:r>
          </w:p>
        </w:tc>
        <w:tc>
          <w:tcPr>
            <w:tcW w:w="1271"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7</w:t>
            </w:r>
          </w:p>
        </w:tc>
      </w:tr>
      <w:tr w:rsidR="00000E53" w:rsidRPr="003F6F3D" w:rsidTr="00000E53">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sz w:val="20"/>
                <w:szCs w:val="20"/>
              </w:rPr>
            </w:pPr>
            <w:proofErr w:type="spellStart"/>
            <w:r w:rsidRPr="003F6F3D">
              <w:rPr>
                <w:sz w:val="20"/>
                <w:szCs w:val="20"/>
              </w:rPr>
              <w:t>го</w:t>
            </w:r>
            <w:proofErr w:type="spellEnd"/>
            <w:r w:rsidRPr="003F6F3D">
              <w:rPr>
                <w:sz w:val="20"/>
                <w:szCs w:val="20"/>
              </w:rPr>
              <w:t xml:space="preserve"> Анадырь</w:t>
            </w:r>
          </w:p>
        </w:tc>
        <w:tc>
          <w:tcPr>
            <w:tcW w:w="142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661 384,4</w:t>
            </w:r>
          </w:p>
        </w:tc>
        <w:tc>
          <w:tcPr>
            <w:tcW w:w="1304"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655 299,3</w:t>
            </w:r>
          </w:p>
        </w:tc>
        <w:tc>
          <w:tcPr>
            <w:tcW w:w="1389"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721 600,1</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824 035,9</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748 232,3</w:t>
            </w:r>
          </w:p>
        </w:tc>
        <w:tc>
          <w:tcPr>
            <w:tcW w:w="1271"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1 471 242,7</w:t>
            </w:r>
          </w:p>
        </w:tc>
      </w:tr>
      <w:tr w:rsidR="00000E53" w:rsidRPr="003F6F3D" w:rsidTr="00000E53">
        <w:trPr>
          <w:trHeight w:val="211"/>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i/>
                <w:iCs/>
                <w:sz w:val="20"/>
                <w:szCs w:val="20"/>
              </w:rPr>
            </w:pPr>
            <w:r w:rsidRPr="003F6F3D">
              <w:rPr>
                <w:i/>
                <w:iCs/>
                <w:sz w:val="20"/>
                <w:szCs w:val="20"/>
              </w:rPr>
              <w:t>доля в доходах местного бюджета (%)</w:t>
            </w:r>
          </w:p>
        </w:tc>
        <w:tc>
          <w:tcPr>
            <w:tcW w:w="142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50,2</w:t>
            </w:r>
          </w:p>
        </w:tc>
        <w:tc>
          <w:tcPr>
            <w:tcW w:w="1304"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49,8</w:t>
            </w:r>
          </w:p>
        </w:tc>
        <w:tc>
          <w:tcPr>
            <w:tcW w:w="1389"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46,6</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53,3</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33,7</w:t>
            </w:r>
          </w:p>
        </w:tc>
        <w:tc>
          <w:tcPr>
            <w:tcW w:w="1271"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66,3</w:t>
            </w:r>
          </w:p>
        </w:tc>
      </w:tr>
      <w:tr w:rsidR="00000E53" w:rsidRPr="003F6F3D" w:rsidTr="00000E53">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sz w:val="20"/>
                <w:szCs w:val="20"/>
              </w:rPr>
            </w:pPr>
            <w:proofErr w:type="spellStart"/>
            <w:r w:rsidRPr="003F6F3D">
              <w:rPr>
                <w:sz w:val="20"/>
                <w:szCs w:val="20"/>
              </w:rPr>
              <w:t>го</w:t>
            </w:r>
            <w:proofErr w:type="spellEnd"/>
            <w:r w:rsidRPr="003F6F3D">
              <w:rPr>
                <w:sz w:val="20"/>
                <w:szCs w:val="20"/>
              </w:rPr>
              <w:t xml:space="preserve"> </w:t>
            </w:r>
            <w:proofErr w:type="spellStart"/>
            <w:r w:rsidRPr="003F6F3D">
              <w:rPr>
                <w:sz w:val="20"/>
                <w:szCs w:val="20"/>
              </w:rPr>
              <w:t>Певек</w:t>
            </w:r>
            <w:proofErr w:type="spellEnd"/>
          </w:p>
        </w:tc>
        <w:tc>
          <w:tcPr>
            <w:tcW w:w="142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344 040,9</w:t>
            </w:r>
          </w:p>
        </w:tc>
        <w:tc>
          <w:tcPr>
            <w:tcW w:w="1304"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667 179,2</w:t>
            </w:r>
          </w:p>
        </w:tc>
        <w:tc>
          <w:tcPr>
            <w:tcW w:w="1389"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389 707,8</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1 060 579,9</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455 610,4</w:t>
            </w:r>
          </w:p>
        </w:tc>
        <w:tc>
          <w:tcPr>
            <w:tcW w:w="1271"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2 549 601,2</w:t>
            </w:r>
          </w:p>
        </w:tc>
      </w:tr>
      <w:tr w:rsidR="00000E53" w:rsidRPr="003F6F3D" w:rsidTr="00000E53">
        <w:trPr>
          <w:trHeight w:val="5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i/>
                <w:iCs/>
                <w:sz w:val="20"/>
                <w:szCs w:val="20"/>
              </w:rPr>
            </w:pPr>
            <w:r w:rsidRPr="003F6F3D">
              <w:rPr>
                <w:i/>
                <w:iCs/>
                <w:sz w:val="20"/>
                <w:szCs w:val="20"/>
              </w:rPr>
              <w:t>доля в доходах местного бюджета (%)</w:t>
            </w:r>
          </w:p>
        </w:tc>
        <w:tc>
          <w:tcPr>
            <w:tcW w:w="142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34,0</w:t>
            </w:r>
          </w:p>
        </w:tc>
        <w:tc>
          <w:tcPr>
            <w:tcW w:w="1304"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66,0</w:t>
            </w:r>
          </w:p>
        </w:tc>
        <w:tc>
          <w:tcPr>
            <w:tcW w:w="1389"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26,9</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73,1</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15,2</w:t>
            </w:r>
          </w:p>
        </w:tc>
        <w:tc>
          <w:tcPr>
            <w:tcW w:w="1271"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84,8</w:t>
            </w:r>
          </w:p>
        </w:tc>
      </w:tr>
      <w:tr w:rsidR="00000E53" w:rsidRPr="003F6F3D" w:rsidTr="00000E53">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sz w:val="20"/>
                <w:szCs w:val="20"/>
              </w:rPr>
            </w:pPr>
            <w:proofErr w:type="spellStart"/>
            <w:r w:rsidRPr="003F6F3D">
              <w:rPr>
                <w:sz w:val="20"/>
                <w:szCs w:val="20"/>
              </w:rPr>
              <w:t>го</w:t>
            </w:r>
            <w:proofErr w:type="spellEnd"/>
            <w:r w:rsidRPr="003F6F3D">
              <w:rPr>
                <w:sz w:val="20"/>
                <w:szCs w:val="20"/>
              </w:rPr>
              <w:t xml:space="preserve"> </w:t>
            </w:r>
            <w:proofErr w:type="spellStart"/>
            <w:r w:rsidRPr="003F6F3D">
              <w:rPr>
                <w:sz w:val="20"/>
                <w:szCs w:val="20"/>
              </w:rPr>
              <w:t>Эгвекинот</w:t>
            </w:r>
            <w:proofErr w:type="spellEnd"/>
          </w:p>
        </w:tc>
        <w:tc>
          <w:tcPr>
            <w:tcW w:w="142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148 948,2</w:t>
            </w:r>
          </w:p>
        </w:tc>
        <w:tc>
          <w:tcPr>
            <w:tcW w:w="1304"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1 135 109,2</w:t>
            </w:r>
          </w:p>
        </w:tc>
        <w:tc>
          <w:tcPr>
            <w:tcW w:w="1389"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149 630,7</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1 236 323,2</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174 152,7</w:t>
            </w:r>
          </w:p>
        </w:tc>
        <w:tc>
          <w:tcPr>
            <w:tcW w:w="1271"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2 256 033,2</w:t>
            </w:r>
          </w:p>
        </w:tc>
      </w:tr>
      <w:tr w:rsidR="00000E53" w:rsidRPr="003F6F3D" w:rsidTr="00000E53">
        <w:trPr>
          <w:trHeight w:val="5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i/>
                <w:iCs/>
                <w:sz w:val="20"/>
                <w:szCs w:val="20"/>
              </w:rPr>
            </w:pPr>
            <w:r w:rsidRPr="003F6F3D">
              <w:rPr>
                <w:i/>
                <w:iCs/>
                <w:sz w:val="20"/>
                <w:szCs w:val="20"/>
              </w:rPr>
              <w:t>доля в доходах местного бюджета (%)</w:t>
            </w:r>
          </w:p>
        </w:tc>
        <w:tc>
          <w:tcPr>
            <w:tcW w:w="142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11,6</w:t>
            </w:r>
          </w:p>
        </w:tc>
        <w:tc>
          <w:tcPr>
            <w:tcW w:w="1304"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88,4</w:t>
            </w:r>
          </w:p>
        </w:tc>
        <w:tc>
          <w:tcPr>
            <w:tcW w:w="1389"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10,8</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89,2</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7,2</w:t>
            </w:r>
          </w:p>
        </w:tc>
        <w:tc>
          <w:tcPr>
            <w:tcW w:w="1271"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92,8</w:t>
            </w:r>
          </w:p>
        </w:tc>
      </w:tr>
      <w:tr w:rsidR="00000E53" w:rsidRPr="003F6F3D" w:rsidTr="00000E53">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sz w:val="20"/>
                <w:szCs w:val="20"/>
              </w:rPr>
            </w:pPr>
            <w:proofErr w:type="spellStart"/>
            <w:r w:rsidRPr="003F6F3D">
              <w:rPr>
                <w:sz w:val="20"/>
                <w:szCs w:val="20"/>
              </w:rPr>
              <w:t>го</w:t>
            </w:r>
            <w:proofErr w:type="spellEnd"/>
            <w:r w:rsidRPr="003F6F3D">
              <w:rPr>
                <w:sz w:val="20"/>
                <w:szCs w:val="20"/>
              </w:rPr>
              <w:t xml:space="preserve"> </w:t>
            </w:r>
            <w:proofErr w:type="spellStart"/>
            <w:r w:rsidRPr="003F6F3D">
              <w:rPr>
                <w:sz w:val="20"/>
                <w:szCs w:val="20"/>
              </w:rPr>
              <w:t>Провиденский</w:t>
            </w:r>
            <w:proofErr w:type="spellEnd"/>
            <w:r w:rsidRPr="003F6F3D">
              <w:rPr>
                <w:sz w:val="20"/>
                <w:szCs w:val="20"/>
              </w:rPr>
              <w:t xml:space="preserve"> </w:t>
            </w:r>
          </w:p>
        </w:tc>
        <w:tc>
          <w:tcPr>
            <w:tcW w:w="142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73 482,6</w:t>
            </w:r>
          </w:p>
        </w:tc>
        <w:tc>
          <w:tcPr>
            <w:tcW w:w="1304"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801 785,9</w:t>
            </w:r>
          </w:p>
        </w:tc>
        <w:tc>
          <w:tcPr>
            <w:tcW w:w="1389"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77 862,1</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935 467,4</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84 106,0</w:t>
            </w:r>
          </w:p>
        </w:tc>
        <w:tc>
          <w:tcPr>
            <w:tcW w:w="1271"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1 126 031,6</w:t>
            </w:r>
          </w:p>
        </w:tc>
      </w:tr>
      <w:tr w:rsidR="00000E53" w:rsidRPr="003F6F3D" w:rsidTr="00000E53">
        <w:trPr>
          <w:trHeight w:val="206"/>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i/>
                <w:iCs/>
                <w:sz w:val="20"/>
                <w:szCs w:val="20"/>
              </w:rPr>
            </w:pPr>
            <w:r w:rsidRPr="003F6F3D">
              <w:rPr>
                <w:i/>
                <w:iCs/>
                <w:sz w:val="20"/>
                <w:szCs w:val="20"/>
              </w:rPr>
              <w:t>доля в доходах местного бюджета (%)</w:t>
            </w:r>
          </w:p>
        </w:tc>
        <w:tc>
          <w:tcPr>
            <w:tcW w:w="142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8,4</w:t>
            </w:r>
          </w:p>
        </w:tc>
        <w:tc>
          <w:tcPr>
            <w:tcW w:w="1304"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91,6</w:t>
            </w:r>
          </w:p>
        </w:tc>
        <w:tc>
          <w:tcPr>
            <w:tcW w:w="1389"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7,7</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92,3</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7,0</w:t>
            </w:r>
          </w:p>
        </w:tc>
        <w:tc>
          <w:tcPr>
            <w:tcW w:w="1271"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93,0</w:t>
            </w:r>
          </w:p>
        </w:tc>
      </w:tr>
      <w:tr w:rsidR="00000E53" w:rsidRPr="003F6F3D" w:rsidTr="00000E53">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sz w:val="20"/>
                <w:szCs w:val="20"/>
              </w:rPr>
            </w:pPr>
            <w:r w:rsidRPr="003F6F3D">
              <w:rPr>
                <w:sz w:val="20"/>
                <w:szCs w:val="20"/>
              </w:rPr>
              <w:t xml:space="preserve">Анадырский </w:t>
            </w:r>
            <w:proofErr w:type="spellStart"/>
            <w:r w:rsidRPr="003F6F3D">
              <w:rPr>
                <w:sz w:val="20"/>
                <w:szCs w:val="20"/>
              </w:rPr>
              <w:t>мр</w:t>
            </w:r>
            <w:proofErr w:type="spellEnd"/>
          </w:p>
        </w:tc>
        <w:tc>
          <w:tcPr>
            <w:tcW w:w="142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306 804,5</w:t>
            </w:r>
          </w:p>
        </w:tc>
        <w:tc>
          <w:tcPr>
            <w:tcW w:w="1304"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1 480 340,3</w:t>
            </w:r>
          </w:p>
        </w:tc>
        <w:tc>
          <w:tcPr>
            <w:tcW w:w="1389"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292 825,0</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1 806 565,8</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367 013,0</w:t>
            </w:r>
          </w:p>
        </w:tc>
        <w:tc>
          <w:tcPr>
            <w:tcW w:w="1271"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2 268 889,6</w:t>
            </w:r>
          </w:p>
        </w:tc>
      </w:tr>
      <w:tr w:rsidR="00000E53" w:rsidRPr="003F6F3D" w:rsidTr="00000E53">
        <w:trPr>
          <w:trHeight w:val="124"/>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i/>
                <w:iCs/>
                <w:sz w:val="20"/>
                <w:szCs w:val="20"/>
              </w:rPr>
            </w:pPr>
            <w:r w:rsidRPr="003F6F3D">
              <w:rPr>
                <w:i/>
                <w:iCs/>
                <w:sz w:val="20"/>
                <w:szCs w:val="20"/>
              </w:rPr>
              <w:t>доля в доходах местного бюджета (%)</w:t>
            </w:r>
          </w:p>
        </w:tc>
        <w:tc>
          <w:tcPr>
            <w:tcW w:w="142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17,2</w:t>
            </w:r>
          </w:p>
        </w:tc>
        <w:tc>
          <w:tcPr>
            <w:tcW w:w="1304"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82,8</w:t>
            </w:r>
          </w:p>
        </w:tc>
        <w:tc>
          <w:tcPr>
            <w:tcW w:w="1389"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13,9</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86,1</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13,9</w:t>
            </w:r>
          </w:p>
        </w:tc>
        <w:tc>
          <w:tcPr>
            <w:tcW w:w="1271"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86,1</w:t>
            </w:r>
          </w:p>
        </w:tc>
      </w:tr>
      <w:tr w:rsidR="00000E53" w:rsidRPr="003F6F3D" w:rsidTr="00000E53">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sz w:val="20"/>
                <w:szCs w:val="20"/>
              </w:rPr>
            </w:pPr>
            <w:proofErr w:type="spellStart"/>
            <w:r w:rsidRPr="003F6F3D">
              <w:rPr>
                <w:sz w:val="20"/>
                <w:szCs w:val="20"/>
              </w:rPr>
              <w:t>Билибинский</w:t>
            </w:r>
            <w:proofErr w:type="spellEnd"/>
            <w:r w:rsidRPr="003F6F3D">
              <w:rPr>
                <w:sz w:val="20"/>
                <w:szCs w:val="20"/>
              </w:rPr>
              <w:t xml:space="preserve"> </w:t>
            </w:r>
            <w:proofErr w:type="spellStart"/>
            <w:r w:rsidRPr="003F6F3D">
              <w:rPr>
                <w:sz w:val="20"/>
                <w:szCs w:val="20"/>
              </w:rPr>
              <w:t>мр</w:t>
            </w:r>
            <w:proofErr w:type="spellEnd"/>
          </w:p>
        </w:tc>
        <w:tc>
          <w:tcPr>
            <w:tcW w:w="142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333 524,9</w:t>
            </w:r>
          </w:p>
        </w:tc>
        <w:tc>
          <w:tcPr>
            <w:tcW w:w="1304"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1 222 664,0</w:t>
            </w:r>
          </w:p>
        </w:tc>
        <w:tc>
          <w:tcPr>
            <w:tcW w:w="1389"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352 837,2</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1 466 546,0</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294 795,1</w:t>
            </w:r>
          </w:p>
        </w:tc>
        <w:tc>
          <w:tcPr>
            <w:tcW w:w="1271"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1 827 036,6</w:t>
            </w:r>
          </w:p>
        </w:tc>
      </w:tr>
      <w:tr w:rsidR="00000E53" w:rsidRPr="003F6F3D" w:rsidTr="00000E53">
        <w:trPr>
          <w:trHeight w:val="5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i/>
                <w:iCs/>
                <w:sz w:val="20"/>
                <w:szCs w:val="20"/>
              </w:rPr>
            </w:pPr>
            <w:r w:rsidRPr="003F6F3D">
              <w:rPr>
                <w:i/>
                <w:iCs/>
                <w:sz w:val="20"/>
                <w:szCs w:val="20"/>
              </w:rPr>
              <w:t>доля в доходах местного бюджета (%)</w:t>
            </w:r>
          </w:p>
        </w:tc>
        <w:tc>
          <w:tcPr>
            <w:tcW w:w="142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21,4</w:t>
            </w:r>
          </w:p>
        </w:tc>
        <w:tc>
          <w:tcPr>
            <w:tcW w:w="1304"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78,6</w:t>
            </w:r>
          </w:p>
        </w:tc>
        <w:tc>
          <w:tcPr>
            <w:tcW w:w="1389"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19,4</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80,6</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13,9</w:t>
            </w:r>
          </w:p>
        </w:tc>
        <w:tc>
          <w:tcPr>
            <w:tcW w:w="1271"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86,1</w:t>
            </w:r>
          </w:p>
        </w:tc>
      </w:tr>
      <w:tr w:rsidR="00000E53" w:rsidRPr="003F6F3D" w:rsidTr="00000E53">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sz w:val="20"/>
                <w:szCs w:val="20"/>
              </w:rPr>
            </w:pPr>
            <w:r w:rsidRPr="003F6F3D">
              <w:rPr>
                <w:sz w:val="20"/>
                <w:szCs w:val="20"/>
              </w:rPr>
              <w:t xml:space="preserve">Чукотский </w:t>
            </w:r>
            <w:proofErr w:type="spellStart"/>
            <w:r w:rsidRPr="003F6F3D">
              <w:rPr>
                <w:sz w:val="20"/>
                <w:szCs w:val="20"/>
              </w:rPr>
              <w:t>мр</w:t>
            </w:r>
            <w:proofErr w:type="spellEnd"/>
          </w:p>
        </w:tc>
        <w:tc>
          <w:tcPr>
            <w:tcW w:w="142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70 739,9</w:t>
            </w:r>
          </w:p>
        </w:tc>
        <w:tc>
          <w:tcPr>
            <w:tcW w:w="1304"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1 189 321,6</w:t>
            </w:r>
          </w:p>
        </w:tc>
        <w:tc>
          <w:tcPr>
            <w:tcW w:w="1389"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85 024,5</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1 254 625,0</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77 351,3</w:t>
            </w:r>
          </w:p>
        </w:tc>
        <w:tc>
          <w:tcPr>
            <w:tcW w:w="1271"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1 957 756,2</w:t>
            </w:r>
          </w:p>
        </w:tc>
      </w:tr>
      <w:tr w:rsidR="00000E53" w:rsidRPr="003F6F3D" w:rsidTr="00000E53">
        <w:trPr>
          <w:trHeight w:val="5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i/>
                <w:iCs/>
                <w:sz w:val="20"/>
                <w:szCs w:val="20"/>
              </w:rPr>
            </w:pPr>
            <w:r w:rsidRPr="003F6F3D">
              <w:rPr>
                <w:i/>
                <w:iCs/>
                <w:sz w:val="20"/>
                <w:szCs w:val="20"/>
              </w:rPr>
              <w:t>доля в доходах местного бюджета (%)</w:t>
            </w:r>
          </w:p>
        </w:tc>
        <w:tc>
          <w:tcPr>
            <w:tcW w:w="142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5,6</w:t>
            </w:r>
          </w:p>
        </w:tc>
        <w:tc>
          <w:tcPr>
            <w:tcW w:w="1304"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94,4</w:t>
            </w:r>
          </w:p>
        </w:tc>
        <w:tc>
          <w:tcPr>
            <w:tcW w:w="1389"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6,3</w:t>
            </w:r>
          </w:p>
        </w:tc>
        <w:tc>
          <w:tcPr>
            <w:tcW w:w="1276"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93,7</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3,8</w:t>
            </w:r>
          </w:p>
        </w:tc>
        <w:tc>
          <w:tcPr>
            <w:tcW w:w="1271"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i/>
                <w:iCs/>
                <w:sz w:val="20"/>
                <w:szCs w:val="20"/>
              </w:rPr>
            </w:pPr>
            <w:r w:rsidRPr="003F6F3D">
              <w:rPr>
                <w:i/>
                <w:iCs/>
                <w:sz w:val="20"/>
                <w:szCs w:val="20"/>
              </w:rPr>
              <w:t>96,2</w:t>
            </w:r>
          </w:p>
        </w:tc>
      </w:tr>
    </w:tbl>
    <w:p w:rsidR="00000E53" w:rsidRPr="003F6F3D" w:rsidRDefault="00000E53" w:rsidP="00000E53">
      <w:pPr>
        <w:spacing w:before="120"/>
        <w:ind w:firstLine="709"/>
        <w:jc w:val="both"/>
        <w:rPr>
          <w:sz w:val="28"/>
          <w:szCs w:val="28"/>
        </w:rPr>
      </w:pPr>
      <w:r w:rsidRPr="003F6F3D">
        <w:rPr>
          <w:sz w:val="28"/>
          <w:szCs w:val="28"/>
        </w:rPr>
        <w:t>В муниципальных образованиях на протяжении всего анализируемого периода безвозмездные поступления из окружного бюджета составляли значительную долю доходов местных бюджетов (от 49,8% до 96,2%).</w:t>
      </w:r>
    </w:p>
    <w:p w:rsidR="00000E53" w:rsidRPr="003F6F3D" w:rsidRDefault="00000E53" w:rsidP="00000E53">
      <w:pPr>
        <w:autoSpaceDE w:val="0"/>
        <w:autoSpaceDN w:val="0"/>
        <w:adjustRightInd w:val="0"/>
        <w:ind w:firstLine="709"/>
        <w:jc w:val="both"/>
        <w:rPr>
          <w:rFonts w:eastAsiaTheme="minorHAnsi"/>
          <w:sz w:val="28"/>
          <w:szCs w:val="28"/>
        </w:rPr>
      </w:pPr>
      <w:r w:rsidRPr="003F6F3D">
        <w:rPr>
          <w:rFonts w:eastAsiaTheme="minorHAnsi"/>
          <w:sz w:val="28"/>
          <w:szCs w:val="28"/>
        </w:rPr>
        <w:t xml:space="preserve">При уровне исполнения утвержденных показателей по налоговым и неналоговым доходам в 2018-2020 годах более 90%, доля налоговых и неналоговых поступлений в структуре доходов составляла от 3,8% (Чукотский муниципальный район – 2020 год) до 50,2% (городской округ Анадырь – 2018 год), минимальные значения отмечаются в Чукотском муниципальном районе (2018 год – 5,6%, 2019 год – 6,3%, 2020 год – 3,8%) и городском округе </w:t>
      </w:r>
      <w:proofErr w:type="spellStart"/>
      <w:r w:rsidRPr="003F6F3D">
        <w:rPr>
          <w:rFonts w:eastAsiaTheme="minorHAnsi"/>
          <w:sz w:val="28"/>
          <w:szCs w:val="28"/>
        </w:rPr>
        <w:t>Провиденский</w:t>
      </w:r>
      <w:proofErr w:type="spellEnd"/>
      <w:r w:rsidRPr="003F6F3D">
        <w:rPr>
          <w:rFonts w:eastAsiaTheme="minorHAnsi"/>
          <w:sz w:val="28"/>
          <w:szCs w:val="28"/>
        </w:rPr>
        <w:t xml:space="preserve"> (2018 год – 8,4%, 2019 год – 7,7%, 2020 год – 7%). </w:t>
      </w:r>
    </w:p>
    <w:p w:rsidR="00000E53" w:rsidRPr="003F6F3D" w:rsidRDefault="00000E53" w:rsidP="00000E53">
      <w:pPr>
        <w:autoSpaceDE w:val="0"/>
        <w:autoSpaceDN w:val="0"/>
        <w:adjustRightInd w:val="0"/>
        <w:ind w:firstLine="709"/>
        <w:jc w:val="both"/>
        <w:rPr>
          <w:rFonts w:eastAsiaTheme="minorHAnsi"/>
          <w:sz w:val="28"/>
          <w:szCs w:val="28"/>
        </w:rPr>
      </w:pPr>
      <w:r w:rsidRPr="003F6F3D">
        <w:rPr>
          <w:rFonts w:eastAsiaTheme="minorHAnsi"/>
          <w:sz w:val="28"/>
          <w:szCs w:val="28"/>
        </w:rPr>
        <w:t>Результат исполнения бюджетов муниципальных образований в 2018-2020 годах отражен в таблице №4.</w:t>
      </w:r>
    </w:p>
    <w:p w:rsidR="00000E53" w:rsidRPr="003F6F3D" w:rsidRDefault="00000E53" w:rsidP="00000E53">
      <w:pPr>
        <w:autoSpaceDE w:val="0"/>
        <w:autoSpaceDN w:val="0"/>
        <w:adjustRightInd w:val="0"/>
        <w:ind w:firstLine="709"/>
        <w:jc w:val="right"/>
        <w:rPr>
          <w:rFonts w:eastAsiaTheme="minorHAnsi"/>
          <w:sz w:val="28"/>
          <w:szCs w:val="28"/>
        </w:rPr>
      </w:pPr>
      <w:r w:rsidRPr="003F6F3D">
        <w:rPr>
          <w:rFonts w:eastAsiaTheme="minorHAnsi"/>
          <w:sz w:val="28"/>
          <w:szCs w:val="28"/>
        </w:rPr>
        <w:t>Таблица №4</w:t>
      </w:r>
    </w:p>
    <w:p w:rsidR="00000E53" w:rsidRPr="003F6F3D" w:rsidRDefault="00000E53" w:rsidP="00000E53">
      <w:pPr>
        <w:autoSpaceDE w:val="0"/>
        <w:autoSpaceDN w:val="0"/>
        <w:adjustRightInd w:val="0"/>
        <w:ind w:firstLine="709"/>
        <w:jc w:val="right"/>
        <w:rPr>
          <w:rFonts w:eastAsiaTheme="minorHAnsi"/>
          <w:sz w:val="28"/>
          <w:szCs w:val="28"/>
        </w:rPr>
      </w:pPr>
      <w:r w:rsidRPr="003F6F3D">
        <w:rPr>
          <w:rFonts w:eastAsiaTheme="minorHAnsi"/>
          <w:sz w:val="28"/>
          <w:szCs w:val="28"/>
        </w:rPr>
        <w:t>(тыс. рублей)</w:t>
      </w:r>
    </w:p>
    <w:tbl>
      <w:tblPr>
        <w:tblW w:w="9953" w:type="dxa"/>
        <w:tblLook w:val="04A0" w:firstRow="1" w:lastRow="0" w:firstColumn="1" w:lastColumn="0" w:noHBand="0" w:noVBand="1"/>
      </w:tblPr>
      <w:tblGrid>
        <w:gridCol w:w="2689"/>
        <w:gridCol w:w="1363"/>
        <w:gridCol w:w="1417"/>
        <w:gridCol w:w="1455"/>
        <w:gridCol w:w="1045"/>
        <w:gridCol w:w="992"/>
        <w:gridCol w:w="992"/>
      </w:tblGrid>
      <w:tr w:rsidR="00000E53" w:rsidRPr="003F6F3D" w:rsidTr="00000E53">
        <w:trPr>
          <w:trHeight w:val="333"/>
          <w:tblHeader/>
        </w:trPr>
        <w:tc>
          <w:tcPr>
            <w:tcW w:w="26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 xml:space="preserve">Наименование </w:t>
            </w:r>
            <w:r w:rsidRPr="003F6F3D">
              <w:rPr>
                <w:sz w:val="20"/>
                <w:szCs w:val="20"/>
              </w:rPr>
              <w:br/>
              <w:t>показателя</w:t>
            </w:r>
          </w:p>
        </w:tc>
        <w:tc>
          <w:tcPr>
            <w:tcW w:w="4235" w:type="dxa"/>
            <w:gridSpan w:val="3"/>
            <w:tcBorders>
              <w:top w:val="single" w:sz="4" w:space="0" w:color="auto"/>
              <w:left w:val="nil"/>
              <w:bottom w:val="single" w:sz="4" w:space="0" w:color="auto"/>
              <w:right w:val="single" w:sz="4" w:space="0" w:color="000000"/>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 xml:space="preserve">Результат исполнения </w:t>
            </w:r>
            <w:r w:rsidRPr="003F6F3D">
              <w:rPr>
                <w:sz w:val="20"/>
                <w:szCs w:val="20"/>
              </w:rPr>
              <w:br/>
              <w:t>местных бюджетов</w:t>
            </w:r>
          </w:p>
        </w:tc>
        <w:tc>
          <w:tcPr>
            <w:tcW w:w="3029" w:type="dxa"/>
            <w:gridSpan w:val="3"/>
            <w:tcBorders>
              <w:top w:val="single" w:sz="4" w:space="0" w:color="auto"/>
              <w:left w:val="nil"/>
              <w:bottom w:val="single" w:sz="4" w:space="0" w:color="auto"/>
              <w:right w:val="single" w:sz="4" w:space="0" w:color="000000"/>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Уровень исполнения (%)</w:t>
            </w:r>
          </w:p>
        </w:tc>
      </w:tr>
      <w:tr w:rsidR="00000E53" w:rsidRPr="003F6F3D" w:rsidTr="00000E53">
        <w:trPr>
          <w:trHeight w:val="281"/>
          <w:tblHeader/>
        </w:trPr>
        <w:tc>
          <w:tcPr>
            <w:tcW w:w="2689" w:type="dxa"/>
            <w:vMerge/>
            <w:tcBorders>
              <w:top w:val="single" w:sz="4" w:space="0" w:color="auto"/>
              <w:left w:val="single" w:sz="4" w:space="0" w:color="auto"/>
              <w:bottom w:val="single" w:sz="4" w:space="0" w:color="000000"/>
              <w:right w:val="single" w:sz="4" w:space="0" w:color="auto"/>
            </w:tcBorders>
            <w:vAlign w:val="center"/>
            <w:hideMark/>
          </w:tcPr>
          <w:p w:rsidR="00000E53" w:rsidRPr="003F6F3D" w:rsidRDefault="00000E53" w:rsidP="00000E53">
            <w:pPr>
              <w:spacing w:line="216" w:lineRule="auto"/>
              <w:rPr>
                <w:sz w:val="20"/>
                <w:szCs w:val="20"/>
              </w:rPr>
            </w:pPr>
          </w:p>
        </w:tc>
        <w:tc>
          <w:tcPr>
            <w:tcW w:w="1363"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2018 год</w:t>
            </w:r>
          </w:p>
        </w:tc>
        <w:tc>
          <w:tcPr>
            <w:tcW w:w="1417"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2019 год</w:t>
            </w:r>
          </w:p>
        </w:tc>
        <w:tc>
          <w:tcPr>
            <w:tcW w:w="1455"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2020 год</w:t>
            </w:r>
          </w:p>
        </w:tc>
        <w:tc>
          <w:tcPr>
            <w:tcW w:w="1045"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2018 год</w:t>
            </w:r>
          </w:p>
        </w:tc>
        <w:tc>
          <w:tcPr>
            <w:tcW w:w="992"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2019 год</w:t>
            </w:r>
          </w:p>
        </w:tc>
        <w:tc>
          <w:tcPr>
            <w:tcW w:w="992"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2020 год</w:t>
            </w:r>
          </w:p>
        </w:tc>
      </w:tr>
      <w:tr w:rsidR="00000E53" w:rsidRPr="003F6F3D" w:rsidTr="00000E53">
        <w:trPr>
          <w:trHeight w:val="129"/>
          <w:tblHeader/>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1</w:t>
            </w:r>
          </w:p>
        </w:tc>
        <w:tc>
          <w:tcPr>
            <w:tcW w:w="1363" w:type="dxa"/>
            <w:tcBorders>
              <w:top w:val="nil"/>
              <w:left w:val="nil"/>
              <w:bottom w:val="single" w:sz="4" w:space="0" w:color="auto"/>
              <w:right w:val="single" w:sz="4" w:space="0" w:color="auto"/>
            </w:tcBorders>
            <w:shd w:val="clear" w:color="auto" w:fill="auto"/>
            <w:vAlign w:val="center"/>
            <w:hideMark/>
          </w:tcPr>
          <w:p w:rsidR="00000E53" w:rsidRPr="003F6F3D" w:rsidRDefault="00000E53" w:rsidP="00000E53">
            <w:pPr>
              <w:spacing w:line="216" w:lineRule="auto"/>
              <w:jc w:val="center"/>
              <w:rPr>
                <w:sz w:val="20"/>
                <w:szCs w:val="20"/>
              </w:rPr>
            </w:pPr>
            <w:r w:rsidRPr="003F6F3D">
              <w:rPr>
                <w:sz w:val="20"/>
                <w:szCs w:val="20"/>
              </w:rPr>
              <w:t>2</w:t>
            </w:r>
          </w:p>
        </w:tc>
        <w:tc>
          <w:tcPr>
            <w:tcW w:w="1417" w:type="dxa"/>
            <w:tcBorders>
              <w:top w:val="nil"/>
              <w:left w:val="nil"/>
              <w:bottom w:val="single" w:sz="4" w:space="0" w:color="auto"/>
              <w:right w:val="single" w:sz="4" w:space="0" w:color="auto"/>
            </w:tcBorders>
            <w:shd w:val="clear" w:color="auto" w:fill="auto"/>
            <w:vAlign w:val="center"/>
          </w:tcPr>
          <w:p w:rsidR="00000E53" w:rsidRPr="003F6F3D" w:rsidRDefault="00000E53" w:rsidP="00000E53">
            <w:pPr>
              <w:spacing w:line="216" w:lineRule="auto"/>
              <w:jc w:val="center"/>
              <w:rPr>
                <w:sz w:val="20"/>
                <w:szCs w:val="20"/>
              </w:rPr>
            </w:pPr>
            <w:r w:rsidRPr="003F6F3D">
              <w:rPr>
                <w:sz w:val="20"/>
                <w:szCs w:val="20"/>
              </w:rPr>
              <w:t>3</w:t>
            </w:r>
          </w:p>
        </w:tc>
        <w:tc>
          <w:tcPr>
            <w:tcW w:w="1455" w:type="dxa"/>
            <w:tcBorders>
              <w:top w:val="nil"/>
              <w:left w:val="nil"/>
              <w:bottom w:val="single" w:sz="4" w:space="0" w:color="auto"/>
              <w:right w:val="single" w:sz="4" w:space="0" w:color="auto"/>
            </w:tcBorders>
            <w:shd w:val="clear" w:color="auto" w:fill="auto"/>
            <w:vAlign w:val="center"/>
          </w:tcPr>
          <w:p w:rsidR="00000E53" w:rsidRPr="003F6F3D" w:rsidRDefault="00000E53" w:rsidP="00000E53">
            <w:pPr>
              <w:spacing w:line="216" w:lineRule="auto"/>
              <w:jc w:val="center"/>
              <w:rPr>
                <w:sz w:val="20"/>
                <w:szCs w:val="20"/>
              </w:rPr>
            </w:pPr>
            <w:r w:rsidRPr="003F6F3D">
              <w:rPr>
                <w:sz w:val="20"/>
                <w:szCs w:val="20"/>
              </w:rPr>
              <w:t>4</w:t>
            </w:r>
          </w:p>
        </w:tc>
        <w:tc>
          <w:tcPr>
            <w:tcW w:w="1045" w:type="dxa"/>
            <w:tcBorders>
              <w:top w:val="nil"/>
              <w:left w:val="nil"/>
              <w:bottom w:val="single" w:sz="4" w:space="0" w:color="auto"/>
              <w:right w:val="single" w:sz="4" w:space="0" w:color="auto"/>
            </w:tcBorders>
            <w:shd w:val="clear" w:color="auto" w:fill="auto"/>
            <w:vAlign w:val="center"/>
          </w:tcPr>
          <w:p w:rsidR="00000E53" w:rsidRPr="003F6F3D" w:rsidRDefault="00000E53" w:rsidP="00000E53">
            <w:pPr>
              <w:spacing w:line="216" w:lineRule="auto"/>
              <w:jc w:val="center"/>
              <w:rPr>
                <w:sz w:val="20"/>
                <w:szCs w:val="20"/>
              </w:rPr>
            </w:pPr>
            <w:r w:rsidRPr="003F6F3D">
              <w:rPr>
                <w:sz w:val="20"/>
                <w:szCs w:val="20"/>
              </w:rPr>
              <w:t>5</w:t>
            </w:r>
          </w:p>
        </w:tc>
        <w:tc>
          <w:tcPr>
            <w:tcW w:w="992" w:type="dxa"/>
            <w:tcBorders>
              <w:top w:val="nil"/>
              <w:left w:val="nil"/>
              <w:bottom w:val="single" w:sz="4" w:space="0" w:color="auto"/>
              <w:right w:val="single" w:sz="4" w:space="0" w:color="auto"/>
            </w:tcBorders>
            <w:shd w:val="clear" w:color="auto" w:fill="auto"/>
            <w:vAlign w:val="center"/>
          </w:tcPr>
          <w:p w:rsidR="00000E53" w:rsidRPr="003F6F3D" w:rsidRDefault="00000E53" w:rsidP="00000E53">
            <w:pPr>
              <w:spacing w:line="216" w:lineRule="auto"/>
              <w:jc w:val="center"/>
              <w:rPr>
                <w:sz w:val="20"/>
                <w:szCs w:val="20"/>
              </w:rPr>
            </w:pPr>
            <w:r w:rsidRPr="003F6F3D">
              <w:rPr>
                <w:sz w:val="20"/>
                <w:szCs w:val="20"/>
              </w:rPr>
              <w:t>6</w:t>
            </w:r>
          </w:p>
        </w:tc>
        <w:tc>
          <w:tcPr>
            <w:tcW w:w="992" w:type="dxa"/>
            <w:tcBorders>
              <w:top w:val="nil"/>
              <w:left w:val="nil"/>
              <w:bottom w:val="single" w:sz="4" w:space="0" w:color="auto"/>
              <w:right w:val="single" w:sz="4" w:space="0" w:color="auto"/>
            </w:tcBorders>
            <w:shd w:val="clear" w:color="auto" w:fill="auto"/>
            <w:vAlign w:val="center"/>
          </w:tcPr>
          <w:p w:rsidR="00000E53" w:rsidRPr="003F6F3D" w:rsidRDefault="00000E53" w:rsidP="00000E53">
            <w:pPr>
              <w:spacing w:line="216" w:lineRule="auto"/>
              <w:jc w:val="center"/>
              <w:rPr>
                <w:sz w:val="20"/>
                <w:szCs w:val="20"/>
              </w:rPr>
            </w:pPr>
            <w:r w:rsidRPr="003F6F3D">
              <w:rPr>
                <w:sz w:val="20"/>
                <w:szCs w:val="20"/>
              </w:rPr>
              <w:t>7</w:t>
            </w:r>
          </w:p>
        </w:tc>
      </w:tr>
      <w:tr w:rsidR="00000E53" w:rsidRPr="003F6F3D" w:rsidTr="00000E53">
        <w:trPr>
          <w:trHeight w:val="300"/>
        </w:trPr>
        <w:tc>
          <w:tcPr>
            <w:tcW w:w="9953" w:type="dxa"/>
            <w:gridSpan w:val="7"/>
            <w:tcBorders>
              <w:top w:val="single" w:sz="4" w:space="0" w:color="auto"/>
              <w:left w:val="single" w:sz="4" w:space="0" w:color="auto"/>
              <w:bottom w:val="single" w:sz="4" w:space="0" w:color="auto"/>
              <w:right w:val="single" w:sz="4" w:space="0" w:color="000000"/>
            </w:tcBorders>
            <w:shd w:val="clear" w:color="000000" w:fill="EDEDED"/>
            <w:vAlign w:val="center"/>
            <w:hideMark/>
          </w:tcPr>
          <w:p w:rsidR="00000E53" w:rsidRPr="003F6F3D" w:rsidRDefault="00000E53" w:rsidP="00000E53">
            <w:pPr>
              <w:spacing w:line="216" w:lineRule="auto"/>
              <w:jc w:val="center"/>
              <w:rPr>
                <w:b/>
                <w:bCs/>
                <w:sz w:val="20"/>
                <w:szCs w:val="20"/>
              </w:rPr>
            </w:pPr>
            <w:proofErr w:type="spellStart"/>
            <w:r w:rsidRPr="003F6F3D">
              <w:rPr>
                <w:b/>
                <w:bCs/>
                <w:sz w:val="20"/>
                <w:szCs w:val="20"/>
              </w:rPr>
              <w:t>го</w:t>
            </w:r>
            <w:proofErr w:type="spellEnd"/>
            <w:r w:rsidRPr="003F6F3D">
              <w:rPr>
                <w:b/>
                <w:bCs/>
                <w:sz w:val="20"/>
                <w:szCs w:val="20"/>
              </w:rPr>
              <w:t xml:space="preserve"> Анадырь</w:t>
            </w:r>
          </w:p>
        </w:tc>
      </w:tr>
      <w:tr w:rsidR="00000E53" w:rsidRPr="003F6F3D" w:rsidTr="00000E53">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sz w:val="20"/>
                <w:szCs w:val="20"/>
              </w:rPr>
            </w:pPr>
            <w:r w:rsidRPr="003F6F3D">
              <w:rPr>
                <w:sz w:val="20"/>
                <w:szCs w:val="20"/>
              </w:rPr>
              <w:t>Доходы</w:t>
            </w:r>
          </w:p>
        </w:tc>
        <w:tc>
          <w:tcPr>
            <w:tcW w:w="136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1 316 683,7</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1 545 636,0</w:t>
            </w:r>
          </w:p>
        </w:tc>
        <w:tc>
          <w:tcPr>
            <w:tcW w:w="145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2 219 475,0</w:t>
            </w:r>
          </w:p>
        </w:tc>
        <w:tc>
          <w:tcPr>
            <w:tcW w:w="104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95,7</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103,2</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100,0</w:t>
            </w:r>
          </w:p>
        </w:tc>
      </w:tr>
      <w:tr w:rsidR="00000E53" w:rsidRPr="003F6F3D" w:rsidTr="00000E53">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sz w:val="20"/>
                <w:szCs w:val="20"/>
              </w:rPr>
            </w:pPr>
            <w:r w:rsidRPr="003F6F3D">
              <w:rPr>
                <w:sz w:val="20"/>
                <w:szCs w:val="20"/>
              </w:rPr>
              <w:t>Расходы</w:t>
            </w:r>
          </w:p>
        </w:tc>
        <w:tc>
          <w:tcPr>
            <w:tcW w:w="136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1 252 066,1</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1 537 305,4</w:t>
            </w:r>
          </w:p>
        </w:tc>
        <w:tc>
          <w:tcPr>
            <w:tcW w:w="145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2 105 520,5</w:t>
            </w:r>
          </w:p>
        </w:tc>
        <w:tc>
          <w:tcPr>
            <w:tcW w:w="104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91,9</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97,8</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91,9</w:t>
            </w:r>
          </w:p>
        </w:tc>
      </w:tr>
      <w:tr w:rsidR="00000E53" w:rsidRPr="003F6F3D" w:rsidTr="00000E53">
        <w:trPr>
          <w:trHeight w:val="5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b/>
                <w:bCs/>
                <w:sz w:val="20"/>
                <w:szCs w:val="20"/>
              </w:rPr>
            </w:pPr>
            <w:r w:rsidRPr="003F6F3D">
              <w:rPr>
                <w:b/>
                <w:bCs/>
                <w:sz w:val="20"/>
                <w:szCs w:val="20"/>
              </w:rPr>
              <w:t>Дефицит «-»; Профицит «+»</w:t>
            </w:r>
          </w:p>
        </w:tc>
        <w:tc>
          <w:tcPr>
            <w:tcW w:w="136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b/>
                <w:bCs/>
                <w:sz w:val="20"/>
                <w:szCs w:val="20"/>
              </w:rPr>
            </w:pPr>
            <w:r w:rsidRPr="003F6F3D">
              <w:rPr>
                <w:b/>
                <w:bCs/>
                <w:sz w:val="20"/>
                <w:szCs w:val="20"/>
              </w:rPr>
              <w:t>64 617,6</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b/>
                <w:bCs/>
                <w:sz w:val="20"/>
                <w:szCs w:val="20"/>
              </w:rPr>
            </w:pPr>
            <w:r w:rsidRPr="003F6F3D">
              <w:rPr>
                <w:b/>
                <w:bCs/>
                <w:sz w:val="20"/>
                <w:szCs w:val="20"/>
              </w:rPr>
              <w:t>8 330,6</w:t>
            </w:r>
          </w:p>
        </w:tc>
        <w:tc>
          <w:tcPr>
            <w:tcW w:w="145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b/>
                <w:bCs/>
                <w:sz w:val="20"/>
                <w:szCs w:val="20"/>
              </w:rPr>
            </w:pPr>
            <w:r w:rsidRPr="003F6F3D">
              <w:rPr>
                <w:b/>
                <w:bCs/>
                <w:sz w:val="20"/>
                <w:szCs w:val="20"/>
              </w:rPr>
              <w:t>113 954,5</w:t>
            </w:r>
          </w:p>
        </w:tc>
        <w:tc>
          <w:tcPr>
            <w:tcW w:w="104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b/>
                <w:bCs/>
                <w:sz w:val="20"/>
                <w:szCs w:val="20"/>
              </w:rPr>
            </w:pPr>
            <w:r w:rsidRPr="003F6F3D">
              <w:rPr>
                <w:b/>
                <w:bCs/>
                <w:sz w:val="20"/>
                <w:szCs w:val="20"/>
              </w:rPr>
              <w:t>х</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b/>
                <w:bCs/>
                <w:sz w:val="20"/>
                <w:szCs w:val="20"/>
              </w:rPr>
            </w:pPr>
            <w:r w:rsidRPr="003F6F3D">
              <w:rPr>
                <w:b/>
                <w:bCs/>
                <w:sz w:val="20"/>
                <w:szCs w:val="20"/>
              </w:rPr>
              <w:t>х</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b/>
                <w:bCs/>
                <w:sz w:val="20"/>
                <w:szCs w:val="20"/>
              </w:rPr>
            </w:pPr>
            <w:r w:rsidRPr="003F6F3D">
              <w:rPr>
                <w:b/>
                <w:bCs/>
                <w:sz w:val="20"/>
                <w:szCs w:val="20"/>
              </w:rPr>
              <w:t>х</w:t>
            </w:r>
          </w:p>
        </w:tc>
      </w:tr>
      <w:tr w:rsidR="00000E53" w:rsidRPr="003F6F3D" w:rsidTr="00000E53">
        <w:trPr>
          <w:trHeight w:val="300"/>
        </w:trPr>
        <w:tc>
          <w:tcPr>
            <w:tcW w:w="9953" w:type="dxa"/>
            <w:gridSpan w:val="7"/>
            <w:tcBorders>
              <w:top w:val="single" w:sz="4" w:space="0" w:color="auto"/>
              <w:left w:val="single" w:sz="4" w:space="0" w:color="auto"/>
              <w:bottom w:val="single" w:sz="4" w:space="0" w:color="auto"/>
              <w:right w:val="single" w:sz="4" w:space="0" w:color="000000"/>
            </w:tcBorders>
            <w:shd w:val="clear" w:color="000000" w:fill="EDEDED"/>
            <w:vAlign w:val="center"/>
            <w:hideMark/>
          </w:tcPr>
          <w:p w:rsidR="00000E53" w:rsidRPr="003F6F3D" w:rsidRDefault="00000E53" w:rsidP="00000E53">
            <w:pPr>
              <w:spacing w:line="216" w:lineRule="auto"/>
              <w:jc w:val="center"/>
              <w:rPr>
                <w:b/>
                <w:bCs/>
                <w:sz w:val="20"/>
                <w:szCs w:val="20"/>
              </w:rPr>
            </w:pPr>
            <w:proofErr w:type="spellStart"/>
            <w:r w:rsidRPr="003F6F3D">
              <w:rPr>
                <w:b/>
                <w:bCs/>
                <w:sz w:val="20"/>
                <w:szCs w:val="20"/>
              </w:rPr>
              <w:t>го</w:t>
            </w:r>
            <w:proofErr w:type="spellEnd"/>
            <w:r w:rsidRPr="003F6F3D">
              <w:rPr>
                <w:b/>
                <w:bCs/>
                <w:sz w:val="20"/>
                <w:szCs w:val="20"/>
              </w:rPr>
              <w:t xml:space="preserve"> </w:t>
            </w:r>
            <w:proofErr w:type="spellStart"/>
            <w:r w:rsidRPr="003F6F3D">
              <w:rPr>
                <w:b/>
                <w:bCs/>
                <w:sz w:val="20"/>
                <w:szCs w:val="20"/>
              </w:rPr>
              <w:t>Певек</w:t>
            </w:r>
            <w:proofErr w:type="spellEnd"/>
          </w:p>
        </w:tc>
      </w:tr>
      <w:tr w:rsidR="00000E53" w:rsidRPr="003F6F3D" w:rsidTr="00000E53">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sz w:val="20"/>
                <w:szCs w:val="20"/>
              </w:rPr>
            </w:pPr>
            <w:r w:rsidRPr="003F6F3D">
              <w:rPr>
                <w:sz w:val="20"/>
                <w:szCs w:val="20"/>
              </w:rPr>
              <w:t>Доходы</w:t>
            </w:r>
          </w:p>
        </w:tc>
        <w:tc>
          <w:tcPr>
            <w:tcW w:w="136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1 011 220,1</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1 450 287,7</w:t>
            </w:r>
          </w:p>
        </w:tc>
        <w:tc>
          <w:tcPr>
            <w:tcW w:w="145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3 005 211,6</w:t>
            </w:r>
          </w:p>
        </w:tc>
        <w:tc>
          <w:tcPr>
            <w:tcW w:w="104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97,0</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92,3</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100,6</w:t>
            </w:r>
          </w:p>
        </w:tc>
      </w:tr>
      <w:tr w:rsidR="00000E53" w:rsidRPr="003F6F3D" w:rsidTr="00000E53">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sz w:val="20"/>
                <w:szCs w:val="20"/>
              </w:rPr>
            </w:pPr>
            <w:r w:rsidRPr="003F6F3D">
              <w:rPr>
                <w:sz w:val="20"/>
                <w:szCs w:val="20"/>
              </w:rPr>
              <w:t>Расходы</w:t>
            </w:r>
          </w:p>
        </w:tc>
        <w:tc>
          <w:tcPr>
            <w:tcW w:w="136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1 023 076,3</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1 508 265,6</w:t>
            </w:r>
          </w:p>
        </w:tc>
        <w:tc>
          <w:tcPr>
            <w:tcW w:w="145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2 948 725,6</w:t>
            </w:r>
          </w:p>
        </w:tc>
        <w:tc>
          <w:tcPr>
            <w:tcW w:w="104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97,2</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92,3</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98,7</w:t>
            </w:r>
          </w:p>
        </w:tc>
      </w:tr>
      <w:tr w:rsidR="00000E53" w:rsidRPr="003F6F3D" w:rsidTr="00000E53">
        <w:trPr>
          <w:trHeight w:val="5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b/>
                <w:bCs/>
                <w:sz w:val="20"/>
                <w:szCs w:val="20"/>
              </w:rPr>
            </w:pPr>
            <w:r w:rsidRPr="003F6F3D">
              <w:rPr>
                <w:b/>
                <w:bCs/>
                <w:sz w:val="20"/>
                <w:szCs w:val="20"/>
              </w:rPr>
              <w:t>Дефицит «-»; Профицит «+»</w:t>
            </w:r>
          </w:p>
        </w:tc>
        <w:tc>
          <w:tcPr>
            <w:tcW w:w="136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b/>
                <w:bCs/>
                <w:sz w:val="20"/>
                <w:szCs w:val="20"/>
              </w:rPr>
            </w:pPr>
            <w:r w:rsidRPr="003F6F3D">
              <w:rPr>
                <w:b/>
                <w:bCs/>
                <w:sz w:val="20"/>
                <w:szCs w:val="20"/>
              </w:rPr>
              <w:t>-  11 856,2</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b/>
                <w:bCs/>
                <w:sz w:val="20"/>
                <w:szCs w:val="20"/>
              </w:rPr>
            </w:pPr>
            <w:r w:rsidRPr="003F6F3D">
              <w:rPr>
                <w:b/>
                <w:bCs/>
                <w:sz w:val="20"/>
                <w:szCs w:val="20"/>
              </w:rPr>
              <w:t>-  57 977,9</w:t>
            </w:r>
          </w:p>
        </w:tc>
        <w:tc>
          <w:tcPr>
            <w:tcW w:w="145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b/>
                <w:bCs/>
                <w:sz w:val="20"/>
                <w:szCs w:val="20"/>
              </w:rPr>
            </w:pPr>
            <w:r w:rsidRPr="003F6F3D">
              <w:rPr>
                <w:b/>
                <w:bCs/>
                <w:sz w:val="20"/>
                <w:szCs w:val="20"/>
              </w:rPr>
              <w:t>56 486,0</w:t>
            </w:r>
          </w:p>
        </w:tc>
        <w:tc>
          <w:tcPr>
            <w:tcW w:w="104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b/>
                <w:bCs/>
                <w:sz w:val="20"/>
                <w:szCs w:val="20"/>
              </w:rPr>
            </w:pPr>
            <w:r w:rsidRPr="003F6F3D">
              <w:rPr>
                <w:b/>
                <w:bCs/>
                <w:sz w:val="20"/>
                <w:szCs w:val="20"/>
              </w:rPr>
              <w:t>х</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b/>
                <w:bCs/>
                <w:sz w:val="20"/>
                <w:szCs w:val="20"/>
              </w:rPr>
            </w:pPr>
            <w:r w:rsidRPr="003F6F3D">
              <w:rPr>
                <w:b/>
                <w:bCs/>
                <w:sz w:val="20"/>
                <w:szCs w:val="20"/>
              </w:rPr>
              <w:t>х</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b/>
                <w:bCs/>
                <w:sz w:val="20"/>
                <w:szCs w:val="20"/>
              </w:rPr>
            </w:pPr>
            <w:r w:rsidRPr="003F6F3D">
              <w:rPr>
                <w:b/>
                <w:bCs/>
                <w:sz w:val="20"/>
                <w:szCs w:val="20"/>
              </w:rPr>
              <w:t>х</w:t>
            </w:r>
          </w:p>
        </w:tc>
      </w:tr>
      <w:tr w:rsidR="00000E53" w:rsidRPr="003F6F3D" w:rsidTr="00000E53">
        <w:trPr>
          <w:trHeight w:val="300"/>
        </w:trPr>
        <w:tc>
          <w:tcPr>
            <w:tcW w:w="9953" w:type="dxa"/>
            <w:gridSpan w:val="7"/>
            <w:tcBorders>
              <w:top w:val="single" w:sz="4" w:space="0" w:color="auto"/>
              <w:left w:val="single" w:sz="4" w:space="0" w:color="auto"/>
              <w:bottom w:val="single" w:sz="4" w:space="0" w:color="auto"/>
              <w:right w:val="single" w:sz="4" w:space="0" w:color="000000"/>
            </w:tcBorders>
            <w:shd w:val="clear" w:color="000000" w:fill="EDEDED"/>
            <w:vAlign w:val="center"/>
            <w:hideMark/>
          </w:tcPr>
          <w:p w:rsidR="00000E53" w:rsidRPr="003F6F3D" w:rsidRDefault="00000E53" w:rsidP="00000E53">
            <w:pPr>
              <w:spacing w:line="216" w:lineRule="auto"/>
              <w:jc w:val="center"/>
              <w:rPr>
                <w:b/>
                <w:bCs/>
                <w:sz w:val="20"/>
                <w:szCs w:val="20"/>
              </w:rPr>
            </w:pPr>
            <w:proofErr w:type="spellStart"/>
            <w:r w:rsidRPr="003F6F3D">
              <w:rPr>
                <w:b/>
                <w:bCs/>
                <w:sz w:val="20"/>
                <w:szCs w:val="20"/>
              </w:rPr>
              <w:t>го</w:t>
            </w:r>
            <w:proofErr w:type="spellEnd"/>
            <w:r w:rsidRPr="003F6F3D">
              <w:rPr>
                <w:b/>
                <w:bCs/>
                <w:sz w:val="20"/>
                <w:szCs w:val="20"/>
              </w:rPr>
              <w:t xml:space="preserve"> </w:t>
            </w:r>
            <w:proofErr w:type="spellStart"/>
            <w:r w:rsidRPr="003F6F3D">
              <w:rPr>
                <w:b/>
                <w:bCs/>
                <w:sz w:val="20"/>
                <w:szCs w:val="20"/>
              </w:rPr>
              <w:t>Эгвекинот</w:t>
            </w:r>
            <w:proofErr w:type="spellEnd"/>
          </w:p>
        </w:tc>
      </w:tr>
      <w:tr w:rsidR="00000E53" w:rsidRPr="003F6F3D" w:rsidTr="00000E53">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sz w:val="20"/>
                <w:szCs w:val="20"/>
              </w:rPr>
            </w:pPr>
            <w:r w:rsidRPr="003F6F3D">
              <w:rPr>
                <w:sz w:val="20"/>
                <w:szCs w:val="20"/>
              </w:rPr>
              <w:t>Доходы</w:t>
            </w:r>
          </w:p>
        </w:tc>
        <w:tc>
          <w:tcPr>
            <w:tcW w:w="136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1 284 057,4</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1 385 953,9</w:t>
            </w:r>
          </w:p>
        </w:tc>
        <w:tc>
          <w:tcPr>
            <w:tcW w:w="145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2 430 185,9</w:t>
            </w:r>
          </w:p>
        </w:tc>
        <w:tc>
          <w:tcPr>
            <w:tcW w:w="104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97,7</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99,4</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100,6</w:t>
            </w:r>
          </w:p>
        </w:tc>
      </w:tr>
      <w:tr w:rsidR="00000E53" w:rsidRPr="003F6F3D" w:rsidTr="00000E53">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sz w:val="20"/>
                <w:szCs w:val="20"/>
              </w:rPr>
            </w:pPr>
            <w:r w:rsidRPr="003F6F3D">
              <w:rPr>
                <w:sz w:val="20"/>
                <w:szCs w:val="20"/>
              </w:rPr>
              <w:t>Расходы</w:t>
            </w:r>
          </w:p>
        </w:tc>
        <w:tc>
          <w:tcPr>
            <w:tcW w:w="136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1 303 877,7</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1 384 140,4</w:t>
            </w:r>
          </w:p>
        </w:tc>
        <w:tc>
          <w:tcPr>
            <w:tcW w:w="145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2 384 162,2</w:t>
            </w:r>
          </w:p>
        </w:tc>
        <w:tc>
          <w:tcPr>
            <w:tcW w:w="104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97,4</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99,0</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98,2</w:t>
            </w:r>
          </w:p>
        </w:tc>
      </w:tr>
      <w:tr w:rsidR="00000E53" w:rsidRPr="003F6F3D" w:rsidTr="00000E53">
        <w:trPr>
          <w:trHeight w:val="5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b/>
                <w:bCs/>
                <w:sz w:val="20"/>
                <w:szCs w:val="20"/>
              </w:rPr>
            </w:pPr>
            <w:r w:rsidRPr="003F6F3D">
              <w:rPr>
                <w:b/>
                <w:bCs/>
                <w:sz w:val="20"/>
                <w:szCs w:val="20"/>
              </w:rPr>
              <w:t>Дефицит «-»; Профицит «+»</w:t>
            </w:r>
          </w:p>
        </w:tc>
        <w:tc>
          <w:tcPr>
            <w:tcW w:w="136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b/>
                <w:bCs/>
                <w:sz w:val="20"/>
                <w:szCs w:val="20"/>
              </w:rPr>
            </w:pPr>
            <w:r w:rsidRPr="003F6F3D">
              <w:rPr>
                <w:b/>
                <w:bCs/>
                <w:sz w:val="20"/>
                <w:szCs w:val="20"/>
              </w:rPr>
              <w:t>-  19 820,3</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b/>
                <w:bCs/>
                <w:sz w:val="20"/>
                <w:szCs w:val="20"/>
              </w:rPr>
            </w:pPr>
            <w:r w:rsidRPr="003F6F3D">
              <w:rPr>
                <w:b/>
                <w:bCs/>
                <w:sz w:val="20"/>
                <w:szCs w:val="20"/>
              </w:rPr>
              <w:t>1 813,5</w:t>
            </w:r>
          </w:p>
        </w:tc>
        <w:tc>
          <w:tcPr>
            <w:tcW w:w="145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b/>
                <w:bCs/>
                <w:sz w:val="20"/>
                <w:szCs w:val="20"/>
              </w:rPr>
            </w:pPr>
            <w:r w:rsidRPr="003F6F3D">
              <w:rPr>
                <w:b/>
                <w:bCs/>
                <w:sz w:val="20"/>
                <w:szCs w:val="20"/>
              </w:rPr>
              <w:t>46 023,7</w:t>
            </w:r>
          </w:p>
        </w:tc>
        <w:tc>
          <w:tcPr>
            <w:tcW w:w="104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b/>
                <w:bCs/>
                <w:sz w:val="20"/>
                <w:szCs w:val="20"/>
              </w:rPr>
            </w:pPr>
            <w:r w:rsidRPr="003F6F3D">
              <w:rPr>
                <w:b/>
                <w:bCs/>
                <w:sz w:val="20"/>
                <w:szCs w:val="20"/>
              </w:rPr>
              <w:t>х</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b/>
                <w:bCs/>
                <w:sz w:val="20"/>
                <w:szCs w:val="20"/>
              </w:rPr>
            </w:pPr>
            <w:r w:rsidRPr="003F6F3D">
              <w:rPr>
                <w:b/>
                <w:bCs/>
                <w:sz w:val="20"/>
                <w:szCs w:val="20"/>
              </w:rPr>
              <w:t>х</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b/>
                <w:bCs/>
                <w:sz w:val="20"/>
                <w:szCs w:val="20"/>
              </w:rPr>
            </w:pPr>
            <w:r w:rsidRPr="003F6F3D">
              <w:rPr>
                <w:b/>
                <w:bCs/>
                <w:sz w:val="20"/>
                <w:szCs w:val="20"/>
              </w:rPr>
              <w:t>х</w:t>
            </w:r>
          </w:p>
        </w:tc>
      </w:tr>
      <w:tr w:rsidR="00000E53" w:rsidRPr="003F6F3D" w:rsidTr="00000E53">
        <w:trPr>
          <w:trHeight w:val="300"/>
        </w:trPr>
        <w:tc>
          <w:tcPr>
            <w:tcW w:w="9953" w:type="dxa"/>
            <w:gridSpan w:val="7"/>
            <w:tcBorders>
              <w:top w:val="single" w:sz="4" w:space="0" w:color="auto"/>
              <w:left w:val="single" w:sz="4" w:space="0" w:color="auto"/>
              <w:bottom w:val="single" w:sz="4" w:space="0" w:color="auto"/>
              <w:right w:val="single" w:sz="4" w:space="0" w:color="000000"/>
            </w:tcBorders>
            <w:shd w:val="clear" w:color="000000" w:fill="EDEDED"/>
            <w:vAlign w:val="center"/>
            <w:hideMark/>
          </w:tcPr>
          <w:p w:rsidR="00000E53" w:rsidRPr="003F6F3D" w:rsidRDefault="00000E53" w:rsidP="00000E53">
            <w:pPr>
              <w:spacing w:line="216" w:lineRule="auto"/>
              <w:jc w:val="center"/>
              <w:rPr>
                <w:b/>
                <w:bCs/>
                <w:sz w:val="20"/>
                <w:szCs w:val="20"/>
              </w:rPr>
            </w:pPr>
            <w:proofErr w:type="spellStart"/>
            <w:r w:rsidRPr="003F6F3D">
              <w:rPr>
                <w:b/>
                <w:bCs/>
                <w:sz w:val="20"/>
                <w:szCs w:val="20"/>
              </w:rPr>
              <w:t>го</w:t>
            </w:r>
            <w:proofErr w:type="spellEnd"/>
            <w:r w:rsidRPr="003F6F3D">
              <w:rPr>
                <w:b/>
                <w:bCs/>
                <w:sz w:val="20"/>
                <w:szCs w:val="20"/>
              </w:rPr>
              <w:t xml:space="preserve"> </w:t>
            </w:r>
            <w:proofErr w:type="spellStart"/>
            <w:r w:rsidRPr="003F6F3D">
              <w:rPr>
                <w:b/>
                <w:bCs/>
                <w:sz w:val="20"/>
                <w:szCs w:val="20"/>
              </w:rPr>
              <w:t>Провиденский</w:t>
            </w:r>
            <w:proofErr w:type="spellEnd"/>
            <w:r w:rsidRPr="003F6F3D">
              <w:rPr>
                <w:b/>
                <w:bCs/>
                <w:sz w:val="20"/>
                <w:szCs w:val="20"/>
              </w:rPr>
              <w:t xml:space="preserve"> </w:t>
            </w:r>
          </w:p>
        </w:tc>
      </w:tr>
      <w:tr w:rsidR="00000E53" w:rsidRPr="003F6F3D" w:rsidTr="00000E53">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sz w:val="20"/>
                <w:szCs w:val="20"/>
              </w:rPr>
            </w:pPr>
            <w:r w:rsidRPr="003F6F3D">
              <w:rPr>
                <w:sz w:val="20"/>
                <w:szCs w:val="20"/>
              </w:rPr>
              <w:t>Доходы</w:t>
            </w:r>
          </w:p>
        </w:tc>
        <w:tc>
          <w:tcPr>
            <w:tcW w:w="136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875 268,5</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1 013 329,5</w:t>
            </w:r>
          </w:p>
        </w:tc>
        <w:tc>
          <w:tcPr>
            <w:tcW w:w="145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1 210 137,6</w:t>
            </w:r>
          </w:p>
        </w:tc>
        <w:tc>
          <w:tcPr>
            <w:tcW w:w="104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99,0</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98,7</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99,4</w:t>
            </w:r>
          </w:p>
        </w:tc>
      </w:tr>
      <w:tr w:rsidR="00000E53" w:rsidRPr="003F6F3D" w:rsidTr="00000E53">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sz w:val="20"/>
                <w:szCs w:val="20"/>
              </w:rPr>
            </w:pPr>
            <w:r w:rsidRPr="003F6F3D">
              <w:rPr>
                <w:sz w:val="20"/>
                <w:szCs w:val="20"/>
              </w:rPr>
              <w:t>Расходы</w:t>
            </w:r>
          </w:p>
        </w:tc>
        <w:tc>
          <w:tcPr>
            <w:tcW w:w="136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910 671,4</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1 007 818,7</w:t>
            </w:r>
          </w:p>
        </w:tc>
        <w:tc>
          <w:tcPr>
            <w:tcW w:w="145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1 208 969,7</w:t>
            </w:r>
          </w:p>
        </w:tc>
        <w:tc>
          <w:tcPr>
            <w:tcW w:w="104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98,4</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97,5</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98,3</w:t>
            </w:r>
          </w:p>
        </w:tc>
      </w:tr>
      <w:tr w:rsidR="00000E53" w:rsidRPr="003F6F3D" w:rsidTr="00000E53">
        <w:trPr>
          <w:trHeight w:val="5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b/>
                <w:bCs/>
                <w:sz w:val="20"/>
                <w:szCs w:val="20"/>
              </w:rPr>
            </w:pPr>
            <w:r w:rsidRPr="003F6F3D">
              <w:rPr>
                <w:b/>
                <w:bCs/>
                <w:sz w:val="20"/>
                <w:szCs w:val="20"/>
              </w:rPr>
              <w:t>Дефицит «-»; Профицит «+»</w:t>
            </w:r>
          </w:p>
        </w:tc>
        <w:tc>
          <w:tcPr>
            <w:tcW w:w="136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b/>
                <w:bCs/>
                <w:sz w:val="20"/>
                <w:szCs w:val="20"/>
              </w:rPr>
            </w:pPr>
            <w:r w:rsidRPr="003F6F3D">
              <w:rPr>
                <w:b/>
                <w:bCs/>
                <w:sz w:val="20"/>
                <w:szCs w:val="20"/>
              </w:rPr>
              <w:t>-  35 402,9</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b/>
                <w:bCs/>
                <w:sz w:val="20"/>
                <w:szCs w:val="20"/>
              </w:rPr>
            </w:pPr>
            <w:r w:rsidRPr="003F6F3D">
              <w:rPr>
                <w:b/>
                <w:bCs/>
                <w:sz w:val="20"/>
                <w:szCs w:val="20"/>
              </w:rPr>
              <w:t>5 510,8</w:t>
            </w:r>
          </w:p>
        </w:tc>
        <w:tc>
          <w:tcPr>
            <w:tcW w:w="145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b/>
                <w:bCs/>
                <w:sz w:val="20"/>
                <w:szCs w:val="20"/>
              </w:rPr>
            </w:pPr>
            <w:r w:rsidRPr="003F6F3D">
              <w:rPr>
                <w:b/>
                <w:bCs/>
                <w:sz w:val="20"/>
                <w:szCs w:val="20"/>
              </w:rPr>
              <w:t>1 167,9</w:t>
            </w:r>
          </w:p>
        </w:tc>
        <w:tc>
          <w:tcPr>
            <w:tcW w:w="104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b/>
                <w:bCs/>
                <w:sz w:val="20"/>
                <w:szCs w:val="20"/>
              </w:rPr>
            </w:pPr>
            <w:r w:rsidRPr="003F6F3D">
              <w:rPr>
                <w:b/>
                <w:bCs/>
                <w:sz w:val="20"/>
                <w:szCs w:val="20"/>
              </w:rPr>
              <w:t>х</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b/>
                <w:bCs/>
                <w:sz w:val="20"/>
                <w:szCs w:val="20"/>
              </w:rPr>
            </w:pPr>
            <w:r w:rsidRPr="003F6F3D">
              <w:rPr>
                <w:b/>
                <w:bCs/>
                <w:sz w:val="20"/>
                <w:szCs w:val="20"/>
              </w:rPr>
              <w:t>х</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b/>
                <w:bCs/>
                <w:sz w:val="20"/>
                <w:szCs w:val="20"/>
              </w:rPr>
            </w:pPr>
            <w:r w:rsidRPr="003F6F3D">
              <w:rPr>
                <w:b/>
                <w:bCs/>
                <w:sz w:val="20"/>
                <w:szCs w:val="20"/>
              </w:rPr>
              <w:t>х</w:t>
            </w:r>
          </w:p>
        </w:tc>
      </w:tr>
      <w:tr w:rsidR="00000E53" w:rsidRPr="003F6F3D" w:rsidTr="00000E53">
        <w:trPr>
          <w:trHeight w:val="300"/>
        </w:trPr>
        <w:tc>
          <w:tcPr>
            <w:tcW w:w="9953" w:type="dxa"/>
            <w:gridSpan w:val="7"/>
            <w:tcBorders>
              <w:top w:val="single" w:sz="4" w:space="0" w:color="auto"/>
              <w:left w:val="single" w:sz="4" w:space="0" w:color="auto"/>
              <w:bottom w:val="single" w:sz="4" w:space="0" w:color="auto"/>
              <w:right w:val="single" w:sz="4" w:space="0" w:color="000000"/>
            </w:tcBorders>
            <w:shd w:val="clear" w:color="000000" w:fill="EDEDED"/>
            <w:vAlign w:val="center"/>
            <w:hideMark/>
          </w:tcPr>
          <w:p w:rsidR="00000E53" w:rsidRPr="003F6F3D" w:rsidRDefault="00000E53" w:rsidP="00000E53">
            <w:pPr>
              <w:spacing w:line="216" w:lineRule="auto"/>
              <w:jc w:val="center"/>
              <w:rPr>
                <w:b/>
                <w:bCs/>
                <w:sz w:val="20"/>
                <w:szCs w:val="20"/>
              </w:rPr>
            </w:pPr>
            <w:r w:rsidRPr="003F6F3D">
              <w:rPr>
                <w:b/>
                <w:bCs/>
                <w:sz w:val="20"/>
                <w:szCs w:val="20"/>
              </w:rPr>
              <w:t xml:space="preserve">Анадырский </w:t>
            </w:r>
            <w:proofErr w:type="spellStart"/>
            <w:r w:rsidRPr="003F6F3D">
              <w:rPr>
                <w:b/>
                <w:bCs/>
                <w:sz w:val="20"/>
                <w:szCs w:val="20"/>
              </w:rPr>
              <w:t>мр</w:t>
            </w:r>
            <w:proofErr w:type="spellEnd"/>
          </w:p>
        </w:tc>
      </w:tr>
      <w:tr w:rsidR="00000E53" w:rsidRPr="003F6F3D" w:rsidTr="00000E53">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sz w:val="20"/>
                <w:szCs w:val="20"/>
              </w:rPr>
            </w:pPr>
            <w:r w:rsidRPr="003F6F3D">
              <w:rPr>
                <w:sz w:val="20"/>
                <w:szCs w:val="20"/>
              </w:rPr>
              <w:t>Доходы</w:t>
            </w:r>
          </w:p>
        </w:tc>
        <w:tc>
          <w:tcPr>
            <w:tcW w:w="136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1 787 144,8</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2 099 390,8</w:t>
            </w:r>
          </w:p>
        </w:tc>
        <w:tc>
          <w:tcPr>
            <w:tcW w:w="145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2 635 902,6</w:t>
            </w:r>
          </w:p>
        </w:tc>
        <w:tc>
          <w:tcPr>
            <w:tcW w:w="104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97,1</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98,9</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100,6</w:t>
            </w:r>
          </w:p>
        </w:tc>
      </w:tr>
      <w:tr w:rsidR="00000E53" w:rsidRPr="003F6F3D" w:rsidTr="00000E53">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sz w:val="20"/>
                <w:szCs w:val="20"/>
              </w:rPr>
            </w:pPr>
            <w:r w:rsidRPr="003F6F3D">
              <w:rPr>
                <w:sz w:val="20"/>
                <w:szCs w:val="20"/>
              </w:rPr>
              <w:t>Расходы</w:t>
            </w:r>
          </w:p>
        </w:tc>
        <w:tc>
          <w:tcPr>
            <w:tcW w:w="136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1 803 405,9</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2 125 157,4</w:t>
            </w:r>
          </w:p>
        </w:tc>
        <w:tc>
          <w:tcPr>
            <w:tcW w:w="145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2 504 944,4</w:t>
            </w:r>
          </w:p>
        </w:tc>
        <w:tc>
          <w:tcPr>
            <w:tcW w:w="104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96,9</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98,6</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96,4</w:t>
            </w:r>
          </w:p>
        </w:tc>
      </w:tr>
      <w:tr w:rsidR="00000E53" w:rsidRPr="003F6F3D" w:rsidTr="00000E53">
        <w:trPr>
          <w:trHeight w:val="5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b/>
                <w:bCs/>
                <w:sz w:val="20"/>
                <w:szCs w:val="20"/>
              </w:rPr>
            </w:pPr>
            <w:r w:rsidRPr="003F6F3D">
              <w:rPr>
                <w:b/>
                <w:bCs/>
                <w:sz w:val="20"/>
                <w:szCs w:val="20"/>
              </w:rPr>
              <w:t>Дефицит «-»; Профицит «+»</w:t>
            </w:r>
          </w:p>
        </w:tc>
        <w:tc>
          <w:tcPr>
            <w:tcW w:w="136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b/>
                <w:bCs/>
                <w:sz w:val="20"/>
                <w:szCs w:val="20"/>
              </w:rPr>
            </w:pPr>
            <w:r w:rsidRPr="003F6F3D">
              <w:rPr>
                <w:b/>
                <w:bCs/>
                <w:sz w:val="20"/>
                <w:szCs w:val="20"/>
              </w:rPr>
              <w:t>-  16 261,1</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b/>
                <w:bCs/>
                <w:sz w:val="20"/>
                <w:szCs w:val="20"/>
              </w:rPr>
            </w:pPr>
            <w:r w:rsidRPr="003F6F3D">
              <w:rPr>
                <w:b/>
                <w:bCs/>
                <w:sz w:val="20"/>
                <w:szCs w:val="20"/>
              </w:rPr>
              <w:t>-  25 766,6</w:t>
            </w:r>
          </w:p>
        </w:tc>
        <w:tc>
          <w:tcPr>
            <w:tcW w:w="145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b/>
                <w:bCs/>
                <w:sz w:val="20"/>
                <w:szCs w:val="20"/>
              </w:rPr>
            </w:pPr>
            <w:r w:rsidRPr="003F6F3D">
              <w:rPr>
                <w:b/>
                <w:bCs/>
                <w:sz w:val="20"/>
                <w:szCs w:val="20"/>
              </w:rPr>
              <w:t>130 958,2</w:t>
            </w:r>
          </w:p>
        </w:tc>
        <w:tc>
          <w:tcPr>
            <w:tcW w:w="104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b/>
                <w:bCs/>
                <w:sz w:val="20"/>
                <w:szCs w:val="20"/>
              </w:rPr>
            </w:pPr>
            <w:r w:rsidRPr="003F6F3D">
              <w:rPr>
                <w:b/>
                <w:bCs/>
                <w:sz w:val="20"/>
                <w:szCs w:val="20"/>
              </w:rPr>
              <w:t>х</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b/>
                <w:bCs/>
                <w:sz w:val="20"/>
                <w:szCs w:val="20"/>
              </w:rPr>
            </w:pPr>
            <w:r w:rsidRPr="003F6F3D">
              <w:rPr>
                <w:b/>
                <w:bCs/>
                <w:sz w:val="20"/>
                <w:szCs w:val="20"/>
              </w:rPr>
              <w:t>х</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b/>
                <w:bCs/>
                <w:sz w:val="20"/>
                <w:szCs w:val="20"/>
              </w:rPr>
            </w:pPr>
            <w:r w:rsidRPr="003F6F3D">
              <w:rPr>
                <w:b/>
                <w:bCs/>
                <w:sz w:val="20"/>
                <w:szCs w:val="20"/>
              </w:rPr>
              <w:t>х</w:t>
            </w:r>
          </w:p>
        </w:tc>
      </w:tr>
      <w:tr w:rsidR="00000E53" w:rsidRPr="003F6F3D" w:rsidTr="00000E53">
        <w:trPr>
          <w:trHeight w:val="300"/>
        </w:trPr>
        <w:tc>
          <w:tcPr>
            <w:tcW w:w="9953" w:type="dxa"/>
            <w:gridSpan w:val="7"/>
            <w:tcBorders>
              <w:top w:val="single" w:sz="4" w:space="0" w:color="auto"/>
              <w:left w:val="single" w:sz="4" w:space="0" w:color="auto"/>
              <w:bottom w:val="single" w:sz="4" w:space="0" w:color="auto"/>
              <w:right w:val="single" w:sz="4" w:space="0" w:color="000000"/>
            </w:tcBorders>
            <w:shd w:val="clear" w:color="000000" w:fill="EDEDED"/>
            <w:vAlign w:val="center"/>
            <w:hideMark/>
          </w:tcPr>
          <w:p w:rsidR="00000E53" w:rsidRPr="003F6F3D" w:rsidRDefault="00000E53" w:rsidP="00000E53">
            <w:pPr>
              <w:spacing w:line="216" w:lineRule="auto"/>
              <w:jc w:val="center"/>
              <w:rPr>
                <w:b/>
                <w:bCs/>
                <w:sz w:val="20"/>
                <w:szCs w:val="20"/>
              </w:rPr>
            </w:pPr>
            <w:proofErr w:type="spellStart"/>
            <w:r w:rsidRPr="003F6F3D">
              <w:rPr>
                <w:b/>
                <w:bCs/>
                <w:sz w:val="20"/>
                <w:szCs w:val="20"/>
              </w:rPr>
              <w:t>Билибинский</w:t>
            </w:r>
            <w:proofErr w:type="spellEnd"/>
            <w:r w:rsidRPr="003F6F3D">
              <w:rPr>
                <w:b/>
                <w:bCs/>
                <w:sz w:val="20"/>
                <w:szCs w:val="20"/>
              </w:rPr>
              <w:t xml:space="preserve"> </w:t>
            </w:r>
            <w:proofErr w:type="spellStart"/>
            <w:r w:rsidRPr="003F6F3D">
              <w:rPr>
                <w:b/>
                <w:bCs/>
                <w:sz w:val="20"/>
                <w:szCs w:val="20"/>
              </w:rPr>
              <w:t>мр</w:t>
            </w:r>
            <w:proofErr w:type="spellEnd"/>
          </w:p>
        </w:tc>
      </w:tr>
      <w:tr w:rsidR="00000E53" w:rsidRPr="003F6F3D" w:rsidTr="00000E53">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sz w:val="20"/>
                <w:szCs w:val="20"/>
              </w:rPr>
            </w:pPr>
            <w:r w:rsidRPr="003F6F3D">
              <w:rPr>
                <w:sz w:val="20"/>
                <w:szCs w:val="20"/>
              </w:rPr>
              <w:t>Доходы</w:t>
            </w:r>
          </w:p>
        </w:tc>
        <w:tc>
          <w:tcPr>
            <w:tcW w:w="136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1 556 188,9</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1 819 383,2</w:t>
            </w:r>
          </w:p>
        </w:tc>
        <w:tc>
          <w:tcPr>
            <w:tcW w:w="145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2 121 831,7</w:t>
            </w:r>
          </w:p>
        </w:tc>
        <w:tc>
          <w:tcPr>
            <w:tcW w:w="104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97,9</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99,5</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96,3</w:t>
            </w:r>
          </w:p>
        </w:tc>
      </w:tr>
      <w:tr w:rsidR="00000E53" w:rsidRPr="003F6F3D" w:rsidTr="00000E53">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sz w:val="20"/>
                <w:szCs w:val="20"/>
              </w:rPr>
            </w:pPr>
            <w:r w:rsidRPr="003F6F3D">
              <w:rPr>
                <w:sz w:val="20"/>
                <w:szCs w:val="20"/>
              </w:rPr>
              <w:t>Расходы</w:t>
            </w:r>
          </w:p>
        </w:tc>
        <w:tc>
          <w:tcPr>
            <w:tcW w:w="136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1 505 780,2</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1 808 809,9</w:t>
            </w:r>
          </w:p>
        </w:tc>
        <w:tc>
          <w:tcPr>
            <w:tcW w:w="145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2 090 610,1</w:t>
            </w:r>
          </w:p>
        </w:tc>
        <w:tc>
          <w:tcPr>
            <w:tcW w:w="104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96,3</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97,7</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94,2</w:t>
            </w:r>
          </w:p>
        </w:tc>
      </w:tr>
      <w:tr w:rsidR="00000E53" w:rsidRPr="003F6F3D" w:rsidTr="00000E53">
        <w:trPr>
          <w:trHeight w:val="5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b/>
                <w:bCs/>
                <w:sz w:val="20"/>
                <w:szCs w:val="20"/>
              </w:rPr>
            </w:pPr>
            <w:r w:rsidRPr="003F6F3D">
              <w:rPr>
                <w:b/>
                <w:bCs/>
                <w:sz w:val="20"/>
                <w:szCs w:val="20"/>
              </w:rPr>
              <w:t>Дефицит «-»; Профицит «+»</w:t>
            </w:r>
          </w:p>
        </w:tc>
        <w:tc>
          <w:tcPr>
            <w:tcW w:w="136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b/>
                <w:bCs/>
                <w:sz w:val="20"/>
                <w:szCs w:val="20"/>
              </w:rPr>
            </w:pPr>
            <w:r w:rsidRPr="003F6F3D">
              <w:rPr>
                <w:b/>
                <w:bCs/>
                <w:sz w:val="20"/>
                <w:szCs w:val="20"/>
              </w:rPr>
              <w:t>50 408,7</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b/>
                <w:bCs/>
                <w:sz w:val="20"/>
                <w:szCs w:val="20"/>
              </w:rPr>
            </w:pPr>
            <w:r w:rsidRPr="003F6F3D">
              <w:rPr>
                <w:b/>
                <w:bCs/>
                <w:sz w:val="20"/>
                <w:szCs w:val="20"/>
              </w:rPr>
              <w:t>10 573,3</w:t>
            </w:r>
          </w:p>
        </w:tc>
        <w:tc>
          <w:tcPr>
            <w:tcW w:w="145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b/>
                <w:bCs/>
                <w:sz w:val="20"/>
                <w:szCs w:val="20"/>
              </w:rPr>
            </w:pPr>
            <w:r w:rsidRPr="003F6F3D">
              <w:rPr>
                <w:b/>
                <w:bCs/>
                <w:sz w:val="20"/>
                <w:szCs w:val="20"/>
              </w:rPr>
              <w:t>31 221,6</w:t>
            </w:r>
          </w:p>
        </w:tc>
        <w:tc>
          <w:tcPr>
            <w:tcW w:w="104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b/>
                <w:bCs/>
                <w:sz w:val="20"/>
                <w:szCs w:val="20"/>
              </w:rPr>
            </w:pPr>
            <w:r w:rsidRPr="003F6F3D">
              <w:rPr>
                <w:b/>
                <w:bCs/>
                <w:sz w:val="20"/>
                <w:szCs w:val="20"/>
              </w:rPr>
              <w:t>х</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b/>
                <w:bCs/>
                <w:sz w:val="20"/>
                <w:szCs w:val="20"/>
              </w:rPr>
            </w:pPr>
            <w:r w:rsidRPr="003F6F3D">
              <w:rPr>
                <w:b/>
                <w:bCs/>
                <w:sz w:val="20"/>
                <w:szCs w:val="20"/>
              </w:rPr>
              <w:t>х</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b/>
                <w:bCs/>
                <w:sz w:val="20"/>
                <w:szCs w:val="20"/>
              </w:rPr>
            </w:pPr>
            <w:r w:rsidRPr="003F6F3D">
              <w:rPr>
                <w:b/>
                <w:bCs/>
                <w:sz w:val="20"/>
                <w:szCs w:val="20"/>
              </w:rPr>
              <w:t>х</w:t>
            </w:r>
          </w:p>
        </w:tc>
      </w:tr>
      <w:tr w:rsidR="00000E53" w:rsidRPr="003F6F3D" w:rsidTr="00000E53">
        <w:trPr>
          <w:trHeight w:val="300"/>
        </w:trPr>
        <w:tc>
          <w:tcPr>
            <w:tcW w:w="9953" w:type="dxa"/>
            <w:gridSpan w:val="7"/>
            <w:tcBorders>
              <w:top w:val="single" w:sz="4" w:space="0" w:color="auto"/>
              <w:left w:val="single" w:sz="4" w:space="0" w:color="auto"/>
              <w:bottom w:val="single" w:sz="4" w:space="0" w:color="auto"/>
              <w:right w:val="single" w:sz="4" w:space="0" w:color="000000"/>
            </w:tcBorders>
            <w:shd w:val="clear" w:color="000000" w:fill="EDEDED"/>
            <w:vAlign w:val="center"/>
            <w:hideMark/>
          </w:tcPr>
          <w:p w:rsidR="00000E53" w:rsidRPr="003F6F3D" w:rsidRDefault="00000E53" w:rsidP="00000E53">
            <w:pPr>
              <w:spacing w:line="216" w:lineRule="auto"/>
              <w:jc w:val="center"/>
              <w:rPr>
                <w:b/>
                <w:bCs/>
                <w:sz w:val="20"/>
                <w:szCs w:val="20"/>
              </w:rPr>
            </w:pPr>
            <w:r w:rsidRPr="003F6F3D">
              <w:rPr>
                <w:b/>
                <w:bCs/>
                <w:sz w:val="20"/>
                <w:szCs w:val="20"/>
              </w:rPr>
              <w:t xml:space="preserve">Чукотский </w:t>
            </w:r>
            <w:proofErr w:type="spellStart"/>
            <w:r w:rsidRPr="003F6F3D">
              <w:rPr>
                <w:b/>
                <w:bCs/>
                <w:sz w:val="20"/>
                <w:szCs w:val="20"/>
              </w:rPr>
              <w:t>мр</w:t>
            </w:r>
            <w:proofErr w:type="spellEnd"/>
          </w:p>
        </w:tc>
      </w:tr>
      <w:tr w:rsidR="00000E53" w:rsidRPr="003F6F3D" w:rsidTr="00000E53">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sz w:val="20"/>
                <w:szCs w:val="20"/>
              </w:rPr>
            </w:pPr>
            <w:r w:rsidRPr="003F6F3D">
              <w:rPr>
                <w:sz w:val="20"/>
                <w:szCs w:val="20"/>
              </w:rPr>
              <w:t>Доходы</w:t>
            </w:r>
          </w:p>
        </w:tc>
        <w:tc>
          <w:tcPr>
            <w:tcW w:w="136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1 260 061,5</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1 339 649,5</w:t>
            </w:r>
          </w:p>
        </w:tc>
        <w:tc>
          <w:tcPr>
            <w:tcW w:w="145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2 035 107,5</w:t>
            </w:r>
          </w:p>
        </w:tc>
        <w:tc>
          <w:tcPr>
            <w:tcW w:w="104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98,4</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99,4</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98,9</w:t>
            </w:r>
          </w:p>
        </w:tc>
      </w:tr>
      <w:tr w:rsidR="00000E53" w:rsidRPr="003F6F3D" w:rsidTr="00000E53">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sz w:val="20"/>
                <w:szCs w:val="20"/>
              </w:rPr>
            </w:pPr>
            <w:r w:rsidRPr="003F6F3D">
              <w:rPr>
                <w:sz w:val="20"/>
                <w:szCs w:val="20"/>
              </w:rPr>
              <w:t>Расходы</w:t>
            </w:r>
          </w:p>
        </w:tc>
        <w:tc>
          <w:tcPr>
            <w:tcW w:w="136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1 276 722,9</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1 308 824,4</w:t>
            </w:r>
          </w:p>
        </w:tc>
        <w:tc>
          <w:tcPr>
            <w:tcW w:w="145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sz w:val="20"/>
                <w:szCs w:val="20"/>
              </w:rPr>
            </w:pPr>
            <w:r w:rsidRPr="003F6F3D">
              <w:rPr>
                <w:sz w:val="20"/>
                <w:szCs w:val="20"/>
              </w:rPr>
              <w:t>1 985 609,7</w:t>
            </w:r>
          </w:p>
        </w:tc>
        <w:tc>
          <w:tcPr>
            <w:tcW w:w="104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97,7</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97,3</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sz w:val="20"/>
                <w:szCs w:val="20"/>
              </w:rPr>
            </w:pPr>
            <w:r w:rsidRPr="003F6F3D">
              <w:rPr>
                <w:sz w:val="20"/>
                <w:szCs w:val="20"/>
              </w:rPr>
              <w:t>95,4</w:t>
            </w:r>
          </w:p>
        </w:tc>
      </w:tr>
      <w:tr w:rsidR="00000E53" w:rsidRPr="003F6F3D" w:rsidTr="00000E53">
        <w:trPr>
          <w:trHeight w:val="5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000E53" w:rsidRPr="003F6F3D" w:rsidRDefault="00000E53" w:rsidP="00000E53">
            <w:pPr>
              <w:spacing w:line="216" w:lineRule="auto"/>
              <w:rPr>
                <w:b/>
                <w:bCs/>
                <w:sz w:val="20"/>
                <w:szCs w:val="20"/>
              </w:rPr>
            </w:pPr>
            <w:r w:rsidRPr="003F6F3D">
              <w:rPr>
                <w:b/>
                <w:bCs/>
                <w:sz w:val="20"/>
                <w:szCs w:val="20"/>
              </w:rPr>
              <w:t>Дефицит «-»; Профицит «+»</w:t>
            </w:r>
          </w:p>
        </w:tc>
        <w:tc>
          <w:tcPr>
            <w:tcW w:w="1363"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b/>
                <w:bCs/>
                <w:sz w:val="20"/>
                <w:szCs w:val="20"/>
              </w:rPr>
            </w:pPr>
            <w:r w:rsidRPr="003F6F3D">
              <w:rPr>
                <w:b/>
                <w:bCs/>
                <w:sz w:val="20"/>
                <w:szCs w:val="20"/>
              </w:rPr>
              <w:t>-  16 661,4</w:t>
            </w:r>
          </w:p>
        </w:tc>
        <w:tc>
          <w:tcPr>
            <w:tcW w:w="1417"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b/>
                <w:bCs/>
                <w:sz w:val="20"/>
                <w:szCs w:val="20"/>
              </w:rPr>
            </w:pPr>
            <w:r w:rsidRPr="003F6F3D">
              <w:rPr>
                <w:b/>
                <w:bCs/>
                <w:sz w:val="20"/>
                <w:szCs w:val="20"/>
              </w:rPr>
              <w:t>30 825,1</w:t>
            </w:r>
          </w:p>
        </w:tc>
        <w:tc>
          <w:tcPr>
            <w:tcW w:w="145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right"/>
              <w:rPr>
                <w:b/>
                <w:bCs/>
                <w:sz w:val="20"/>
                <w:szCs w:val="20"/>
              </w:rPr>
            </w:pPr>
            <w:r w:rsidRPr="003F6F3D">
              <w:rPr>
                <w:b/>
                <w:bCs/>
                <w:sz w:val="20"/>
                <w:szCs w:val="20"/>
              </w:rPr>
              <w:t>49 497,8</w:t>
            </w:r>
          </w:p>
        </w:tc>
        <w:tc>
          <w:tcPr>
            <w:tcW w:w="1045"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b/>
                <w:bCs/>
                <w:sz w:val="20"/>
                <w:szCs w:val="20"/>
              </w:rPr>
            </w:pPr>
            <w:r w:rsidRPr="003F6F3D">
              <w:rPr>
                <w:b/>
                <w:bCs/>
                <w:sz w:val="20"/>
                <w:szCs w:val="20"/>
              </w:rPr>
              <w:t>х</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b/>
                <w:bCs/>
                <w:sz w:val="20"/>
                <w:szCs w:val="20"/>
              </w:rPr>
            </w:pPr>
            <w:r w:rsidRPr="003F6F3D">
              <w:rPr>
                <w:b/>
                <w:bCs/>
                <w:sz w:val="20"/>
                <w:szCs w:val="20"/>
              </w:rPr>
              <w:t>х</w:t>
            </w:r>
          </w:p>
        </w:tc>
        <w:tc>
          <w:tcPr>
            <w:tcW w:w="992" w:type="dxa"/>
            <w:tcBorders>
              <w:top w:val="nil"/>
              <w:left w:val="nil"/>
              <w:bottom w:val="single" w:sz="4" w:space="0" w:color="auto"/>
              <w:right w:val="single" w:sz="4" w:space="0" w:color="auto"/>
            </w:tcBorders>
            <w:shd w:val="clear" w:color="auto" w:fill="auto"/>
            <w:noWrap/>
            <w:vAlign w:val="center"/>
            <w:hideMark/>
          </w:tcPr>
          <w:p w:rsidR="00000E53" w:rsidRPr="003F6F3D" w:rsidRDefault="00000E53" w:rsidP="00000E53">
            <w:pPr>
              <w:spacing w:line="216" w:lineRule="auto"/>
              <w:jc w:val="center"/>
              <w:rPr>
                <w:b/>
                <w:bCs/>
                <w:sz w:val="20"/>
                <w:szCs w:val="20"/>
              </w:rPr>
            </w:pPr>
            <w:r w:rsidRPr="003F6F3D">
              <w:rPr>
                <w:b/>
                <w:bCs/>
                <w:sz w:val="20"/>
                <w:szCs w:val="20"/>
              </w:rPr>
              <w:t>х</w:t>
            </w:r>
          </w:p>
        </w:tc>
      </w:tr>
    </w:tbl>
    <w:p w:rsidR="00000E53" w:rsidRPr="003F6F3D" w:rsidRDefault="00000E53" w:rsidP="00000E53">
      <w:pPr>
        <w:autoSpaceDE w:val="0"/>
        <w:autoSpaceDN w:val="0"/>
        <w:adjustRightInd w:val="0"/>
        <w:spacing w:before="120"/>
        <w:ind w:firstLine="709"/>
        <w:jc w:val="both"/>
        <w:rPr>
          <w:rFonts w:eastAsiaTheme="minorHAnsi"/>
          <w:sz w:val="28"/>
          <w:szCs w:val="28"/>
        </w:rPr>
      </w:pPr>
      <w:r w:rsidRPr="003F6F3D">
        <w:rPr>
          <w:rFonts w:eastAsiaTheme="minorHAnsi"/>
          <w:bCs/>
          <w:sz w:val="28"/>
          <w:szCs w:val="28"/>
        </w:rPr>
        <w:t>Количество м</w:t>
      </w:r>
      <w:r w:rsidRPr="003F6F3D">
        <w:rPr>
          <w:rFonts w:eastAsiaTheme="minorHAnsi"/>
          <w:sz w:val="28"/>
          <w:szCs w:val="28"/>
        </w:rPr>
        <w:t>униципальных образований, исполнивших бюджеты с дефицитом, составило:</w:t>
      </w:r>
    </w:p>
    <w:p w:rsidR="00000E53" w:rsidRPr="003F6F3D" w:rsidRDefault="00000E53" w:rsidP="00000E53">
      <w:pPr>
        <w:autoSpaceDE w:val="0"/>
        <w:autoSpaceDN w:val="0"/>
        <w:adjustRightInd w:val="0"/>
        <w:ind w:firstLine="709"/>
        <w:jc w:val="both"/>
        <w:rPr>
          <w:sz w:val="28"/>
          <w:szCs w:val="28"/>
        </w:rPr>
      </w:pPr>
      <w:r w:rsidRPr="003F6F3D">
        <w:rPr>
          <w:rFonts w:eastAsiaTheme="minorHAnsi"/>
          <w:sz w:val="28"/>
          <w:szCs w:val="28"/>
        </w:rPr>
        <w:t xml:space="preserve">- в 2018 году – 5, в том числе: 3 городских округа </w:t>
      </w:r>
      <w:proofErr w:type="spellStart"/>
      <w:r w:rsidRPr="003F6F3D">
        <w:rPr>
          <w:rFonts w:eastAsiaTheme="minorHAnsi"/>
          <w:sz w:val="28"/>
          <w:szCs w:val="28"/>
        </w:rPr>
        <w:t>Певек</w:t>
      </w:r>
      <w:proofErr w:type="spellEnd"/>
      <w:r w:rsidRPr="003F6F3D">
        <w:rPr>
          <w:rFonts w:eastAsiaTheme="minorHAnsi"/>
          <w:sz w:val="28"/>
          <w:szCs w:val="28"/>
        </w:rPr>
        <w:t xml:space="preserve"> (11 856,2 тыс. рублей), </w:t>
      </w:r>
      <w:proofErr w:type="spellStart"/>
      <w:r w:rsidRPr="003F6F3D">
        <w:rPr>
          <w:sz w:val="28"/>
          <w:szCs w:val="28"/>
        </w:rPr>
        <w:t>Эгвекинот</w:t>
      </w:r>
      <w:proofErr w:type="spellEnd"/>
      <w:r w:rsidRPr="003F6F3D">
        <w:rPr>
          <w:sz w:val="28"/>
          <w:szCs w:val="28"/>
        </w:rPr>
        <w:t xml:space="preserve"> (19 820,3 тыс. рублей) и </w:t>
      </w:r>
      <w:proofErr w:type="spellStart"/>
      <w:r w:rsidRPr="003F6F3D">
        <w:rPr>
          <w:sz w:val="28"/>
          <w:szCs w:val="28"/>
        </w:rPr>
        <w:t>Провиденский</w:t>
      </w:r>
      <w:proofErr w:type="spellEnd"/>
      <w:r w:rsidRPr="003F6F3D">
        <w:rPr>
          <w:sz w:val="28"/>
          <w:szCs w:val="28"/>
        </w:rPr>
        <w:t xml:space="preserve"> (35 402,9 тыс. рублей) и 2 муниципальных района Анадырский (16 261,1 тыс. рублей) и Чукотский (16 661,4 тыс. рублей);</w:t>
      </w:r>
    </w:p>
    <w:p w:rsidR="00000E53" w:rsidRPr="003F6F3D" w:rsidRDefault="00000E53" w:rsidP="00000E53">
      <w:pPr>
        <w:autoSpaceDE w:val="0"/>
        <w:autoSpaceDN w:val="0"/>
        <w:adjustRightInd w:val="0"/>
        <w:ind w:firstLine="709"/>
        <w:jc w:val="both"/>
        <w:rPr>
          <w:sz w:val="28"/>
          <w:szCs w:val="28"/>
        </w:rPr>
      </w:pPr>
      <w:r w:rsidRPr="003F6F3D">
        <w:rPr>
          <w:sz w:val="28"/>
          <w:szCs w:val="28"/>
        </w:rPr>
        <w:t xml:space="preserve">- в 2019 году – 2, в том числе: </w:t>
      </w:r>
      <w:r w:rsidRPr="003F6F3D">
        <w:rPr>
          <w:rFonts w:eastAsiaTheme="minorHAnsi"/>
          <w:sz w:val="28"/>
          <w:szCs w:val="28"/>
        </w:rPr>
        <w:t xml:space="preserve">городской округ </w:t>
      </w:r>
      <w:proofErr w:type="spellStart"/>
      <w:r w:rsidRPr="003F6F3D">
        <w:rPr>
          <w:rFonts w:eastAsiaTheme="minorHAnsi"/>
          <w:sz w:val="28"/>
          <w:szCs w:val="28"/>
        </w:rPr>
        <w:t>Певек</w:t>
      </w:r>
      <w:proofErr w:type="spellEnd"/>
      <w:r w:rsidRPr="003F6F3D">
        <w:rPr>
          <w:rFonts w:eastAsiaTheme="minorHAnsi"/>
          <w:sz w:val="28"/>
          <w:szCs w:val="28"/>
        </w:rPr>
        <w:t xml:space="preserve"> (57 977,9 тыс. рублей)</w:t>
      </w:r>
      <w:r w:rsidRPr="003F6F3D">
        <w:rPr>
          <w:sz w:val="28"/>
          <w:szCs w:val="28"/>
        </w:rPr>
        <w:t xml:space="preserve"> и Анадырский муниципальный район (25 766,6 тыс. рублей);</w:t>
      </w:r>
    </w:p>
    <w:p w:rsidR="00000E53" w:rsidRPr="003F6F3D" w:rsidRDefault="00000E53" w:rsidP="00000E53">
      <w:pPr>
        <w:autoSpaceDE w:val="0"/>
        <w:autoSpaceDN w:val="0"/>
        <w:adjustRightInd w:val="0"/>
        <w:ind w:firstLine="709"/>
        <w:jc w:val="both"/>
        <w:rPr>
          <w:sz w:val="28"/>
          <w:szCs w:val="28"/>
        </w:rPr>
      </w:pPr>
      <w:r w:rsidRPr="003F6F3D">
        <w:rPr>
          <w:sz w:val="28"/>
          <w:szCs w:val="28"/>
        </w:rPr>
        <w:t>- в 2020 году – отсутствуют.</w:t>
      </w:r>
    </w:p>
    <w:p w:rsidR="00000E53" w:rsidRPr="003F6F3D" w:rsidRDefault="00000E53" w:rsidP="00000E53">
      <w:pPr>
        <w:autoSpaceDE w:val="0"/>
        <w:autoSpaceDN w:val="0"/>
        <w:adjustRightInd w:val="0"/>
        <w:ind w:firstLine="709"/>
        <w:jc w:val="both"/>
        <w:rPr>
          <w:sz w:val="28"/>
          <w:szCs w:val="28"/>
        </w:rPr>
      </w:pPr>
      <w:r w:rsidRPr="003F6F3D">
        <w:rPr>
          <w:sz w:val="28"/>
          <w:szCs w:val="28"/>
        </w:rPr>
        <w:t xml:space="preserve">Покрытие дефицитов местных бюджетов обеспечено за счет средств бюджетных кредитов и остатка средств на счетах бюджета. </w:t>
      </w:r>
    </w:p>
    <w:p w:rsidR="00000E53" w:rsidRPr="003F6F3D" w:rsidRDefault="00000E53" w:rsidP="00000E53">
      <w:pPr>
        <w:autoSpaceDE w:val="0"/>
        <w:autoSpaceDN w:val="0"/>
        <w:adjustRightInd w:val="0"/>
        <w:ind w:firstLine="709"/>
        <w:jc w:val="both"/>
        <w:rPr>
          <w:sz w:val="28"/>
          <w:szCs w:val="28"/>
        </w:rPr>
      </w:pPr>
      <w:r w:rsidRPr="003F6F3D">
        <w:rPr>
          <w:sz w:val="28"/>
          <w:szCs w:val="28"/>
        </w:rPr>
        <w:t xml:space="preserve">На возникновение профицита в 2020 году повлияло исполнение по расходам ниже предусмотренных значений и поступление доходов в полном объеме или с превышением плановых показателей по городским округам Анадырь, </w:t>
      </w:r>
      <w:proofErr w:type="spellStart"/>
      <w:r w:rsidRPr="003F6F3D">
        <w:rPr>
          <w:sz w:val="28"/>
          <w:szCs w:val="28"/>
        </w:rPr>
        <w:t>Певек</w:t>
      </w:r>
      <w:proofErr w:type="spellEnd"/>
      <w:r w:rsidRPr="003F6F3D">
        <w:rPr>
          <w:sz w:val="28"/>
          <w:szCs w:val="28"/>
        </w:rPr>
        <w:t xml:space="preserve"> и </w:t>
      </w:r>
      <w:proofErr w:type="spellStart"/>
      <w:r w:rsidRPr="003F6F3D">
        <w:rPr>
          <w:sz w:val="28"/>
          <w:szCs w:val="28"/>
        </w:rPr>
        <w:t>Эгвекинот</w:t>
      </w:r>
      <w:proofErr w:type="spellEnd"/>
      <w:r w:rsidRPr="003F6F3D">
        <w:rPr>
          <w:sz w:val="28"/>
          <w:szCs w:val="28"/>
        </w:rPr>
        <w:t xml:space="preserve"> и Анадырскому муниципальному району.</w:t>
      </w:r>
    </w:p>
    <w:p w:rsidR="00000E53" w:rsidRPr="003F6F3D" w:rsidRDefault="00000E53" w:rsidP="00000E53">
      <w:pPr>
        <w:pStyle w:val="afffe"/>
        <w:spacing w:before="240" w:after="120"/>
        <w:jc w:val="center"/>
        <w:rPr>
          <w:rFonts w:ascii="Times New Roman" w:hAnsi="Times New Roman"/>
          <w:b/>
          <w:sz w:val="28"/>
          <w:szCs w:val="28"/>
        </w:rPr>
      </w:pPr>
      <w:r w:rsidRPr="003F6F3D">
        <w:rPr>
          <w:rFonts w:ascii="Times New Roman" w:hAnsi="Times New Roman"/>
          <w:b/>
          <w:bCs/>
          <w:sz w:val="28"/>
          <w:szCs w:val="28"/>
        </w:rPr>
        <w:t>3.</w:t>
      </w:r>
      <w:r w:rsidRPr="003F6F3D">
        <w:rPr>
          <w:b/>
          <w:sz w:val="28"/>
          <w:szCs w:val="28"/>
        </w:rPr>
        <w:t> </w:t>
      </w:r>
      <w:r w:rsidRPr="003F6F3D">
        <w:rPr>
          <w:rFonts w:ascii="Times New Roman" w:hAnsi="Times New Roman"/>
          <w:b/>
          <w:sz w:val="28"/>
          <w:szCs w:val="28"/>
        </w:rPr>
        <w:t xml:space="preserve">Обзор недостатков и нарушений, </w:t>
      </w:r>
      <w:r w:rsidRPr="003F6F3D">
        <w:rPr>
          <w:rFonts w:ascii="Times New Roman" w:hAnsi="Times New Roman"/>
          <w:b/>
          <w:sz w:val="28"/>
          <w:szCs w:val="28"/>
        </w:rPr>
        <w:br/>
        <w:t xml:space="preserve">выявленных в ходе осуществления контроля </w:t>
      </w:r>
      <w:r w:rsidRPr="003F6F3D">
        <w:rPr>
          <w:rFonts w:ascii="Times New Roman" w:eastAsiaTheme="minorHAnsi" w:hAnsi="Times New Roman"/>
          <w:b/>
          <w:sz w:val="28"/>
          <w:szCs w:val="28"/>
        </w:rPr>
        <w:t xml:space="preserve">за законностью </w:t>
      </w:r>
      <w:r w:rsidRPr="003F6F3D">
        <w:rPr>
          <w:rFonts w:ascii="Times New Roman" w:eastAsiaTheme="minorHAnsi" w:hAnsi="Times New Roman"/>
          <w:b/>
          <w:sz w:val="28"/>
          <w:szCs w:val="28"/>
        </w:rPr>
        <w:br/>
        <w:t xml:space="preserve">использования межбюджетных трансфертов, предоставленных </w:t>
      </w:r>
      <w:r w:rsidRPr="003F6F3D">
        <w:rPr>
          <w:rFonts w:ascii="Times New Roman" w:eastAsiaTheme="minorHAnsi" w:hAnsi="Times New Roman"/>
          <w:b/>
          <w:sz w:val="28"/>
          <w:szCs w:val="28"/>
        </w:rPr>
        <w:br/>
        <w:t xml:space="preserve">из окружного бюджета бюджетам муниципальных образований </w:t>
      </w:r>
      <w:r w:rsidRPr="003F6F3D">
        <w:rPr>
          <w:rFonts w:ascii="Times New Roman" w:eastAsiaTheme="minorHAnsi" w:hAnsi="Times New Roman"/>
          <w:b/>
          <w:sz w:val="28"/>
          <w:szCs w:val="28"/>
        </w:rPr>
        <w:br/>
        <w:t>Чукотского автономного округа</w:t>
      </w:r>
    </w:p>
    <w:p w:rsidR="00000E53" w:rsidRPr="003F6F3D" w:rsidRDefault="00000E53" w:rsidP="00000E53">
      <w:pPr>
        <w:autoSpaceDE w:val="0"/>
        <w:autoSpaceDN w:val="0"/>
        <w:adjustRightInd w:val="0"/>
        <w:ind w:firstLine="709"/>
        <w:jc w:val="both"/>
        <w:rPr>
          <w:sz w:val="28"/>
          <w:szCs w:val="28"/>
        </w:rPr>
      </w:pPr>
      <w:bookmarkStart w:id="99" w:name="_Hlk95124179"/>
      <w:r w:rsidRPr="003F6F3D">
        <w:rPr>
          <w:sz w:val="28"/>
          <w:szCs w:val="28"/>
        </w:rPr>
        <w:t xml:space="preserve">В ходе проверок </w:t>
      </w:r>
      <w:r w:rsidRPr="003F6F3D">
        <w:rPr>
          <w:bCs/>
          <w:sz w:val="28"/>
          <w:szCs w:val="28"/>
        </w:rPr>
        <w:t>использования межбюджетных трансфертов, предоставленных из окружного бюджета в 2018-2020 годах муниципальным образованиям установлено 878 </w:t>
      </w:r>
      <w:r w:rsidRPr="003F6F3D">
        <w:rPr>
          <w:sz w:val="28"/>
          <w:szCs w:val="28"/>
        </w:rPr>
        <w:t>процедурных нарушений, не имеющих финансовой оценки, и 317 нарушений, финансовая оценка которых составила 85 763,9 тыс. рублей.</w:t>
      </w:r>
    </w:p>
    <w:p w:rsidR="00000E53" w:rsidRPr="003F6F3D" w:rsidRDefault="00000E53" w:rsidP="00000E53">
      <w:pPr>
        <w:autoSpaceDE w:val="0"/>
        <w:autoSpaceDN w:val="0"/>
        <w:adjustRightInd w:val="0"/>
        <w:ind w:firstLine="709"/>
        <w:jc w:val="both"/>
        <w:rPr>
          <w:sz w:val="28"/>
          <w:szCs w:val="28"/>
        </w:rPr>
      </w:pPr>
      <w:r w:rsidRPr="003F6F3D">
        <w:rPr>
          <w:bCs/>
          <w:sz w:val="28"/>
          <w:szCs w:val="28"/>
        </w:rPr>
        <w:t>Наибольшее количество нарушений выявлено в части исполнения местных бюджетов (213</w:t>
      </w:r>
      <w:r w:rsidRPr="003F6F3D">
        <w:rPr>
          <w:sz w:val="28"/>
          <w:szCs w:val="28"/>
        </w:rPr>
        <w:t xml:space="preserve"> процедурных нарушений, не имеющих финансовой оценки, и 302 нарушения, финансовая оценка которых составила 77 964,9 тыс. рублей), из них:</w:t>
      </w:r>
    </w:p>
    <w:p w:rsidR="00000E53" w:rsidRPr="003F6F3D" w:rsidRDefault="00000E53" w:rsidP="00000E53">
      <w:pPr>
        <w:autoSpaceDE w:val="0"/>
        <w:autoSpaceDN w:val="0"/>
        <w:adjustRightInd w:val="0"/>
        <w:ind w:firstLine="709"/>
        <w:jc w:val="both"/>
        <w:rPr>
          <w:sz w:val="28"/>
          <w:szCs w:val="28"/>
        </w:rPr>
      </w:pPr>
      <w:r w:rsidRPr="003F6F3D">
        <w:rPr>
          <w:sz w:val="28"/>
          <w:szCs w:val="28"/>
        </w:rPr>
        <w:t>- </w:t>
      </w:r>
      <w:proofErr w:type="spellStart"/>
      <w:r w:rsidRPr="003F6F3D">
        <w:rPr>
          <w:sz w:val="28"/>
          <w:szCs w:val="28"/>
        </w:rPr>
        <w:t>неперечисление</w:t>
      </w:r>
      <w:proofErr w:type="spellEnd"/>
      <w:r w:rsidRPr="003F6F3D">
        <w:rPr>
          <w:sz w:val="28"/>
          <w:szCs w:val="28"/>
        </w:rPr>
        <w:t xml:space="preserve"> в бюджет доходов от использования имущества, находящегося в муниципальной собственности – </w:t>
      </w:r>
      <w:proofErr w:type="spellStart"/>
      <w:r w:rsidRPr="003F6F3D">
        <w:rPr>
          <w:bCs/>
          <w:sz w:val="28"/>
          <w:szCs w:val="28"/>
        </w:rPr>
        <w:t>Провиденский</w:t>
      </w:r>
      <w:proofErr w:type="spellEnd"/>
      <w:r w:rsidRPr="003F6F3D">
        <w:rPr>
          <w:bCs/>
          <w:sz w:val="28"/>
          <w:szCs w:val="28"/>
        </w:rPr>
        <w:t xml:space="preserve"> городской округ (</w:t>
      </w:r>
      <w:r w:rsidRPr="003F6F3D">
        <w:rPr>
          <w:sz w:val="28"/>
          <w:szCs w:val="28"/>
        </w:rPr>
        <w:t>4 357,5 тыс. рублей);</w:t>
      </w:r>
    </w:p>
    <w:p w:rsidR="00000E53" w:rsidRPr="003F6F3D" w:rsidRDefault="00000E53" w:rsidP="00000E53">
      <w:pPr>
        <w:autoSpaceDE w:val="0"/>
        <w:autoSpaceDN w:val="0"/>
        <w:adjustRightInd w:val="0"/>
        <w:ind w:firstLine="709"/>
        <w:jc w:val="both"/>
        <w:rPr>
          <w:sz w:val="28"/>
          <w:szCs w:val="28"/>
        </w:rPr>
      </w:pPr>
      <w:r w:rsidRPr="003F6F3D">
        <w:rPr>
          <w:sz w:val="28"/>
          <w:szCs w:val="28"/>
        </w:rPr>
        <w:t xml:space="preserve">- нарушения при установлении случаев и порядка предоставления субсидий юридическим лицам (за исключением субсидии государственным (муниципальным) учреждениям), индивидуальным предпринимателям, физическим лицам – производителям товаров, работ, услуг </w:t>
      </w:r>
      <w:r w:rsidRPr="003F6F3D">
        <w:rPr>
          <w:bCs/>
          <w:sz w:val="28"/>
          <w:szCs w:val="28"/>
        </w:rPr>
        <w:t xml:space="preserve">– </w:t>
      </w:r>
      <w:proofErr w:type="spellStart"/>
      <w:r w:rsidRPr="003F6F3D">
        <w:rPr>
          <w:bCs/>
          <w:sz w:val="28"/>
          <w:szCs w:val="28"/>
        </w:rPr>
        <w:t>Билибинский</w:t>
      </w:r>
      <w:proofErr w:type="spellEnd"/>
      <w:r w:rsidRPr="003F6F3D">
        <w:rPr>
          <w:bCs/>
          <w:sz w:val="28"/>
          <w:szCs w:val="28"/>
        </w:rPr>
        <w:t xml:space="preserve"> муниципальный район</w:t>
      </w:r>
      <w:r w:rsidRPr="003F6F3D">
        <w:rPr>
          <w:sz w:val="28"/>
          <w:szCs w:val="28"/>
        </w:rPr>
        <w:t xml:space="preserve"> </w:t>
      </w:r>
      <w:r w:rsidRPr="003F6F3D">
        <w:rPr>
          <w:bCs/>
          <w:sz w:val="28"/>
          <w:szCs w:val="28"/>
        </w:rPr>
        <w:t>(63</w:t>
      </w:r>
      <w:r w:rsidRPr="003F6F3D">
        <w:rPr>
          <w:sz w:val="28"/>
          <w:szCs w:val="28"/>
        </w:rPr>
        <w:t xml:space="preserve"> процедурных нарушения, не имеющих финансовой оценки, </w:t>
      </w:r>
      <w:r w:rsidRPr="003F6F3D">
        <w:rPr>
          <w:bCs/>
          <w:sz w:val="28"/>
          <w:szCs w:val="28"/>
        </w:rPr>
        <w:t>29 нарушений, финансовая оценка которых составила 14 722,0 тыс. рублей);</w:t>
      </w:r>
    </w:p>
    <w:p w:rsidR="00000E53" w:rsidRPr="003F6F3D" w:rsidRDefault="00000E53" w:rsidP="00000E53">
      <w:pPr>
        <w:autoSpaceDE w:val="0"/>
        <w:autoSpaceDN w:val="0"/>
        <w:adjustRightInd w:val="0"/>
        <w:ind w:firstLine="709"/>
        <w:jc w:val="both"/>
        <w:rPr>
          <w:sz w:val="28"/>
          <w:szCs w:val="28"/>
        </w:rPr>
      </w:pPr>
      <w:r w:rsidRPr="003F6F3D">
        <w:rPr>
          <w:sz w:val="28"/>
          <w:szCs w:val="28"/>
        </w:rPr>
        <w:t xml:space="preserve">- нарушение порядка определения объема и условий предоставления субсидий бюджетным и автономным учреждениям на иные цели </w:t>
      </w:r>
      <w:r w:rsidRPr="003F6F3D">
        <w:rPr>
          <w:bCs/>
          <w:sz w:val="28"/>
          <w:szCs w:val="28"/>
        </w:rPr>
        <w:t>– Анадырский муниципальный район</w:t>
      </w:r>
      <w:r w:rsidRPr="003F6F3D">
        <w:rPr>
          <w:sz w:val="28"/>
          <w:szCs w:val="28"/>
        </w:rPr>
        <w:t xml:space="preserve"> </w:t>
      </w:r>
      <w:r w:rsidRPr="003F6F3D">
        <w:rPr>
          <w:bCs/>
          <w:sz w:val="28"/>
          <w:szCs w:val="28"/>
        </w:rPr>
        <w:t>(23 нарушения, финансовая оценка составила 15 437,6 тыс. рублей);</w:t>
      </w:r>
    </w:p>
    <w:p w:rsidR="00000E53" w:rsidRPr="003F6F3D" w:rsidRDefault="00000E53" w:rsidP="00000E53">
      <w:pPr>
        <w:autoSpaceDE w:val="0"/>
        <w:autoSpaceDN w:val="0"/>
        <w:adjustRightInd w:val="0"/>
        <w:ind w:firstLine="709"/>
        <w:jc w:val="both"/>
        <w:rPr>
          <w:sz w:val="28"/>
          <w:szCs w:val="28"/>
        </w:rPr>
      </w:pPr>
      <w:r w:rsidRPr="003F6F3D">
        <w:rPr>
          <w:sz w:val="28"/>
          <w:szCs w:val="28"/>
        </w:rPr>
        <w:t xml:space="preserve">- принятие бюджетных обязательств в размерах, превышающих утвержденные бюджетные ассигнования и лимиты бюджетных обязательств – </w:t>
      </w:r>
      <w:proofErr w:type="spellStart"/>
      <w:r w:rsidRPr="003F6F3D">
        <w:rPr>
          <w:sz w:val="28"/>
          <w:szCs w:val="28"/>
        </w:rPr>
        <w:t>Билибинский</w:t>
      </w:r>
      <w:proofErr w:type="spellEnd"/>
      <w:r w:rsidRPr="003F6F3D">
        <w:rPr>
          <w:sz w:val="28"/>
          <w:szCs w:val="28"/>
        </w:rPr>
        <w:t xml:space="preserve"> муниципальный район (32</w:t>
      </w:r>
      <w:r w:rsidRPr="003F6F3D">
        <w:rPr>
          <w:bCs/>
          <w:sz w:val="28"/>
          <w:szCs w:val="28"/>
        </w:rPr>
        <w:t xml:space="preserve"> нарушения, финансовая оценка составила </w:t>
      </w:r>
      <w:r w:rsidRPr="003F6F3D">
        <w:rPr>
          <w:sz w:val="28"/>
          <w:szCs w:val="28"/>
        </w:rPr>
        <w:t>42 604,8 тыс. рублей).</w:t>
      </w:r>
    </w:p>
    <w:p w:rsidR="00000E53" w:rsidRPr="003F6F3D" w:rsidRDefault="00000E53" w:rsidP="00000E53">
      <w:pPr>
        <w:autoSpaceDE w:val="0"/>
        <w:autoSpaceDN w:val="0"/>
        <w:adjustRightInd w:val="0"/>
        <w:ind w:firstLine="709"/>
        <w:jc w:val="both"/>
        <w:rPr>
          <w:sz w:val="28"/>
          <w:szCs w:val="28"/>
        </w:rPr>
      </w:pPr>
    </w:p>
    <w:p w:rsidR="00000E53" w:rsidRPr="003F6F3D" w:rsidRDefault="00000E53" w:rsidP="00000E53">
      <w:pPr>
        <w:autoSpaceDE w:val="0"/>
        <w:autoSpaceDN w:val="0"/>
        <w:adjustRightInd w:val="0"/>
        <w:ind w:firstLine="709"/>
        <w:jc w:val="both"/>
        <w:rPr>
          <w:sz w:val="28"/>
          <w:szCs w:val="28"/>
        </w:rPr>
      </w:pPr>
      <w:r w:rsidRPr="003F6F3D">
        <w:rPr>
          <w:sz w:val="28"/>
          <w:szCs w:val="28"/>
        </w:rPr>
        <w:t>Кроме того, установлены случаи нарушений следующего характера:</w:t>
      </w:r>
    </w:p>
    <w:p w:rsidR="00000E53" w:rsidRPr="003F6F3D" w:rsidRDefault="00000E53" w:rsidP="00000E53">
      <w:pPr>
        <w:autoSpaceDE w:val="0"/>
        <w:autoSpaceDN w:val="0"/>
        <w:adjustRightInd w:val="0"/>
        <w:ind w:firstLine="709"/>
        <w:jc w:val="both"/>
        <w:rPr>
          <w:sz w:val="28"/>
          <w:szCs w:val="28"/>
        </w:rPr>
      </w:pPr>
      <w:r w:rsidRPr="003F6F3D">
        <w:rPr>
          <w:sz w:val="28"/>
          <w:szCs w:val="28"/>
        </w:rPr>
        <w:t xml:space="preserve">- нарушения требований к бюджетному (бухгалтерскому) учету, в том числе бюджетной, бухгалтерской (финансовой) отчетности – 23 процедурных нарушения, не имеющих финансовой оценки, и 2 нарушения, финансовая оценка которых составила 4 006,0 тыс. рублей, из них 2 нарушения </w:t>
      </w:r>
      <w:r w:rsidRPr="003F6F3D">
        <w:rPr>
          <w:sz w:val="28"/>
          <w:szCs w:val="28"/>
          <w:lang w:val="en-US"/>
        </w:rPr>
        <w:t>c</w:t>
      </w:r>
      <w:r w:rsidRPr="003F6F3D">
        <w:rPr>
          <w:sz w:val="28"/>
          <w:szCs w:val="28"/>
        </w:rPr>
        <w:t xml:space="preserve"> финансовой оценкой 4 006,0 тыс. рублей – </w:t>
      </w:r>
      <w:proofErr w:type="spellStart"/>
      <w:r w:rsidRPr="003F6F3D">
        <w:rPr>
          <w:bCs/>
          <w:sz w:val="28"/>
          <w:szCs w:val="28"/>
        </w:rPr>
        <w:t>Провиденский</w:t>
      </w:r>
      <w:proofErr w:type="spellEnd"/>
      <w:r w:rsidRPr="003F6F3D">
        <w:rPr>
          <w:bCs/>
          <w:sz w:val="28"/>
          <w:szCs w:val="28"/>
        </w:rPr>
        <w:t xml:space="preserve"> городской округ (нарушения </w:t>
      </w:r>
      <w:r w:rsidRPr="003F6F3D">
        <w:rPr>
          <w:sz w:val="28"/>
          <w:szCs w:val="28"/>
        </w:rPr>
        <w:t>Федерального стандарта бухгалтерского учета для организаций государственного сектора «Основные средства»</w:t>
      </w:r>
      <w:r w:rsidRPr="003F6F3D">
        <w:rPr>
          <w:rStyle w:val="ab"/>
          <w:sz w:val="28"/>
          <w:szCs w:val="28"/>
        </w:rPr>
        <w:footnoteReference w:id="212"/>
      </w:r>
      <w:r w:rsidRPr="003F6F3D">
        <w:rPr>
          <w:sz w:val="28"/>
          <w:szCs w:val="28"/>
        </w:rPr>
        <w:t xml:space="preserve">); </w:t>
      </w:r>
    </w:p>
    <w:p w:rsidR="00000E53" w:rsidRPr="003F6F3D" w:rsidRDefault="00000E53" w:rsidP="00000E53">
      <w:pPr>
        <w:autoSpaceDE w:val="0"/>
        <w:autoSpaceDN w:val="0"/>
        <w:adjustRightInd w:val="0"/>
        <w:ind w:firstLine="709"/>
        <w:jc w:val="both"/>
        <w:rPr>
          <w:bCs/>
          <w:sz w:val="28"/>
          <w:szCs w:val="28"/>
        </w:rPr>
      </w:pPr>
      <w:r w:rsidRPr="003F6F3D">
        <w:rPr>
          <w:sz w:val="28"/>
          <w:szCs w:val="28"/>
        </w:rPr>
        <w:t xml:space="preserve">- нарушения в сфере управления и распоряжения муниципальной собственностью – 190 процедурных нарушения, не имеющих финансовой оценки, из них 105 нарушений – </w:t>
      </w:r>
      <w:proofErr w:type="spellStart"/>
      <w:r w:rsidRPr="003F6F3D">
        <w:rPr>
          <w:bCs/>
          <w:sz w:val="28"/>
          <w:szCs w:val="28"/>
        </w:rPr>
        <w:t>Провиденский</w:t>
      </w:r>
      <w:proofErr w:type="spellEnd"/>
      <w:r w:rsidRPr="003F6F3D">
        <w:rPr>
          <w:bCs/>
          <w:sz w:val="28"/>
          <w:szCs w:val="28"/>
        </w:rPr>
        <w:t xml:space="preserve"> городской округ (нарушения порядка распоряжения имуществом бюджетного учреждения (42), нарушения порядка ведения реестра муниципального имущества (63);</w:t>
      </w:r>
    </w:p>
    <w:p w:rsidR="00000E53" w:rsidRPr="003F6F3D" w:rsidRDefault="00000E53" w:rsidP="00000E53">
      <w:pPr>
        <w:autoSpaceDE w:val="0"/>
        <w:autoSpaceDN w:val="0"/>
        <w:adjustRightInd w:val="0"/>
        <w:ind w:firstLine="709"/>
        <w:jc w:val="both"/>
        <w:rPr>
          <w:bCs/>
          <w:sz w:val="28"/>
          <w:szCs w:val="28"/>
        </w:rPr>
      </w:pPr>
      <w:r w:rsidRPr="003F6F3D">
        <w:rPr>
          <w:sz w:val="28"/>
          <w:szCs w:val="28"/>
        </w:rPr>
        <w:t xml:space="preserve">- нарушения при осуществлении муниципальных закупок и закупок отдельными видами юридических лиц – 113 процедурных нарушения, не имеющих финансовой оценки, из них 103 нарушения допустил </w:t>
      </w:r>
      <w:proofErr w:type="spellStart"/>
      <w:r w:rsidRPr="003F6F3D">
        <w:rPr>
          <w:bCs/>
          <w:sz w:val="28"/>
          <w:szCs w:val="28"/>
        </w:rPr>
        <w:t>Провиденский</w:t>
      </w:r>
      <w:proofErr w:type="spellEnd"/>
      <w:r w:rsidRPr="003F6F3D">
        <w:rPr>
          <w:bCs/>
          <w:sz w:val="28"/>
          <w:szCs w:val="28"/>
        </w:rPr>
        <w:t xml:space="preserve"> городской округ, одно нарушение с финансовой оценкой 2 751,2 тыс. рублей – </w:t>
      </w:r>
      <w:proofErr w:type="spellStart"/>
      <w:r w:rsidRPr="003F6F3D">
        <w:rPr>
          <w:bCs/>
          <w:sz w:val="28"/>
          <w:szCs w:val="28"/>
        </w:rPr>
        <w:t>Билибинский</w:t>
      </w:r>
      <w:proofErr w:type="spellEnd"/>
      <w:r w:rsidRPr="003F6F3D">
        <w:rPr>
          <w:bCs/>
          <w:sz w:val="28"/>
          <w:szCs w:val="28"/>
        </w:rPr>
        <w:t xml:space="preserve"> муниципальный район, 10 нарушений с финансовой оценкой 1 000,0 тыс. рублей – сельское поселение </w:t>
      </w:r>
      <w:proofErr w:type="spellStart"/>
      <w:r w:rsidRPr="003F6F3D">
        <w:rPr>
          <w:bCs/>
          <w:sz w:val="28"/>
          <w:szCs w:val="28"/>
        </w:rPr>
        <w:t>Нешкан</w:t>
      </w:r>
      <w:proofErr w:type="spellEnd"/>
      <w:r w:rsidRPr="003F6F3D">
        <w:rPr>
          <w:bCs/>
          <w:sz w:val="28"/>
          <w:szCs w:val="28"/>
        </w:rPr>
        <w:t>;</w:t>
      </w:r>
    </w:p>
    <w:p w:rsidR="00000E53" w:rsidRPr="003F6F3D" w:rsidRDefault="00000E53" w:rsidP="00000E53">
      <w:pPr>
        <w:autoSpaceDE w:val="0"/>
        <w:autoSpaceDN w:val="0"/>
        <w:adjustRightInd w:val="0"/>
        <w:ind w:firstLine="709"/>
        <w:jc w:val="both"/>
        <w:rPr>
          <w:bCs/>
          <w:sz w:val="28"/>
          <w:szCs w:val="28"/>
        </w:rPr>
      </w:pPr>
      <w:r w:rsidRPr="003F6F3D">
        <w:rPr>
          <w:sz w:val="28"/>
          <w:szCs w:val="28"/>
        </w:rPr>
        <w:t>- нарушения правил осуществления внутреннего финансового контроля и внутреннего финансового аудита – 341 нарушение (</w:t>
      </w:r>
      <w:proofErr w:type="spellStart"/>
      <w:r w:rsidRPr="003F6F3D">
        <w:rPr>
          <w:bCs/>
          <w:sz w:val="28"/>
          <w:szCs w:val="28"/>
        </w:rPr>
        <w:t>Провиденский</w:t>
      </w:r>
      <w:proofErr w:type="spellEnd"/>
      <w:r w:rsidRPr="003F6F3D">
        <w:rPr>
          <w:bCs/>
          <w:sz w:val="28"/>
          <w:szCs w:val="28"/>
        </w:rPr>
        <w:t xml:space="preserve"> городской округ – 232 нарушения, Чукотский муниципальный район – 109 нарушений). </w:t>
      </w:r>
    </w:p>
    <w:p w:rsidR="00000E53" w:rsidRPr="003F6F3D" w:rsidRDefault="00000E53" w:rsidP="00000E53">
      <w:pPr>
        <w:autoSpaceDE w:val="0"/>
        <w:autoSpaceDN w:val="0"/>
        <w:adjustRightInd w:val="0"/>
        <w:ind w:firstLine="709"/>
        <w:jc w:val="both"/>
        <w:rPr>
          <w:sz w:val="28"/>
          <w:szCs w:val="28"/>
        </w:rPr>
      </w:pPr>
      <w:r w:rsidRPr="003F6F3D">
        <w:rPr>
          <w:bCs/>
          <w:sz w:val="28"/>
          <w:szCs w:val="28"/>
        </w:rPr>
        <w:t xml:space="preserve">Наибольшее количество нарушений </w:t>
      </w:r>
      <w:r w:rsidRPr="003F6F3D">
        <w:rPr>
          <w:sz w:val="28"/>
          <w:szCs w:val="28"/>
        </w:rPr>
        <w:t xml:space="preserve">процедурного характера установлено проверкой </w:t>
      </w:r>
      <w:proofErr w:type="spellStart"/>
      <w:r w:rsidRPr="003F6F3D">
        <w:rPr>
          <w:sz w:val="28"/>
          <w:szCs w:val="28"/>
        </w:rPr>
        <w:t>Провиденского</w:t>
      </w:r>
      <w:proofErr w:type="spellEnd"/>
      <w:r w:rsidRPr="003F6F3D">
        <w:rPr>
          <w:sz w:val="28"/>
          <w:szCs w:val="28"/>
        </w:rPr>
        <w:t xml:space="preserve"> городского округа – 498 нарушений, из них 13 нарушений, финансовая оценка которых составила 8 636,0 тыс. рублей.</w:t>
      </w:r>
    </w:p>
    <w:p w:rsidR="00000E53" w:rsidRPr="003F6F3D" w:rsidRDefault="00000E53" w:rsidP="00000E53">
      <w:pPr>
        <w:autoSpaceDE w:val="0"/>
        <w:autoSpaceDN w:val="0"/>
        <w:adjustRightInd w:val="0"/>
        <w:ind w:firstLine="709"/>
        <w:jc w:val="both"/>
        <w:rPr>
          <w:sz w:val="28"/>
          <w:szCs w:val="28"/>
        </w:rPr>
      </w:pPr>
      <w:r w:rsidRPr="003F6F3D">
        <w:rPr>
          <w:bCs/>
          <w:sz w:val="28"/>
          <w:szCs w:val="28"/>
        </w:rPr>
        <w:t>Наибольший стоимостной объем нарушений</w:t>
      </w:r>
      <w:r w:rsidRPr="003F6F3D">
        <w:rPr>
          <w:b/>
          <w:bCs/>
          <w:sz w:val="28"/>
          <w:szCs w:val="28"/>
        </w:rPr>
        <w:t xml:space="preserve"> </w:t>
      </w:r>
      <w:r w:rsidRPr="003F6F3D">
        <w:rPr>
          <w:sz w:val="28"/>
          <w:szCs w:val="28"/>
        </w:rPr>
        <w:t>выявлен в муниципальных образованиях:</w:t>
      </w:r>
    </w:p>
    <w:p w:rsidR="00000E53" w:rsidRPr="003F6F3D" w:rsidRDefault="00000E53" w:rsidP="00000E53">
      <w:pPr>
        <w:autoSpaceDE w:val="0"/>
        <w:autoSpaceDN w:val="0"/>
        <w:adjustRightInd w:val="0"/>
        <w:ind w:firstLine="709"/>
        <w:jc w:val="both"/>
        <w:rPr>
          <w:sz w:val="28"/>
          <w:szCs w:val="28"/>
        </w:rPr>
      </w:pPr>
      <w:r w:rsidRPr="003F6F3D">
        <w:rPr>
          <w:sz w:val="28"/>
          <w:szCs w:val="28"/>
        </w:rPr>
        <w:t xml:space="preserve">- в </w:t>
      </w:r>
      <w:proofErr w:type="spellStart"/>
      <w:r w:rsidRPr="003F6F3D">
        <w:rPr>
          <w:sz w:val="28"/>
          <w:szCs w:val="28"/>
        </w:rPr>
        <w:t>Билибинском</w:t>
      </w:r>
      <w:proofErr w:type="spellEnd"/>
      <w:r w:rsidRPr="003F6F3D">
        <w:rPr>
          <w:sz w:val="28"/>
          <w:szCs w:val="28"/>
        </w:rPr>
        <w:t xml:space="preserve"> муниципальной районе – 221 нарушение, из них 61 нарушение, финансовая оценка которых составила 60 078,0 тыс. рублей;</w:t>
      </w:r>
    </w:p>
    <w:p w:rsidR="00000E53" w:rsidRPr="003F6F3D" w:rsidRDefault="00000E53" w:rsidP="00000E53">
      <w:pPr>
        <w:autoSpaceDE w:val="0"/>
        <w:autoSpaceDN w:val="0"/>
        <w:adjustRightInd w:val="0"/>
        <w:ind w:firstLine="709"/>
        <w:jc w:val="both"/>
        <w:rPr>
          <w:sz w:val="28"/>
          <w:szCs w:val="28"/>
        </w:rPr>
      </w:pPr>
      <w:r w:rsidRPr="003F6F3D">
        <w:rPr>
          <w:sz w:val="28"/>
          <w:szCs w:val="28"/>
        </w:rPr>
        <w:t>- </w:t>
      </w:r>
      <w:proofErr w:type="gramStart"/>
      <w:r w:rsidRPr="003F6F3D">
        <w:rPr>
          <w:sz w:val="28"/>
          <w:szCs w:val="28"/>
        </w:rPr>
        <w:t>в Анадырском муниципальной районе</w:t>
      </w:r>
      <w:proofErr w:type="gramEnd"/>
      <w:r w:rsidRPr="003F6F3D">
        <w:rPr>
          <w:sz w:val="28"/>
          <w:szCs w:val="28"/>
        </w:rPr>
        <w:t xml:space="preserve"> – 259 нарушений, из них 232 нарушения, финансовая оценка которых составила 16 049,9 тыс. рублей.</w:t>
      </w:r>
    </w:p>
    <w:p w:rsidR="00000E53" w:rsidRPr="003F6F3D" w:rsidRDefault="00000E53" w:rsidP="00000E53">
      <w:pPr>
        <w:widowControl w:val="0"/>
        <w:tabs>
          <w:tab w:val="left" w:pos="567"/>
        </w:tabs>
        <w:suppressAutoHyphens/>
        <w:ind w:firstLine="709"/>
        <w:jc w:val="both"/>
        <w:rPr>
          <w:bCs/>
          <w:sz w:val="28"/>
          <w:szCs w:val="28"/>
        </w:rPr>
      </w:pPr>
      <w:r w:rsidRPr="003F6F3D">
        <w:rPr>
          <w:bCs/>
          <w:sz w:val="28"/>
          <w:szCs w:val="28"/>
        </w:rPr>
        <w:t>В ходе проверок выявлено 245 фактов нерезультативного (неэффективного) использования бюджетных средств в общей сумме 2 660,7 тыс. рублей, в том числе:</w:t>
      </w:r>
    </w:p>
    <w:p w:rsidR="00000E53" w:rsidRPr="003F6F3D" w:rsidRDefault="00000E53" w:rsidP="00000E53">
      <w:pPr>
        <w:widowControl w:val="0"/>
        <w:tabs>
          <w:tab w:val="left" w:pos="567"/>
        </w:tabs>
        <w:suppressAutoHyphens/>
        <w:ind w:firstLine="709"/>
        <w:jc w:val="both"/>
        <w:rPr>
          <w:sz w:val="28"/>
          <w:szCs w:val="28"/>
        </w:rPr>
      </w:pPr>
      <w:r w:rsidRPr="003F6F3D">
        <w:rPr>
          <w:bCs/>
          <w:sz w:val="28"/>
          <w:szCs w:val="28"/>
        </w:rPr>
        <w:t xml:space="preserve">- 880,0 тыс. рублей – 4 муниципальных образования (городские округа </w:t>
      </w:r>
      <w:proofErr w:type="spellStart"/>
      <w:r w:rsidRPr="003F6F3D">
        <w:rPr>
          <w:bCs/>
          <w:sz w:val="28"/>
          <w:szCs w:val="28"/>
        </w:rPr>
        <w:t>Певек</w:t>
      </w:r>
      <w:proofErr w:type="spellEnd"/>
      <w:r w:rsidRPr="003F6F3D">
        <w:rPr>
          <w:bCs/>
          <w:sz w:val="28"/>
          <w:szCs w:val="28"/>
        </w:rPr>
        <w:t xml:space="preserve"> и </w:t>
      </w:r>
      <w:proofErr w:type="spellStart"/>
      <w:r w:rsidRPr="003F6F3D">
        <w:rPr>
          <w:bCs/>
          <w:sz w:val="28"/>
          <w:szCs w:val="28"/>
        </w:rPr>
        <w:t>Провиденский</w:t>
      </w:r>
      <w:proofErr w:type="spellEnd"/>
      <w:r w:rsidRPr="003F6F3D">
        <w:rPr>
          <w:bCs/>
          <w:sz w:val="28"/>
          <w:szCs w:val="28"/>
        </w:rPr>
        <w:t xml:space="preserve">, муниципальные районы Анадырский и Чукотский) </w:t>
      </w:r>
      <w:r w:rsidRPr="003F6F3D">
        <w:rPr>
          <w:sz w:val="28"/>
          <w:szCs w:val="28"/>
        </w:rPr>
        <w:t xml:space="preserve">в отсутствие бюджетных обязательств допустили переплату в бюджет (страховые взносы, налог на имущество, налог на доходы физических лиц); </w:t>
      </w:r>
    </w:p>
    <w:p w:rsidR="00000E53" w:rsidRPr="003F6F3D" w:rsidRDefault="00000E53" w:rsidP="00000E53">
      <w:pPr>
        <w:widowControl w:val="0"/>
        <w:tabs>
          <w:tab w:val="left" w:pos="567"/>
        </w:tabs>
        <w:suppressAutoHyphens/>
        <w:ind w:firstLine="709"/>
        <w:jc w:val="both"/>
        <w:rPr>
          <w:sz w:val="28"/>
          <w:szCs w:val="28"/>
        </w:rPr>
      </w:pPr>
      <w:r w:rsidRPr="003F6F3D">
        <w:rPr>
          <w:bCs/>
          <w:sz w:val="28"/>
          <w:szCs w:val="28"/>
        </w:rPr>
        <w:t xml:space="preserve">- 1 780,7 тыс. рублей – 5 муниципальных образований (городские округа </w:t>
      </w:r>
      <w:proofErr w:type="spellStart"/>
      <w:r w:rsidRPr="003F6F3D">
        <w:rPr>
          <w:bCs/>
          <w:sz w:val="28"/>
          <w:szCs w:val="28"/>
        </w:rPr>
        <w:t>Певек</w:t>
      </w:r>
      <w:proofErr w:type="spellEnd"/>
      <w:r w:rsidRPr="003F6F3D">
        <w:rPr>
          <w:bCs/>
          <w:sz w:val="28"/>
          <w:szCs w:val="28"/>
        </w:rPr>
        <w:t xml:space="preserve"> и </w:t>
      </w:r>
      <w:proofErr w:type="spellStart"/>
      <w:r w:rsidRPr="003F6F3D">
        <w:rPr>
          <w:bCs/>
          <w:sz w:val="28"/>
          <w:szCs w:val="28"/>
        </w:rPr>
        <w:t>Провиденский</w:t>
      </w:r>
      <w:proofErr w:type="spellEnd"/>
      <w:r w:rsidRPr="003F6F3D">
        <w:rPr>
          <w:bCs/>
          <w:sz w:val="28"/>
          <w:szCs w:val="28"/>
        </w:rPr>
        <w:t xml:space="preserve">, муниципальные районы Анадырский, </w:t>
      </w:r>
      <w:proofErr w:type="spellStart"/>
      <w:r w:rsidRPr="003F6F3D">
        <w:rPr>
          <w:bCs/>
          <w:sz w:val="28"/>
          <w:szCs w:val="28"/>
        </w:rPr>
        <w:t>Билибинский</w:t>
      </w:r>
      <w:proofErr w:type="spellEnd"/>
      <w:r w:rsidRPr="003F6F3D">
        <w:rPr>
          <w:bCs/>
          <w:sz w:val="28"/>
          <w:szCs w:val="28"/>
        </w:rPr>
        <w:t xml:space="preserve"> и Чукотский) за счет бюджетных средств оплатили пени и штрафы (нарушение налогового законодательства, административные правонарушения, </w:t>
      </w:r>
      <w:r w:rsidRPr="003F6F3D">
        <w:rPr>
          <w:sz w:val="28"/>
          <w:szCs w:val="28"/>
        </w:rPr>
        <w:t>нарушение санитарно-эпидемиологических требований, нарушение сроков исполнения обязательств заказчиком</w:t>
      </w:r>
      <w:r w:rsidRPr="003F6F3D">
        <w:rPr>
          <w:bCs/>
          <w:sz w:val="28"/>
          <w:szCs w:val="28"/>
        </w:rPr>
        <w:t xml:space="preserve"> и иные), а также судебные издержки.</w:t>
      </w:r>
    </w:p>
    <w:p w:rsidR="00000E53" w:rsidRPr="003F6F3D" w:rsidRDefault="00000E53" w:rsidP="00000E53">
      <w:pPr>
        <w:autoSpaceDE w:val="0"/>
        <w:autoSpaceDN w:val="0"/>
        <w:adjustRightInd w:val="0"/>
        <w:ind w:firstLine="709"/>
        <w:jc w:val="both"/>
        <w:rPr>
          <w:sz w:val="28"/>
          <w:szCs w:val="28"/>
        </w:rPr>
      </w:pPr>
      <w:r w:rsidRPr="003F6F3D">
        <w:rPr>
          <w:sz w:val="28"/>
          <w:szCs w:val="28"/>
        </w:rPr>
        <w:t>По результатам проверок составлено 10 административных протоколов:</w:t>
      </w:r>
    </w:p>
    <w:p w:rsidR="00000E53" w:rsidRPr="003F6F3D" w:rsidRDefault="00000E53" w:rsidP="00000E53">
      <w:pPr>
        <w:autoSpaceDE w:val="0"/>
        <w:autoSpaceDN w:val="0"/>
        <w:adjustRightInd w:val="0"/>
        <w:ind w:firstLine="708"/>
        <w:jc w:val="both"/>
        <w:rPr>
          <w:sz w:val="28"/>
          <w:szCs w:val="28"/>
        </w:rPr>
      </w:pPr>
      <w:r w:rsidRPr="003F6F3D">
        <w:rPr>
          <w:sz w:val="28"/>
          <w:szCs w:val="28"/>
        </w:rPr>
        <w:t>- </w:t>
      </w:r>
      <w:proofErr w:type="spellStart"/>
      <w:r w:rsidRPr="003F6F3D">
        <w:rPr>
          <w:sz w:val="28"/>
          <w:szCs w:val="28"/>
        </w:rPr>
        <w:t>Провиденский</w:t>
      </w:r>
      <w:proofErr w:type="spellEnd"/>
      <w:r w:rsidRPr="003F6F3D">
        <w:rPr>
          <w:sz w:val="28"/>
          <w:szCs w:val="28"/>
        </w:rPr>
        <w:t xml:space="preserve"> городской округ – 3 протокола об административных правонарушениях по статье 15.15.5 КоАП</w:t>
      </w:r>
      <w:r w:rsidRPr="003F6F3D">
        <w:rPr>
          <w:rStyle w:val="ab"/>
          <w:sz w:val="28"/>
          <w:szCs w:val="28"/>
        </w:rPr>
        <w:footnoteReference w:id="213"/>
      </w:r>
      <w:r w:rsidRPr="003F6F3D">
        <w:rPr>
          <w:sz w:val="28"/>
          <w:szCs w:val="28"/>
        </w:rPr>
        <w:t xml:space="preserve"> «</w:t>
      </w:r>
      <w:r w:rsidRPr="003F6F3D">
        <w:rPr>
          <w:bCs/>
          <w:sz w:val="28"/>
          <w:szCs w:val="28"/>
        </w:rPr>
        <w:t>Нарушение условий предоставления субсидий» в отношении одного должностного лица. С</w:t>
      </w:r>
      <w:r w:rsidRPr="003F6F3D">
        <w:rPr>
          <w:sz w:val="28"/>
          <w:szCs w:val="28"/>
        </w:rPr>
        <w:t>удебными органами вынесены постановления по делам об административных правонарушениях с назначением административного наказания на общую сумму 30,0 тыс. рублей – штраф оплачен в 2021 году;</w:t>
      </w:r>
    </w:p>
    <w:p w:rsidR="00000E53" w:rsidRPr="003F6F3D" w:rsidRDefault="00000E53" w:rsidP="00000E53">
      <w:pPr>
        <w:ind w:firstLine="709"/>
        <w:jc w:val="both"/>
        <w:rPr>
          <w:sz w:val="28"/>
          <w:szCs w:val="28"/>
        </w:rPr>
      </w:pPr>
      <w:r w:rsidRPr="003F6F3D">
        <w:rPr>
          <w:bCs/>
          <w:sz w:val="28"/>
          <w:szCs w:val="28"/>
        </w:rPr>
        <w:t>- </w:t>
      </w:r>
      <w:proofErr w:type="spellStart"/>
      <w:r w:rsidRPr="003F6F3D">
        <w:rPr>
          <w:bCs/>
          <w:sz w:val="28"/>
          <w:szCs w:val="28"/>
        </w:rPr>
        <w:t>Билибинский</w:t>
      </w:r>
      <w:proofErr w:type="spellEnd"/>
      <w:r w:rsidRPr="003F6F3D">
        <w:rPr>
          <w:bCs/>
          <w:sz w:val="28"/>
          <w:szCs w:val="28"/>
        </w:rPr>
        <w:t xml:space="preserve"> </w:t>
      </w:r>
      <w:r w:rsidRPr="003F6F3D">
        <w:rPr>
          <w:sz w:val="28"/>
        </w:rPr>
        <w:t xml:space="preserve">муниципальный район – составлено 7 протоков </w:t>
      </w:r>
      <w:r w:rsidRPr="003F6F3D">
        <w:rPr>
          <w:sz w:val="28"/>
          <w:szCs w:val="28"/>
        </w:rPr>
        <w:t>об административных правонарушениях:</w:t>
      </w:r>
    </w:p>
    <w:p w:rsidR="00000E53" w:rsidRPr="003F6F3D" w:rsidRDefault="00000E53" w:rsidP="00000E53">
      <w:pPr>
        <w:ind w:firstLine="709"/>
        <w:jc w:val="both"/>
        <w:rPr>
          <w:bCs/>
          <w:sz w:val="28"/>
          <w:szCs w:val="28"/>
        </w:rPr>
      </w:pPr>
      <w:r w:rsidRPr="003F6F3D">
        <w:rPr>
          <w:sz w:val="28"/>
        </w:rPr>
        <w:t>4</w:t>
      </w:r>
      <w:r w:rsidRPr="003F6F3D">
        <w:rPr>
          <w:sz w:val="28"/>
          <w:szCs w:val="28"/>
        </w:rPr>
        <w:t xml:space="preserve"> протокола </w:t>
      </w:r>
      <w:r w:rsidRPr="003F6F3D">
        <w:rPr>
          <w:bCs/>
          <w:sz w:val="28"/>
          <w:szCs w:val="28"/>
        </w:rPr>
        <w:t>в отношении двух должностных лиц</w:t>
      </w:r>
      <w:r w:rsidRPr="003F6F3D">
        <w:rPr>
          <w:sz w:val="28"/>
          <w:szCs w:val="28"/>
        </w:rPr>
        <w:t xml:space="preserve"> по статье </w:t>
      </w:r>
      <w:r w:rsidRPr="003F6F3D">
        <w:rPr>
          <w:bCs/>
          <w:sz w:val="28"/>
          <w:szCs w:val="28"/>
        </w:rPr>
        <w:t xml:space="preserve">15.15.10 КоАП «Нарушение порядка принятия бюджетных обязательств» – </w:t>
      </w:r>
      <w:r w:rsidRPr="003F6F3D">
        <w:rPr>
          <w:sz w:val="28"/>
          <w:szCs w:val="28"/>
        </w:rPr>
        <w:t>назначено наказание в виде предупреждения;</w:t>
      </w:r>
    </w:p>
    <w:p w:rsidR="00000E53" w:rsidRPr="003F6F3D" w:rsidRDefault="00000E53" w:rsidP="00000E53">
      <w:pPr>
        <w:ind w:firstLine="709"/>
        <w:jc w:val="both"/>
        <w:rPr>
          <w:sz w:val="28"/>
          <w:szCs w:val="28"/>
        </w:rPr>
      </w:pPr>
      <w:r w:rsidRPr="003F6F3D">
        <w:rPr>
          <w:sz w:val="28"/>
          <w:szCs w:val="28"/>
        </w:rPr>
        <w:t>3 протокола по статье 15.15.5 КоАП «</w:t>
      </w:r>
      <w:r w:rsidRPr="003F6F3D">
        <w:rPr>
          <w:bCs/>
          <w:sz w:val="28"/>
          <w:szCs w:val="28"/>
        </w:rPr>
        <w:t xml:space="preserve">Нарушение условий предоставления субсидий» в отношении одного должностного лица </w:t>
      </w:r>
      <w:r w:rsidRPr="003F6F3D">
        <w:rPr>
          <w:sz w:val="28"/>
          <w:szCs w:val="28"/>
        </w:rPr>
        <w:t xml:space="preserve">назначено наказание в виде административного штрафа в сумме 10,0 тыс. рублей. На момент подготовки отчета штраф должностным лицом не оплачен. </w:t>
      </w:r>
    </w:p>
    <w:bookmarkEnd w:id="99"/>
    <w:p w:rsidR="00000E53" w:rsidRPr="003F6F3D" w:rsidRDefault="00000E53" w:rsidP="00000E53">
      <w:pPr>
        <w:autoSpaceDE w:val="0"/>
        <w:autoSpaceDN w:val="0"/>
        <w:adjustRightInd w:val="0"/>
        <w:spacing w:before="240" w:after="120"/>
        <w:ind w:firstLine="709"/>
        <w:jc w:val="both"/>
        <w:rPr>
          <w:rFonts w:ascii="Times New Roman,Bold" w:eastAsiaTheme="minorHAnsi" w:hAnsi="Times New Roman,Bold" w:cs="Times New Roman,Bold"/>
          <w:b/>
          <w:bCs/>
          <w:sz w:val="28"/>
          <w:szCs w:val="28"/>
        </w:rPr>
      </w:pPr>
      <w:r w:rsidRPr="003F6F3D">
        <w:rPr>
          <w:rFonts w:ascii="Times New Roman,Bold" w:eastAsiaTheme="minorHAnsi" w:hAnsi="Times New Roman,Bold" w:cs="Times New Roman,Bold"/>
          <w:b/>
          <w:bCs/>
          <w:sz w:val="28"/>
          <w:szCs w:val="28"/>
        </w:rPr>
        <w:t>Выводы</w:t>
      </w:r>
    </w:p>
    <w:p w:rsidR="00000E53" w:rsidRPr="003F6F3D" w:rsidRDefault="00000E53" w:rsidP="00000E53">
      <w:pPr>
        <w:autoSpaceDE w:val="0"/>
        <w:autoSpaceDN w:val="0"/>
        <w:adjustRightInd w:val="0"/>
        <w:ind w:firstLine="709"/>
        <w:jc w:val="both"/>
        <w:rPr>
          <w:bCs/>
          <w:sz w:val="28"/>
          <w:szCs w:val="28"/>
        </w:rPr>
      </w:pPr>
      <w:r w:rsidRPr="003F6F3D">
        <w:rPr>
          <w:bCs/>
          <w:sz w:val="28"/>
          <w:szCs w:val="28"/>
        </w:rPr>
        <w:t>1. В 2018-2020 годах межбюджетные трансферты из окружного бюджета предоставлялись одиннадцатью главными распорядителями средств окружного бюджета всем 30 муниципальным образованиям округа в рамках реализации 14 государственных программ Чукотского автономного округа и двух непрограммных направлений деятельности органов власти Чукотского автономного округа.</w:t>
      </w:r>
    </w:p>
    <w:p w:rsidR="00000E53" w:rsidRPr="003F6F3D" w:rsidRDefault="00000E53" w:rsidP="00000E53">
      <w:pPr>
        <w:autoSpaceDE w:val="0"/>
        <w:autoSpaceDN w:val="0"/>
        <w:adjustRightInd w:val="0"/>
        <w:ind w:firstLine="709"/>
        <w:jc w:val="both"/>
        <w:rPr>
          <w:bCs/>
          <w:sz w:val="28"/>
          <w:szCs w:val="28"/>
        </w:rPr>
      </w:pPr>
      <w:r w:rsidRPr="003F6F3D">
        <w:rPr>
          <w:bCs/>
          <w:sz w:val="28"/>
          <w:szCs w:val="28"/>
        </w:rPr>
        <w:t>2. </w:t>
      </w:r>
      <w:r w:rsidRPr="003F6F3D">
        <w:rPr>
          <w:sz w:val="28"/>
          <w:szCs w:val="28"/>
        </w:rPr>
        <w:t xml:space="preserve">Расходы окружного бюджета на предоставление межбюджетных трансфертов местным бюджетам </w:t>
      </w:r>
      <w:r w:rsidRPr="003F6F3D">
        <w:rPr>
          <w:bCs/>
          <w:sz w:val="28"/>
          <w:szCs w:val="28"/>
        </w:rPr>
        <w:t>в 2018-2020 годах составили 29 114 961,6 тыс. рублей.</w:t>
      </w:r>
    </w:p>
    <w:p w:rsidR="00000E53" w:rsidRPr="003F6F3D" w:rsidRDefault="00000E53" w:rsidP="00000E53">
      <w:pPr>
        <w:autoSpaceDE w:val="0"/>
        <w:autoSpaceDN w:val="0"/>
        <w:adjustRightInd w:val="0"/>
        <w:ind w:firstLine="709"/>
        <w:jc w:val="both"/>
        <w:rPr>
          <w:bCs/>
          <w:sz w:val="28"/>
          <w:szCs w:val="28"/>
        </w:rPr>
      </w:pPr>
      <w:r w:rsidRPr="003F6F3D">
        <w:rPr>
          <w:bCs/>
          <w:sz w:val="28"/>
          <w:szCs w:val="28"/>
        </w:rPr>
        <w:t>Доля межбюджетных трансфертов в общих расходах окружного бюджета составила в 2018 году – 21,4% (7 223 484,0 тыс. рублей), в 2019 году – 15,7% (8 499 857,1 тыс. рублей) и в 2020 году – 28% (13 391 620,5 тыс. рублей).</w:t>
      </w:r>
    </w:p>
    <w:p w:rsidR="00000E53" w:rsidRPr="003F6F3D" w:rsidRDefault="00000E53" w:rsidP="00000E53">
      <w:pPr>
        <w:autoSpaceDE w:val="0"/>
        <w:autoSpaceDN w:val="0"/>
        <w:adjustRightInd w:val="0"/>
        <w:ind w:firstLine="709"/>
        <w:jc w:val="both"/>
        <w:rPr>
          <w:bCs/>
          <w:sz w:val="28"/>
          <w:szCs w:val="28"/>
        </w:rPr>
      </w:pPr>
      <w:r w:rsidRPr="003F6F3D">
        <w:rPr>
          <w:bCs/>
          <w:sz w:val="28"/>
          <w:szCs w:val="28"/>
        </w:rPr>
        <w:t>3. В структуре предоставленных межбюджетных трансфертов основную долю занимают субвенции (48,8%, 45,1% и 31,6% соответственно) и дотации (34,5%, 38,3% и 44,4%).</w:t>
      </w:r>
    </w:p>
    <w:p w:rsidR="00000E53" w:rsidRPr="003F6F3D" w:rsidRDefault="00000E53" w:rsidP="00000E53">
      <w:pPr>
        <w:autoSpaceDE w:val="0"/>
        <w:autoSpaceDN w:val="0"/>
        <w:adjustRightInd w:val="0"/>
        <w:ind w:firstLine="709"/>
        <w:jc w:val="both"/>
        <w:rPr>
          <w:bCs/>
          <w:sz w:val="28"/>
          <w:szCs w:val="28"/>
        </w:rPr>
      </w:pPr>
      <w:r w:rsidRPr="003F6F3D">
        <w:rPr>
          <w:bCs/>
          <w:sz w:val="28"/>
          <w:szCs w:val="28"/>
        </w:rPr>
        <w:t>Дотации предоставлены всем местным бюджетам на общую сумму 11 696 848,6 тыс. рублей, в том числе: дотации на выравнивание уровня бюджетной обеспеченности – 8 090 063,9 тыс. рублей, дотации на поддержку мер по обеспечению сбалансированности бюджетов – 3 606 784,7 тыс. рублей.</w:t>
      </w:r>
    </w:p>
    <w:p w:rsidR="00000E53" w:rsidRPr="003F6F3D" w:rsidRDefault="00000E53" w:rsidP="00000E53">
      <w:pPr>
        <w:autoSpaceDE w:val="0"/>
        <w:autoSpaceDN w:val="0"/>
        <w:adjustRightInd w:val="0"/>
        <w:ind w:firstLine="709"/>
        <w:jc w:val="both"/>
        <w:rPr>
          <w:bCs/>
          <w:sz w:val="28"/>
          <w:szCs w:val="28"/>
        </w:rPr>
      </w:pPr>
      <w:r w:rsidRPr="003F6F3D">
        <w:rPr>
          <w:bCs/>
          <w:sz w:val="28"/>
          <w:szCs w:val="28"/>
        </w:rPr>
        <w:t>Субвенции предоставлены бюджетам муниципальных образований в целях финансового обеспечения расходных обязательств, возникающих при выполнении переданных полномочий, на общую сумму 11 579 376,8 тыс. рублей, из них 11 210 615,3 тыс. рублей или 96,8% составляет субвенция на реализацию прав на получение общедоступного и бесплатного образования в муниципальных образовательных организациях, входящих в Чукотский (</w:t>
      </w:r>
      <w:proofErr w:type="spellStart"/>
      <w:r w:rsidRPr="003F6F3D">
        <w:rPr>
          <w:bCs/>
          <w:sz w:val="28"/>
          <w:szCs w:val="28"/>
        </w:rPr>
        <w:t>надмунципальный</w:t>
      </w:r>
      <w:proofErr w:type="spellEnd"/>
      <w:r w:rsidRPr="003F6F3D">
        <w:rPr>
          <w:bCs/>
          <w:sz w:val="28"/>
          <w:szCs w:val="28"/>
        </w:rPr>
        <w:t>) образовательный округ. Средства субвенции направлены на финансовое обеспечение выполнения муниципальных заданий 67 муниципальных учреждений образования.</w:t>
      </w:r>
    </w:p>
    <w:p w:rsidR="00000E53" w:rsidRPr="003F6F3D" w:rsidRDefault="00000E53" w:rsidP="00000E53">
      <w:pPr>
        <w:autoSpaceDE w:val="0"/>
        <w:autoSpaceDN w:val="0"/>
        <w:adjustRightInd w:val="0"/>
        <w:ind w:firstLine="709"/>
        <w:jc w:val="both"/>
        <w:rPr>
          <w:bCs/>
          <w:sz w:val="28"/>
          <w:szCs w:val="28"/>
        </w:rPr>
      </w:pPr>
      <w:r w:rsidRPr="003F6F3D">
        <w:rPr>
          <w:bCs/>
          <w:sz w:val="28"/>
          <w:szCs w:val="28"/>
        </w:rPr>
        <w:t xml:space="preserve">Субсидии на </w:t>
      </w:r>
      <w:proofErr w:type="spellStart"/>
      <w:r w:rsidRPr="003F6F3D">
        <w:rPr>
          <w:bCs/>
          <w:sz w:val="28"/>
          <w:szCs w:val="28"/>
        </w:rPr>
        <w:t>софинансирование</w:t>
      </w:r>
      <w:proofErr w:type="spellEnd"/>
      <w:r w:rsidRPr="003F6F3D">
        <w:rPr>
          <w:bCs/>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предоставлены на общую сумму 5 339 019,0 тыс. рублей.</w:t>
      </w:r>
    </w:p>
    <w:p w:rsidR="00000E53" w:rsidRPr="003F6F3D" w:rsidRDefault="00000E53" w:rsidP="00000E53">
      <w:pPr>
        <w:autoSpaceDE w:val="0"/>
        <w:autoSpaceDN w:val="0"/>
        <w:adjustRightInd w:val="0"/>
        <w:ind w:firstLine="709"/>
        <w:jc w:val="both"/>
        <w:rPr>
          <w:bCs/>
          <w:sz w:val="28"/>
          <w:szCs w:val="28"/>
        </w:rPr>
      </w:pPr>
      <w:r w:rsidRPr="003F6F3D">
        <w:rPr>
          <w:bCs/>
          <w:sz w:val="28"/>
          <w:szCs w:val="28"/>
        </w:rPr>
        <w:t>В структуре предоставленных субсидий наибольшую долю занимает субсидия на реализацию мероприятия, связанных с обеспечением жителей округа социально значимыми продовольственными товарами – 35,7% или 1 907 309,1 тыс. рублей.</w:t>
      </w:r>
    </w:p>
    <w:p w:rsidR="00000E53" w:rsidRPr="003F6F3D" w:rsidRDefault="00000E53" w:rsidP="00000E53">
      <w:pPr>
        <w:autoSpaceDE w:val="0"/>
        <w:autoSpaceDN w:val="0"/>
        <w:adjustRightInd w:val="0"/>
        <w:ind w:firstLine="709"/>
        <w:jc w:val="both"/>
        <w:rPr>
          <w:bCs/>
          <w:sz w:val="28"/>
          <w:szCs w:val="28"/>
        </w:rPr>
      </w:pPr>
      <w:r w:rsidRPr="003F6F3D">
        <w:rPr>
          <w:bCs/>
          <w:sz w:val="28"/>
          <w:szCs w:val="28"/>
        </w:rPr>
        <w:t>4. В 2018-2020 годах в структуре доходов местных бюджетов безвозмездные поступления из окружного бюджета составляли от 49,8% до 96,2%.</w:t>
      </w:r>
    </w:p>
    <w:p w:rsidR="00000E53" w:rsidRPr="003F6F3D" w:rsidRDefault="00000E53" w:rsidP="00000E53">
      <w:pPr>
        <w:autoSpaceDE w:val="0"/>
        <w:autoSpaceDN w:val="0"/>
        <w:adjustRightInd w:val="0"/>
        <w:ind w:firstLine="709"/>
        <w:jc w:val="both"/>
        <w:rPr>
          <w:bCs/>
          <w:sz w:val="28"/>
          <w:szCs w:val="28"/>
        </w:rPr>
      </w:pPr>
      <w:r w:rsidRPr="003F6F3D">
        <w:rPr>
          <w:bCs/>
          <w:sz w:val="28"/>
          <w:szCs w:val="28"/>
        </w:rPr>
        <w:t xml:space="preserve">В 2018 году 5 муниципальных образований исполнили бюджеты с дефицитом (городской округ </w:t>
      </w:r>
      <w:proofErr w:type="spellStart"/>
      <w:r w:rsidRPr="003F6F3D">
        <w:rPr>
          <w:bCs/>
          <w:sz w:val="28"/>
          <w:szCs w:val="28"/>
        </w:rPr>
        <w:t>Певек</w:t>
      </w:r>
      <w:proofErr w:type="spellEnd"/>
      <w:r w:rsidRPr="003F6F3D">
        <w:rPr>
          <w:bCs/>
          <w:sz w:val="28"/>
          <w:szCs w:val="28"/>
        </w:rPr>
        <w:t xml:space="preserve"> – 11 856,2 тыс. рублей, Анадырский муниципальный район – 16 661,4 тыс. рублей, городской округ </w:t>
      </w:r>
      <w:proofErr w:type="spellStart"/>
      <w:r w:rsidRPr="003F6F3D">
        <w:rPr>
          <w:bCs/>
          <w:sz w:val="28"/>
          <w:szCs w:val="28"/>
        </w:rPr>
        <w:t>Эгвекинот</w:t>
      </w:r>
      <w:proofErr w:type="spellEnd"/>
      <w:r w:rsidRPr="003F6F3D">
        <w:rPr>
          <w:bCs/>
          <w:sz w:val="28"/>
          <w:szCs w:val="28"/>
        </w:rPr>
        <w:t xml:space="preserve"> – 19 820,3 тыс. рублей, </w:t>
      </w:r>
      <w:proofErr w:type="spellStart"/>
      <w:r w:rsidRPr="003F6F3D">
        <w:rPr>
          <w:bCs/>
          <w:sz w:val="28"/>
          <w:szCs w:val="28"/>
        </w:rPr>
        <w:t>Провиденский</w:t>
      </w:r>
      <w:proofErr w:type="spellEnd"/>
      <w:r w:rsidRPr="003F6F3D">
        <w:rPr>
          <w:bCs/>
          <w:sz w:val="28"/>
          <w:szCs w:val="28"/>
        </w:rPr>
        <w:t xml:space="preserve"> городской округ – 35 402,9 тыс. рублей).</w:t>
      </w:r>
    </w:p>
    <w:p w:rsidR="00000E53" w:rsidRPr="003F6F3D" w:rsidRDefault="00000E53" w:rsidP="00000E53">
      <w:pPr>
        <w:autoSpaceDE w:val="0"/>
        <w:autoSpaceDN w:val="0"/>
        <w:adjustRightInd w:val="0"/>
        <w:ind w:firstLine="709"/>
        <w:jc w:val="both"/>
        <w:rPr>
          <w:bCs/>
          <w:sz w:val="28"/>
          <w:szCs w:val="28"/>
        </w:rPr>
      </w:pPr>
      <w:r w:rsidRPr="003F6F3D">
        <w:rPr>
          <w:bCs/>
          <w:sz w:val="28"/>
          <w:szCs w:val="28"/>
        </w:rPr>
        <w:t xml:space="preserve">В 2019 году 2 муниципальных образования исполнили бюджеты с дефицитом (городской округ </w:t>
      </w:r>
      <w:proofErr w:type="spellStart"/>
      <w:r w:rsidRPr="003F6F3D">
        <w:rPr>
          <w:bCs/>
          <w:sz w:val="28"/>
          <w:szCs w:val="28"/>
        </w:rPr>
        <w:t>Певек</w:t>
      </w:r>
      <w:proofErr w:type="spellEnd"/>
      <w:r w:rsidRPr="003F6F3D">
        <w:rPr>
          <w:bCs/>
          <w:sz w:val="28"/>
          <w:szCs w:val="28"/>
        </w:rPr>
        <w:t xml:space="preserve"> – 57 977,9 тыс. рублей, Анадырский муниципальный район – 25 766,6 тыс. рублей).</w:t>
      </w:r>
    </w:p>
    <w:p w:rsidR="00000E53" w:rsidRPr="003F6F3D" w:rsidRDefault="00000E53" w:rsidP="00000E53">
      <w:pPr>
        <w:autoSpaceDE w:val="0"/>
        <w:autoSpaceDN w:val="0"/>
        <w:adjustRightInd w:val="0"/>
        <w:ind w:firstLine="709"/>
        <w:jc w:val="both"/>
        <w:rPr>
          <w:bCs/>
          <w:sz w:val="28"/>
          <w:szCs w:val="28"/>
        </w:rPr>
      </w:pPr>
      <w:r w:rsidRPr="003F6F3D">
        <w:rPr>
          <w:bCs/>
          <w:sz w:val="28"/>
          <w:szCs w:val="28"/>
        </w:rPr>
        <w:t>В 2020 году консолидированные бюджеты муниципальных образований исполнены с профицитами.</w:t>
      </w:r>
    </w:p>
    <w:p w:rsidR="00000E53" w:rsidRPr="003F6F3D" w:rsidRDefault="00000E53" w:rsidP="00000E53">
      <w:pPr>
        <w:autoSpaceDE w:val="0"/>
        <w:autoSpaceDN w:val="0"/>
        <w:adjustRightInd w:val="0"/>
        <w:ind w:firstLine="709"/>
        <w:jc w:val="both"/>
        <w:rPr>
          <w:bCs/>
          <w:sz w:val="28"/>
          <w:szCs w:val="28"/>
        </w:rPr>
      </w:pPr>
      <w:r w:rsidRPr="003F6F3D">
        <w:rPr>
          <w:bCs/>
          <w:sz w:val="28"/>
          <w:szCs w:val="28"/>
        </w:rPr>
        <w:t xml:space="preserve">5. Счетной палатой Чукотского автономного округа на 49 объектах проведено 10 контрольных мероприятий, из них совместно с муниципальными контрольно-счетными органами 6 мероприятий, по проверке использования межбюджетных трансфертов, направленных из окружного бюджета муниципальным образованиям в 2018-2020 годах. Объем проверенных бюджетных средств составил 3 920 711,4 тыс. рублей или 13,5% общего объема предоставленных межбюджетных трансфертов.  </w:t>
      </w:r>
    </w:p>
    <w:p w:rsidR="00000E53" w:rsidRPr="003F6F3D" w:rsidRDefault="00000E53" w:rsidP="00000E53">
      <w:pPr>
        <w:autoSpaceDE w:val="0"/>
        <w:autoSpaceDN w:val="0"/>
        <w:adjustRightInd w:val="0"/>
        <w:ind w:firstLine="709"/>
        <w:jc w:val="both"/>
        <w:rPr>
          <w:sz w:val="28"/>
          <w:szCs w:val="28"/>
        </w:rPr>
      </w:pPr>
      <w:r w:rsidRPr="003F6F3D">
        <w:rPr>
          <w:sz w:val="28"/>
          <w:szCs w:val="28"/>
        </w:rPr>
        <w:t xml:space="preserve">В ходе проверок </w:t>
      </w:r>
      <w:r w:rsidRPr="003F6F3D">
        <w:rPr>
          <w:bCs/>
          <w:sz w:val="28"/>
          <w:szCs w:val="28"/>
        </w:rPr>
        <w:t>использования межбюджетных трансфертов, предоставленных из окружного бюджета в 2018-2020 годах муниципальным образованиям установлено 878 </w:t>
      </w:r>
      <w:r w:rsidRPr="003F6F3D">
        <w:rPr>
          <w:sz w:val="28"/>
          <w:szCs w:val="28"/>
        </w:rPr>
        <w:t xml:space="preserve">процедурных нарушения, не имеющих финансовой оценки, и 317 нарушений, финансовая оценка которых составила 85 763,9 тыс. рублей. По результатам проверок должностными лицами Счетной палаты Чукотского автономного округа составлено 10 административных протоколов, </w:t>
      </w:r>
      <w:bookmarkStart w:id="100" w:name="_Hlk106703921"/>
      <w:r w:rsidRPr="003F6F3D">
        <w:rPr>
          <w:sz w:val="28"/>
          <w:szCs w:val="28"/>
        </w:rPr>
        <w:t>в адрес руководителей объектов проверок</w:t>
      </w:r>
      <w:r w:rsidRPr="003F6F3D">
        <w:rPr>
          <w:rStyle w:val="ab"/>
          <w:sz w:val="28"/>
          <w:szCs w:val="28"/>
        </w:rPr>
        <w:footnoteReference w:id="214"/>
      </w:r>
      <w:r w:rsidRPr="003F6F3D">
        <w:rPr>
          <w:sz w:val="28"/>
          <w:szCs w:val="28"/>
        </w:rPr>
        <w:t xml:space="preserve"> направлено 12 представлений, содержащие требования о принятии мер по устранению выявленных нарушений и недостатков, информация о рассмотрении и выполнении представлений представлена в установленные сроки, а также направлено 4 информационных письма</w:t>
      </w:r>
      <w:r w:rsidRPr="003F6F3D">
        <w:rPr>
          <w:rStyle w:val="ab"/>
          <w:sz w:val="28"/>
          <w:szCs w:val="28"/>
        </w:rPr>
        <w:footnoteReference w:id="215"/>
      </w:r>
      <w:r w:rsidRPr="003F6F3D">
        <w:rPr>
          <w:sz w:val="28"/>
          <w:szCs w:val="28"/>
        </w:rPr>
        <w:t xml:space="preserve"> с рекомендациями по усовершенствованию нормативных правовых актов Чукотского автономного округа. </w:t>
      </w:r>
    </w:p>
    <w:bookmarkEnd w:id="100"/>
    <w:p w:rsidR="00000E53" w:rsidRPr="003F6F3D" w:rsidRDefault="00000E53" w:rsidP="00000E53">
      <w:pPr>
        <w:ind w:firstLine="709"/>
        <w:jc w:val="both"/>
        <w:rPr>
          <w:rFonts w:eastAsiaTheme="minorHAnsi"/>
          <w:sz w:val="28"/>
          <w:szCs w:val="28"/>
        </w:rPr>
      </w:pPr>
    </w:p>
    <w:p w:rsidR="00000E53" w:rsidRPr="003F6F3D" w:rsidRDefault="00000E53" w:rsidP="00000E53">
      <w:pPr>
        <w:ind w:firstLine="709"/>
        <w:jc w:val="both"/>
        <w:rPr>
          <w:rFonts w:eastAsiaTheme="minorHAnsi"/>
          <w:sz w:val="28"/>
          <w:szCs w:val="28"/>
        </w:rPr>
      </w:pPr>
    </w:p>
    <w:p w:rsidR="00000E53" w:rsidRPr="003F6F3D" w:rsidRDefault="00000E53" w:rsidP="00000E53">
      <w:pPr>
        <w:ind w:firstLine="709"/>
        <w:jc w:val="both"/>
        <w:rPr>
          <w:rFonts w:eastAsiaTheme="minorHAnsi"/>
          <w:sz w:val="28"/>
          <w:szCs w:val="28"/>
        </w:rPr>
      </w:pPr>
    </w:p>
    <w:tbl>
      <w:tblPr>
        <w:tblW w:w="9923" w:type="dxa"/>
        <w:tblLook w:val="04A0" w:firstRow="1" w:lastRow="0" w:firstColumn="1" w:lastColumn="0" w:noHBand="0" w:noVBand="1"/>
      </w:tblPr>
      <w:tblGrid>
        <w:gridCol w:w="6272"/>
        <w:gridCol w:w="1667"/>
        <w:gridCol w:w="2223"/>
      </w:tblGrid>
      <w:tr w:rsidR="00000E53" w:rsidRPr="003F6F3D" w:rsidTr="00000E53">
        <w:trPr>
          <w:trHeight w:val="60"/>
        </w:trPr>
        <w:tc>
          <w:tcPr>
            <w:tcW w:w="6272" w:type="dxa"/>
            <w:shd w:val="clear" w:color="auto" w:fill="auto"/>
            <w:noWrap/>
            <w:vAlign w:val="center"/>
            <w:hideMark/>
          </w:tcPr>
          <w:p w:rsidR="00000E53" w:rsidRPr="003F6F3D" w:rsidRDefault="00000E53" w:rsidP="00000E53">
            <w:pPr>
              <w:spacing w:line="17" w:lineRule="atLeast"/>
              <w:jc w:val="both"/>
              <w:rPr>
                <w:sz w:val="28"/>
                <w:szCs w:val="28"/>
              </w:rPr>
            </w:pPr>
            <w:r w:rsidRPr="003F6F3D">
              <w:rPr>
                <w:sz w:val="28"/>
                <w:szCs w:val="28"/>
              </w:rPr>
              <w:t xml:space="preserve">Аудитор </w:t>
            </w:r>
          </w:p>
          <w:p w:rsidR="00000E53" w:rsidRPr="003F6F3D" w:rsidRDefault="00000E53" w:rsidP="00000E53">
            <w:pPr>
              <w:spacing w:line="17" w:lineRule="atLeast"/>
              <w:jc w:val="both"/>
              <w:rPr>
                <w:sz w:val="28"/>
                <w:szCs w:val="28"/>
              </w:rPr>
            </w:pPr>
            <w:r w:rsidRPr="003F6F3D">
              <w:rPr>
                <w:sz w:val="28"/>
                <w:szCs w:val="28"/>
              </w:rPr>
              <w:t xml:space="preserve">Счетной палаты </w:t>
            </w:r>
          </w:p>
          <w:p w:rsidR="00000E53" w:rsidRPr="003F6F3D" w:rsidRDefault="00000E53" w:rsidP="00000E53">
            <w:pPr>
              <w:spacing w:line="17" w:lineRule="atLeast"/>
              <w:jc w:val="both"/>
              <w:rPr>
                <w:sz w:val="28"/>
                <w:szCs w:val="28"/>
              </w:rPr>
            </w:pPr>
            <w:r w:rsidRPr="003F6F3D">
              <w:rPr>
                <w:sz w:val="28"/>
                <w:szCs w:val="28"/>
              </w:rPr>
              <w:t>Чукотского автономного округа</w:t>
            </w:r>
          </w:p>
        </w:tc>
        <w:tc>
          <w:tcPr>
            <w:tcW w:w="1667" w:type="dxa"/>
            <w:shd w:val="clear" w:color="auto" w:fill="auto"/>
            <w:noWrap/>
            <w:vAlign w:val="center"/>
            <w:hideMark/>
          </w:tcPr>
          <w:p w:rsidR="00000E53" w:rsidRPr="003F6F3D" w:rsidRDefault="00000E53" w:rsidP="00000E53">
            <w:pPr>
              <w:spacing w:line="17" w:lineRule="atLeast"/>
              <w:rPr>
                <w:sz w:val="28"/>
                <w:szCs w:val="28"/>
              </w:rPr>
            </w:pPr>
          </w:p>
        </w:tc>
        <w:tc>
          <w:tcPr>
            <w:tcW w:w="1984" w:type="dxa"/>
            <w:shd w:val="clear" w:color="auto" w:fill="auto"/>
            <w:noWrap/>
            <w:vAlign w:val="bottom"/>
            <w:hideMark/>
          </w:tcPr>
          <w:p w:rsidR="00000E53" w:rsidRPr="003F6F3D" w:rsidRDefault="00000E53" w:rsidP="00000E53">
            <w:pPr>
              <w:spacing w:line="17" w:lineRule="atLeast"/>
              <w:jc w:val="right"/>
              <w:rPr>
                <w:sz w:val="28"/>
                <w:szCs w:val="28"/>
              </w:rPr>
            </w:pPr>
            <w:r w:rsidRPr="003F6F3D">
              <w:rPr>
                <w:sz w:val="28"/>
                <w:szCs w:val="28"/>
              </w:rPr>
              <w:t>И.В. Бондаренко</w:t>
            </w:r>
          </w:p>
        </w:tc>
      </w:tr>
    </w:tbl>
    <w:p w:rsidR="00000E53" w:rsidRDefault="00000E53" w:rsidP="004F7088">
      <w:pPr>
        <w:spacing w:after="200"/>
        <w:rPr>
          <w:rFonts w:eastAsiaTheme="minorEastAsia"/>
          <w:sz w:val="28"/>
          <w:szCs w:val="28"/>
        </w:rPr>
      </w:pPr>
    </w:p>
    <w:sectPr w:rsidR="00000E53" w:rsidSect="00BD754D">
      <w:headerReference w:type="default" r:id="rId32"/>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E53" w:rsidRDefault="00000E53" w:rsidP="00B15F18">
      <w:r>
        <w:separator/>
      </w:r>
    </w:p>
  </w:endnote>
  <w:endnote w:type="continuationSeparator" w:id="0">
    <w:p w:rsidR="00000E53" w:rsidRDefault="00000E53" w:rsidP="00B1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jaVu Sans">
    <w:altName w:val="Times New Roman"/>
    <w:charset w:val="00"/>
    <w:family w:val="auto"/>
    <w:pitch w:val="variable"/>
  </w:font>
  <w:font w:name="font184">
    <w:altName w:val="Times New Roman"/>
    <w:charset w:val="00"/>
    <w:family w:val="auto"/>
    <w:pitch w:val="variable"/>
  </w:font>
  <w:font w:name="PT Sans">
    <w:altName w:val="Calibri"/>
    <w:panose1 w:val="00000000000000000000"/>
    <w:charset w:val="CC"/>
    <w:family w:val="swiss"/>
    <w:notTrueType/>
    <w:pitch w:val="default"/>
    <w:sig w:usb0="00000201" w:usb1="00000000" w:usb2="00000000" w:usb3="00000000" w:csb0="00000004" w:csb1="00000000"/>
  </w:font>
  <w:font w:name="TT Jenevers">
    <w:altName w:val="Times New Roman"/>
    <w:panose1 w:val="00000000000000000000"/>
    <w:charset w:val="00"/>
    <w:family w:val="roman"/>
    <w:notTrueType/>
    <w:pitch w:val="default"/>
    <w:sig w:usb0="00000003" w:usb1="00000000" w:usb2="00000000" w:usb3="00000000" w:csb0="00000001" w:csb1="00000000"/>
  </w:font>
  <w:font w:name="PT_Russia Text">
    <w:altName w:val="Calibri"/>
    <w:panose1 w:val="00000000000000000000"/>
    <w:charset w:val="CC"/>
    <w:family w:val="swiss"/>
    <w:notTrueType/>
    <w:pitch w:val="default"/>
    <w:sig w:usb0="00000201" w:usb1="00000000" w:usb2="00000000" w:usb3="00000000" w:csb0="00000004" w:csb1="00000000"/>
  </w:font>
  <w:font w:name="TimesNewRomanPSMT">
    <w:altName w:val="MS Gothic"/>
    <w:panose1 w:val="00000000000000000000"/>
    <w:charset w:val="80"/>
    <w:family w:val="auto"/>
    <w:notTrueType/>
    <w:pitch w:val="default"/>
    <w:sig w:usb0="00000000" w:usb1="08070000" w:usb2="00000010" w:usb3="00000000" w:csb0="00020005"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T922o00">
    <w:altName w:val="Yu Gothic"/>
    <w:panose1 w:val="00000000000000000000"/>
    <w:charset w:val="80"/>
    <w:family w:val="auto"/>
    <w:notTrueType/>
    <w:pitch w:val="default"/>
    <w:sig w:usb0="00000001" w:usb1="08070000" w:usb2="00000010" w:usb3="00000000" w:csb0="00020000"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E53" w:rsidRDefault="00000E53" w:rsidP="00B15F18">
      <w:r>
        <w:separator/>
      </w:r>
    </w:p>
  </w:footnote>
  <w:footnote w:type="continuationSeparator" w:id="0">
    <w:p w:rsidR="00000E53" w:rsidRDefault="00000E53" w:rsidP="00B15F18">
      <w:r>
        <w:continuationSeparator/>
      </w:r>
    </w:p>
  </w:footnote>
  <w:footnote w:id="1">
    <w:p w:rsidR="00000E53" w:rsidRPr="00584D6A" w:rsidRDefault="00000E53" w:rsidP="005E541F">
      <w:pPr>
        <w:pStyle w:val="a9"/>
        <w:rPr>
          <w:sz w:val="18"/>
          <w:szCs w:val="18"/>
        </w:rPr>
      </w:pPr>
      <w:r w:rsidRPr="00584D6A">
        <w:rPr>
          <w:rStyle w:val="ab"/>
          <w:sz w:val="18"/>
          <w:szCs w:val="18"/>
        </w:rPr>
        <w:footnoteRef/>
      </w:r>
      <w:r w:rsidRPr="00584D6A">
        <w:rPr>
          <w:sz w:val="18"/>
          <w:szCs w:val="18"/>
        </w:rPr>
        <w:t xml:space="preserve"> Счетная палата Чукотского автономного округа (далее – Счетная палата);</w:t>
      </w:r>
    </w:p>
  </w:footnote>
  <w:footnote w:id="2">
    <w:p w:rsidR="00000E53" w:rsidRPr="00584D6A" w:rsidRDefault="00000E53" w:rsidP="005E541F">
      <w:pPr>
        <w:pStyle w:val="a9"/>
        <w:rPr>
          <w:sz w:val="18"/>
          <w:szCs w:val="18"/>
        </w:rPr>
      </w:pPr>
      <w:r w:rsidRPr="00584D6A">
        <w:rPr>
          <w:rStyle w:val="ab"/>
          <w:sz w:val="18"/>
          <w:szCs w:val="18"/>
        </w:rPr>
        <w:footnoteRef/>
      </w:r>
      <w:r w:rsidRPr="00584D6A">
        <w:rPr>
          <w:sz w:val="18"/>
          <w:szCs w:val="18"/>
        </w:rPr>
        <w:t xml:space="preserve"> Бюджет Чукотского территориального фонда обязательного медицинского страхования (далее – бюджет Фонда)</w:t>
      </w:r>
      <w:r>
        <w:rPr>
          <w:sz w:val="18"/>
          <w:szCs w:val="18"/>
        </w:rPr>
        <w:t>;</w:t>
      </w:r>
    </w:p>
  </w:footnote>
  <w:footnote w:id="3">
    <w:p w:rsidR="00000E53" w:rsidRPr="00584D6A" w:rsidRDefault="00000E53" w:rsidP="005E541F">
      <w:pPr>
        <w:ind w:right="-2"/>
        <w:jc w:val="both"/>
        <w:rPr>
          <w:color w:val="FF0000"/>
          <w:sz w:val="18"/>
          <w:szCs w:val="18"/>
        </w:rPr>
      </w:pPr>
      <w:r>
        <w:rPr>
          <w:rStyle w:val="ab"/>
        </w:rPr>
        <w:footnoteRef/>
      </w:r>
      <w:r>
        <w:t xml:space="preserve"> </w:t>
      </w:r>
      <w:r w:rsidRPr="00584D6A">
        <w:rPr>
          <w:sz w:val="18"/>
          <w:szCs w:val="18"/>
        </w:rPr>
        <w:t>Чукотский территориальный фонд обязательного медицинского страхования (далее – Фонд).</w:t>
      </w:r>
    </w:p>
    <w:p w:rsidR="00000E53" w:rsidRDefault="00000E53" w:rsidP="005E541F">
      <w:pPr>
        <w:pStyle w:val="a9"/>
      </w:pPr>
    </w:p>
  </w:footnote>
  <w:footnote w:id="4">
    <w:p w:rsidR="00000E53" w:rsidRPr="00142BE2" w:rsidRDefault="00000E53" w:rsidP="005E541F">
      <w:pPr>
        <w:pStyle w:val="a9"/>
        <w:rPr>
          <w:sz w:val="18"/>
          <w:szCs w:val="18"/>
        </w:rPr>
      </w:pPr>
      <w:r w:rsidRPr="00142BE2">
        <w:rPr>
          <w:rStyle w:val="ab"/>
          <w:sz w:val="18"/>
          <w:szCs w:val="18"/>
        </w:rPr>
        <w:footnoteRef/>
      </w:r>
      <w:r w:rsidRPr="00142BE2">
        <w:rPr>
          <w:sz w:val="18"/>
          <w:szCs w:val="18"/>
        </w:rPr>
        <w:t xml:space="preserve"> Обязательное медицинское страхование (далее – ОМС);</w:t>
      </w:r>
    </w:p>
  </w:footnote>
  <w:footnote w:id="5">
    <w:p w:rsidR="00000E53" w:rsidRPr="00142BE2" w:rsidRDefault="00000E53" w:rsidP="005E541F">
      <w:pPr>
        <w:pStyle w:val="a9"/>
        <w:rPr>
          <w:sz w:val="18"/>
          <w:szCs w:val="18"/>
        </w:rPr>
      </w:pPr>
      <w:r w:rsidRPr="00142BE2">
        <w:rPr>
          <w:rStyle w:val="ab"/>
          <w:sz w:val="18"/>
          <w:szCs w:val="18"/>
        </w:rPr>
        <w:footnoteRef/>
      </w:r>
      <w:r w:rsidRPr="00142BE2">
        <w:rPr>
          <w:sz w:val="18"/>
          <w:szCs w:val="18"/>
        </w:rPr>
        <w:t xml:space="preserve"> Федеральн</w:t>
      </w:r>
      <w:r>
        <w:rPr>
          <w:sz w:val="18"/>
          <w:szCs w:val="18"/>
        </w:rPr>
        <w:t>ый</w:t>
      </w:r>
      <w:r w:rsidRPr="00142BE2">
        <w:rPr>
          <w:sz w:val="18"/>
          <w:szCs w:val="18"/>
        </w:rPr>
        <w:t xml:space="preserve"> фонд обязательного медицинского страхования (далее – ФФ</w:t>
      </w:r>
      <w:r>
        <w:rPr>
          <w:sz w:val="18"/>
          <w:szCs w:val="18"/>
        </w:rPr>
        <w:t xml:space="preserve"> </w:t>
      </w:r>
      <w:r w:rsidRPr="00142BE2">
        <w:rPr>
          <w:sz w:val="18"/>
          <w:szCs w:val="18"/>
        </w:rPr>
        <w:t>ОМС)</w:t>
      </w:r>
      <w:r>
        <w:rPr>
          <w:sz w:val="18"/>
          <w:szCs w:val="18"/>
        </w:rPr>
        <w:t>;</w:t>
      </w:r>
    </w:p>
  </w:footnote>
  <w:footnote w:id="6">
    <w:p w:rsidR="00000E53" w:rsidRPr="00142BE2" w:rsidRDefault="00000E53" w:rsidP="005E541F">
      <w:pPr>
        <w:pStyle w:val="ConsPlusNormal"/>
        <w:jc w:val="both"/>
        <w:rPr>
          <w:rFonts w:ascii="Times New Roman" w:hAnsi="Times New Roman" w:cs="Times New Roman"/>
          <w:sz w:val="18"/>
          <w:szCs w:val="18"/>
        </w:rPr>
      </w:pPr>
      <w:r w:rsidRPr="00142BE2">
        <w:rPr>
          <w:rStyle w:val="ab"/>
          <w:rFonts w:ascii="Times New Roman" w:hAnsi="Times New Roman"/>
          <w:sz w:val="18"/>
          <w:szCs w:val="18"/>
        </w:rPr>
        <w:footnoteRef/>
      </w:r>
      <w:r w:rsidRPr="00142BE2">
        <w:rPr>
          <w:rFonts w:ascii="Times New Roman" w:hAnsi="Times New Roman" w:cs="Times New Roman"/>
          <w:sz w:val="18"/>
          <w:szCs w:val="18"/>
        </w:rPr>
        <w:t xml:space="preserve"> Положени</w:t>
      </w:r>
      <w:r>
        <w:rPr>
          <w:rFonts w:ascii="Times New Roman" w:hAnsi="Times New Roman" w:cs="Times New Roman"/>
          <w:sz w:val="18"/>
          <w:szCs w:val="18"/>
        </w:rPr>
        <w:t>е</w:t>
      </w:r>
      <w:r w:rsidRPr="00142BE2">
        <w:rPr>
          <w:rFonts w:ascii="Times New Roman" w:hAnsi="Times New Roman" w:cs="Times New Roman"/>
          <w:sz w:val="18"/>
          <w:szCs w:val="18"/>
        </w:rPr>
        <w:t xml:space="preserve"> о Чукотском территориальном фонде обязательного медицинского страхования, утверждено Постановлением Правительства Чукотского автономного округа от 25 марта 2011 года №105; </w:t>
      </w:r>
    </w:p>
  </w:footnote>
  <w:footnote w:id="7">
    <w:p w:rsidR="00000E53" w:rsidRPr="00142BE2" w:rsidRDefault="00000E53" w:rsidP="005E541F">
      <w:pPr>
        <w:pStyle w:val="a9"/>
        <w:jc w:val="both"/>
        <w:rPr>
          <w:sz w:val="18"/>
          <w:szCs w:val="18"/>
        </w:rPr>
      </w:pPr>
      <w:r w:rsidRPr="00142BE2">
        <w:rPr>
          <w:rStyle w:val="ab"/>
          <w:sz w:val="18"/>
          <w:szCs w:val="18"/>
        </w:rPr>
        <w:footnoteRef/>
      </w:r>
      <w:r>
        <w:rPr>
          <w:color w:val="000000"/>
          <w:sz w:val="18"/>
          <w:szCs w:val="18"/>
        </w:rPr>
        <w:t> </w:t>
      </w:r>
      <w:r w:rsidRPr="00142BE2">
        <w:rPr>
          <w:color w:val="000000"/>
          <w:sz w:val="18"/>
          <w:szCs w:val="18"/>
        </w:rPr>
        <w:t>Федеральн</w:t>
      </w:r>
      <w:r>
        <w:rPr>
          <w:color w:val="000000"/>
          <w:sz w:val="18"/>
          <w:szCs w:val="18"/>
        </w:rPr>
        <w:t>ый</w:t>
      </w:r>
      <w:r w:rsidRPr="00142BE2">
        <w:rPr>
          <w:color w:val="000000"/>
          <w:sz w:val="18"/>
          <w:szCs w:val="18"/>
        </w:rPr>
        <w:t xml:space="preserve"> закон от 20 ноября 2010 года №326-ФЗ «Об обязательном медицинском страховании в Российской Федерации»</w:t>
      </w:r>
      <w:r>
        <w:rPr>
          <w:color w:val="000000"/>
          <w:sz w:val="18"/>
          <w:szCs w:val="18"/>
        </w:rPr>
        <w:t xml:space="preserve"> (далее – Федеральный закон №326-ФЗ);</w:t>
      </w:r>
    </w:p>
  </w:footnote>
  <w:footnote w:id="8">
    <w:p w:rsidR="00000E53" w:rsidRPr="00142BE2" w:rsidRDefault="00000E53" w:rsidP="005E541F">
      <w:pPr>
        <w:pStyle w:val="a9"/>
        <w:jc w:val="both"/>
        <w:rPr>
          <w:sz w:val="18"/>
          <w:szCs w:val="18"/>
        </w:rPr>
      </w:pPr>
      <w:r w:rsidRPr="00142BE2">
        <w:rPr>
          <w:rStyle w:val="ab"/>
          <w:sz w:val="18"/>
          <w:szCs w:val="18"/>
        </w:rPr>
        <w:footnoteRef/>
      </w:r>
      <w:r w:rsidRPr="00142BE2">
        <w:rPr>
          <w:sz w:val="18"/>
          <w:szCs w:val="18"/>
        </w:rPr>
        <w:t xml:space="preserve"> </w:t>
      </w:r>
      <w:r w:rsidRPr="00142BE2">
        <w:rPr>
          <w:color w:val="000000"/>
          <w:sz w:val="18"/>
          <w:szCs w:val="18"/>
        </w:rPr>
        <w:t>Территориальн</w:t>
      </w:r>
      <w:r>
        <w:rPr>
          <w:color w:val="000000"/>
          <w:sz w:val="18"/>
          <w:szCs w:val="18"/>
        </w:rPr>
        <w:t>ая</w:t>
      </w:r>
      <w:r w:rsidRPr="00142BE2">
        <w:rPr>
          <w:color w:val="000000"/>
          <w:sz w:val="18"/>
          <w:szCs w:val="18"/>
        </w:rPr>
        <w:t xml:space="preserve"> программ</w:t>
      </w:r>
      <w:r>
        <w:rPr>
          <w:color w:val="000000"/>
          <w:sz w:val="18"/>
          <w:szCs w:val="18"/>
        </w:rPr>
        <w:t>а</w:t>
      </w:r>
      <w:r w:rsidRPr="00142BE2">
        <w:rPr>
          <w:color w:val="000000"/>
          <w:sz w:val="18"/>
          <w:szCs w:val="18"/>
        </w:rPr>
        <w:t xml:space="preserve"> государственных гарантий бесплатного оказания гражданам медицинской помощи на 2020 год и на плановый период 2021 и 2022 годов в Чукотском автономном округе, утвержден</w:t>
      </w:r>
      <w:r>
        <w:rPr>
          <w:color w:val="000000"/>
          <w:sz w:val="18"/>
          <w:szCs w:val="18"/>
        </w:rPr>
        <w:t>а</w:t>
      </w:r>
      <w:r w:rsidRPr="00142BE2">
        <w:rPr>
          <w:color w:val="000000"/>
          <w:sz w:val="18"/>
          <w:szCs w:val="18"/>
        </w:rPr>
        <w:t xml:space="preserve"> Постановлением Правительства Чукотского автономного округа </w:t>
      </w:r>
      <w:r>
        <w:rPr>
          <w:color w:val="000000"/>
          <w:sz w:val="18"/>
          <w:szCs w:val="18"/>
        </w:rPr>
        <w:t>11 января</w:t>
      </w:r>
      <w:r w:rsidRPr="00142BE2">
        <w:rPr>
          <w:color w:val="000000"/>
          <w:sz w:val="18"/>
          <w:szCs w:val="18"/>
        </w:rPr>
        <w:t xml:space="preserve"> 20</w:t>
      </w:r>
      <w:r>
        <w:rPr>
          <w:color w:val="000000"/>
          <w:sz w:val="18"/>
          <w:szCs w:val="18"/>
        </w:rPr>
        <w:t>21</w:t>
      </w:r>
      <w:r w:rsidRPr="00142BE2">
        <w:rPr>
          <w:color w:val="000000"/>
          <w:sz w:val="18"/>
          <w:szCs w:val="18"/>
        </w:rPr>
        <w:t xml:space="preserve"> года №</w:t>
      </w:r>
      <w:r>
        <w:rPr>
          <w:color w:val="000000"/>
          <w:sz w:val="18"/>
          <w:szCs w:val="18"/>
        </w:rPr>
        <w:t xml:space="preserve">1 (далее – </w:t>
      </w:r>
      <w:proofErr w:type="spellStart"/>
      <w:r>
        <w:rPr>
          <w:color w:val="000000"/>
          <w:sz w:val="18"/>
          <w:szCs w:val="18"/>
        </w:rPr>
        <w:t>Терпрограмма</w:t>
      </w:r>
      <w:proofErr w:type="spellEnd"/>
      <w:r>
        <w:rPr>
          <w:color w:val="000000"/>
          <w:sz w:val="18"/>
          <w:szCs w:val="18"/>
        </w:rPr>
        <w:t>);</w:t>
      </w:r>
    </w:p>
  </w:footnote>
  <w:footnote w:id="9">
    <w:p w:rsidR="00000E53" w:rsidRPr="00F05544" w:rsidRDefault="00000E53" w:rsidP="005E541F">
      <w:pPr>
        <w:pStyle w:val="a9"/>
        <w:jc w:val="both"/>
        <w:rPr>
          <w:sz w:val="18"/>
          <w:szCs w:val="18"/>
        </w:rPr>
      </w:pPr>
      <w:r w:rsidRPr="00F05544">
        <w:rPr>
          <w:rStyle w:val="ab"/>
          <w:sz w:val="18"/>
          <w:szCs w:val="18"/>
        </w:rPr>
        <w:footnoteRef/>
      </w:r>
      <w:r w:rsidRPr="00F05544">
        <w:rPr>
          <w:sz w:val="18"/>
          <w:szCs w:val="18"/>
        </w:rPr>
        <w:t xml:space="preserve"> </w:t>
      </w:r>
      <w:r w:rsidRPr="00F05544">
        <w:rPr>
          <w:color w:val="000000"/>
          <w:sz w:val="18"/>
          <w:szCs w:val="18"/>
        </w:rPr>
        <w:t>Закон Чукотского автономного округа</w:t>
      </w:r>
      <w:r w:rsidRPr="00F05544">
        <w:rPr>
          <w:sz w:val="18"/>
          <w:szCs w:val="18"/>
        </w:rPr>
        <w:t xml:space="preserve"> от </w:t>
      </w:r>
      <w:r>
        <w:rPr>
          <w:sz w:val="18"/>
          <w:szCs w:val="18"/>
        </w:rPr>
        <w:t>16</w:t>
      </w:r>
      <w:r w:rsidRPr="00F05544">
        <w:rPr>
          <w:sz w:val="18"/>
          <w:szCs w:val="18"/>
        </w:rPr>
        <w:t xml:space="preserve"> декабря 20</w:t>
      </w:r>
      <w:r>
        <w:rPr>
          <w:sz w:val="18"/>
          <w:szCs w:val="18"/>
        </w:rPr>
        <w:t>20</w:t>
      </w:r>
      <w:r w:rsidRPr="00F05544">
        <w:rPr>
          <w:sz w:val="18"/>
          <w:szCs w:val="18"/>
        </w:rPr>
        <w:t xml:space="preserve"> года №</w:t>
      </w:r>
      <w:r>
        <w:rPr>
          <w:sz w:val="18"/>
          <w:szCs w:val="18"/>
        </w:rPr>
        <w:t>75</w:t>
      </w:r>
      <w:r w:rsidRPr="00F05544">
        <w:rPr>
          <w:sz w:val="18"/>
          <w:szCs w:val="18"/>
        </w:rPr>
        <w:t>-ОЗ «О бюджете Чукотского территориального фонда обязательного медицинского страхования на 202</w:t>
      </w:r>
      <w:r>
        <w:rPr>
          <w:sz w:val="18"/>
          <w:szCs w:val="18"/>
        </w:rPr>
        <w:t>1</w:t>
      </w:r>
      <w:r w:rsidRPr="00F05544">
        <w:rPr>
          <w:sz w:val="18"/>
          <w:szCs w:val="18"/>
        </w:rPr>
        <w:t xml:space="preserve"> год и на плановый период 202</w:t>
      </w:r>
      <w:r>
        <w:rPr>
          <w:sz w:val="18"/>
          <w:szCs w:val="18"/>
        </w:rPr>
        <w:t>2</w:t>
      </w:r>
      <w:r w:rsidRPr="00F05544">
        <w:rPr>
          <w:sz w:val="18"/>
          <w:szCs w:val="18"/>
        </w:rPr>
        <w:t xml:space="preserve"> и 202</w:t>
      </w:r>
      <w:r>
        <w:rPr>
          <w:sz w:val="18"/>
          <w:szCs w:val="18"/>
        </w:rPr>
        <w:t>3</w:t>
      </w:r>
      <w:r w:rsidRPr="00F05544">
        <w:rPr>
          <w:sz w:val="18"/>
          <w:szCs w:val="18"/>
        </w:rPr>
        <w:t xml:space="preserve"> годов» </w:t>
      </w:r>
      <w:r w:rsidRPr="00F05544">
        <w:rPr>
          <w:color w:val="000000"/>
          <w:sz w:val="18"/>
          <w:szCs w:val="18"/>
        </w:rPr>
        <w:t>(далее – Закон о бюджете Фонда)</w:t>
      </w:r>
      <w:r>
        <w:rPr>
          <w:color w:val="000000"/>
          <w:sz w:val="18"/>
          <w:szCs w:val="18"/>
        </w:rPr>
        <w:t>.</w:t>
      </w:r>
    </w:p>
  </w:footnote>
  <w:footnote w:id="10">
    <w:p w:rsidR="00000E53" w:rsidRPr="00420115" w:rsidRDefault="00000E53" w:rsidP="005E541F">
      <w:pPr>
        <w:pStyle w:val="a9"/>
        <w:rPr>
          <w:sz w:val="18"/>
          <w:szCs w:val="18"/>
        </w:rPr>
      </w:pPr>
      <w:r w:rsidRPr="00420115">
        <w:rPr>
          <w:rStyle w:val="ab"/>
          <w:sz w:val="18"/>
          <w:szCs w:val="18"/>
        </w:rPr>
        <w:footnoteRef/>
      </w:r>
      <w:r w:rsidRPr="00420115">
        <w:rPr>
          <w:sz w:val="18"/>
          <w:szCs w:val="18"/>
        </w:rPr>
        <w:t xml:space="preserve"> Чукотский филиал АО «Страховая компания «СОГАЗ-Мед» (далее – СМО)</w:t>
      </w:r>
      <w:r>
        <w:rPr>
          <w:sz w:val="18"/>
          <w:szCs w:val="18"/>
        </w:rPr>
        <w:t>.</w:t>
      </w:r>
    </w:p>
  </w:footnote>
  <w:footnote w:id="11">
    <w:p w:rsidR="00000E53" w:rsidRPr="0024209F" w:rsidRDefault="00000E53" w:rsidP="005E541F">
      <w:pPr>
        <w:pStyle w:val="a9"/>
        <w:jc w:val="both"/>
        <w:rPr>
          <w:sz w:val="18"/>
          <w:szCs w:val="18"/>
        </w:rPr>
      </w:pPr>
      <w:r w:rsidRPr="0024209F">
        <w:rPr>
          <w:rStyle w:val="ab"/>
          <w:sz w:val="18"/>
          <w:szCs w:val="18"/>
        </w:rPr>
        <w:footnoteRef/>
      </w:r>
      <w:r w:rsidRPr="0024209F">
        <w:rPr>
          <w:sz w:val="18"/>
          <w:szCs w:val="18"/>
        </w:rPr>
        <w:t xml:space="preserve"> Приказ Минфина России: от 1 декабря 2010 года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w:t>
      </w:r>
      <w:r>
        <w:rPr>
          <w:sz w:val="18"/>
          <w:szCs w:val="18"/>
        </w:rPr>
        <w:t>;</w:t>
      </w:r>
    </w:p>
  </w:footnote>
  <w:footnote w:id="12">
    <w:p w:rsidR="00000E53" w:rsidRPr="001B099B" w:rsidRDefault="00000E53" w:rsidP="005E541F">
      <w:pPr>
        <w:pStyle w:val="a9"/>
        <w:jc w:val="both"/>
        <w:rPr>
          <w:sz w:val="18"/>
          <w:szCs w:val="18"/>
        </w:rPr>
      </w:pPr>
      <w:r w:rsidRPr="001B099B">
        <w:rPr>
          <w:rStyle w:val="ab"/>
          <w:sz w:val="18"/>
          <w:szCs w:val="18"/>
        </w:rPr>
        <w:footnoteRef/>
      </w:r>
      <w:r w:rsidRPr="001B099B">
        <w:rPr>
          <w:sz w:val="18"/>
          <w:szCs w:val="18"/>
        </w:rPr>
        <w:t xml:space="preserve"> Приказ Минфина России от 28 декабря 2010 года №191н (далее – Инструкция №191н)</w:t>
      </w:r>
      <w:r>
        <w:rPr>
          <w:sz w:val="18"/>
          <w:szCs w:val="18"/>
        </w:rPr>
        <w:t>;</w:t>
      </w:r>
    </w:p>
  </w:footnote>
  <w:footnote w:id="13">
    <w:p w:rsidR="00000E53" w:rsidRPr="0024209F" w:rsidRDefault="00000E53" w:rsidP="005E541F">
      <w:pPr>
        <w:pStyle w:val="a9"/>
        <w:rPr>
          <w:sz w:val="18"/>
          <w:szCs w:val="18"/>
        </w:rPr>
      </w:pPr>
      <w:r w:rsidRPr="0024209F">
        <w:rPr>
          <w:rStyle w:val="ab"/>
          <w:sz w:val="18"/>
          <w:szCs w:val="18"/>
        </w:rPr>
        <w:footnoteRef/>
      </w:r>
      <w:r w:rsidRPr="0024209F">
        <w:rPr>
          <w:sz w:val="18"/>
          <w:szCs w:val="18"/>
        </w:rPr>
        <w:t xml:space="preserve"> Приказ Минфина России от 14 сентября 2020 года №198н</w:t>
      </w:r>
      <w:r>
        <w:rPr>
          <w:sz w:val="18"/>
          <w:szCs w:val="18"/>
        </w:rPr>
        <w:t>.</w:t>
      </w:r>
    </w:p>
  </w:footnote>
  <w:footnote w:id="14">
    <w:p w:rsidR="00000E53" w:rsidRPr="0024209F" w:rsidRDefault="00000E53" w:rsidP="005E541F">
      <w:pPr>
        <w:autoSpaceDE w:val="0"/>
        <w:autoSpaceDN w:val="0"/>
        <w:adjustRightInd w:val="0"/>
        <w:jc w:val="both"/>
        <w:rPr>
          <w:sz w:val="18"/>
          <w:szCs w:val="18"/>
        </w:rPr>
      </w:pPr>
      <w:r w:rsidRPr="0024209F">
        <w:rPr>
          <w:rStyle w:val="ab"/>
          <w:sz w:val="18"/>
          <w:szCs w:val="18"/>
        </w:rPr>
        <w:footnoteRef/>
      </w:r>
      <w:r w:rsidRPr="0024209F">
        <w:rPr>
          <w:sz w:val="18"/>
          <w:szCs w:val="18"/>
        </w:rPr>
        <w:t xml:space="preserve"> Федеральный закон от 5 апреля 2013 года №44-ФЗ «О контрактной системе в сфере закупок товаров, работ, услуг для обеспечения государственных и муниципальных   нужд»</w:t>
      </w:r>
      <w:r>
        <w:rPr>
          <w:sz w:val="18"/>
          <w:szCs w:val="18"/>
        </w:rPr>
        <w:t>;</w:t>
      </w:r>
      <w:r w:rsidRPr="0024209F">
        <w:rPr>
          <w:sz w:val="18"/>
          <w:szCs w:val="18"/>
        </w:rPr>
        <w:t xml:space="preserve">   </w:t>
      </w:r>
    </w:p>
  </w:footnote>
  <w:footnote w:id="15">
    <w:p w:rsidR="00000E53" w:rsidRPr="00CC353E" w:rsidRDefault="00000E53" w:rsidP="005E541F">
      <w:pPr>
        <w:pStyle w:val="a9"/>
        <w:rPr>
          <w:sz w:val="18"/>
          <w:szCs w:val="18"/>
        </w:rPr>
      </w:pPr>
      <w:r w:rsidRPr="00CC353E">
        <w:rPr>
          <w:rStyle w:val="ab"/>
          <w:sz w:val="18"/>
          <w:szCs w:val="18"/>
        </w:rPr>
        <w:footnoteRef/>
      </w:r>
      <w:r w:rsidRPr="00CC353E">
        <w:rPr>
          <w:sz w:val="18"/>
          <w:szCs w:val="18"/>
        </w:rPr>
        <w:t xml:space="preserve"> Нормированный страховой запас (далее – НСЗ)</w:t>
      </w:r>
      <w:r>
        <w:rPr>
          <w:sz w:val="18"/>
          <w:szCs w:val="18"/>
        </w:rPr>
        <w:t>.</w:t>
      </w:r>
      <w:r w:rsidRPr="00CC353E">
        <w:rPr>
          <w:sz w:val="18"/>
          <w:szCs w:val="18"/>
        </w:rPr>
        <w:t> </w:t>
      </w:r>
    </w:p>
  </w:footnote>
  <w:footnote w:id="16">
    <w:p w:rsidR="00000E53" w:rsidRPr="00E81D91" w:rsidRDefault="00000E53" w:rsidP="005E541F">
      <w:pPr>
        <w:pStyle w:val="a9"/>
        <w:rPr>
          <w:sz w:val="18"/>
          <w:szCs w:val="18"/>
        </w:rPr>
      </w:pPr>
      <w:r w:rsidRPr="00E81D91">
        <w:rPr>
          <w:rStyle w:val="ab"/>
          <w:sz w:val="18"/>
          <w:szCs w:val="18"/>
        </w:rPr>
        <w:footnoteRef/>
      </w:r>
      <w:r w:rsidRPr="00E81D91">
        <w:rPr>
          <w:sz w:val="18"/>
          <w:szCs w:val="18"/>
        </w:rPr>
        <w:t xml:space="preserve"> Сводная бюджетная роспись (далее – СБР).</w:t>
      </w:r>
    </w:p>
    <w:p w:rsidR="00000E53" w:rsidRDefault="00000E53" w:rsidP="005E541F">
      <w:pPr>
        <w:pStyle w:val="a9"/>
      </w:pPr>
    </w:p>
  </w:footnote>
  <w:footnote w:id="17">
    <w:p w:rsidR="00000E53" w:rsidRPr="00073858" w:rsidRDefault="00000E53" w:rsidP="005E541F">
      <w:pPr>
        <w:pStyle w:val="a9"/>
        <w:rPr>
          <w:sz w:val="18"/>
          <w:szCs w:val="18"/>
        </w:rPr>
      </w:pPr>
      <w:r w:rsidRPr="00073858">
        <w:rPr>
          <w:rStyle w:val="ab"/>
          <w:sz w:val="18"/>
          <w:szCs w:val="18"/>
        </w:rPr>
        <w:footnoteRef/>
      </w:r>
      <w:r w:rsidRPr="00073858">
        <w:rPr>
          <w:sz w:val="18"/>
          <w:szCs w:val="18"/>
        </w:rPr>
        <w:t xml:space="preserve"> Новая </w:t>
      </w:r>
      <w:proofErr w:type="spellStart"/>
      <w:r w:rsidRPr="00073858">
        <w:rPr>
          <w:sz w:val="18"/>
          <w:szCs w:val="18"/>
        </w:rPr>
        <w:t>коронавирусная</w:t>
      </w:r>
      <w:proofErr w:type="spellEnd"/>
      <w:r w:rsidRPr="00073858">
        <w:rPr>
          <w:sz w:val="18"/>
          <w:szCs w:val="18"/>
        </w:rPr>
        <w:t xml:space="preserve"> инфекция (COVID-19) (далее – COVID-19)</w:t>
      </w:r>
      <w:r>
        <w:rPr>
          <w:sz w:val="18"/>
          <w:szCs w:val="18"/>
        </w:rPr>
        <w:t>.</w:t>
      </w:r>
    </w:p>
    <w:p w:rsidR="00000E53" w:rsidRPr="00073858" w:rsidRDefault="00000E53" w:rsidP="005E541F">
      <w:pPr>
        <w:pStyle w:val="a9"/>
        <w:rPr>
          <w:sz w:val="18"/>
          <w:szCs w:val="18"/>
        </w:rPr>
      </w:pPr>
    </w:p>
  </w:footnote>
  <w:footnote w:id="18">
    <w:p w:rsidR="00000E53" w:rsidRPr="008B2126" w:rsidRDefault="00000E53" w:rsidP="005E541F">
      <w:pPr>
        <w:pStyle w:val="a9"/>
        <w:rPr>
          <w:sz w:val="18"/>
          <w:szCs w:val="18"/>
        </w:rPr>
      </w:pPr>
      <w:r>
        <w:rPr>
          <w:rStyle w:val="ab"/>
        </w:rPr>
        <w:footnoteRef/>
      </w:r>
      <w:r>
        <w:t xml:space="preserve"> </w:t>
      </w:r>
      <w:r w:rsidRPr="008B2126">
        <w:rPr>
          <w:bCs/>
          <w:sz w:val="18"/>
          <w:szCs w:val="18"/>
        </w:rPr>
        <w:t>Счетная палата Чукотского автономного округа (далее – Счетная палата);</w:t>
      </w:r>
    </w:p>
  </w:footnote>
  <w:footnote w:id="19">
    <w:p w:rsidR="00000E53" w:rsidRDefault="00000E53" w:rsidP="005E541F">
      <w:pPr>
        <w:pStyle w:val="a9"/>
      </w:pPr>
      <w:r>
        <w:rPr>
          <w:rStyle w:val="ab"/>
        </w:rPr>
        <w:footnoteRef/>
      </w:r>
      <w:r>
        <w:t xml:space="preserve"> </w:t>
      </w:r>
      <w:r w:rsidRPr="00045871">
        <w:rPr>
          <w:rStyle w:val="FontStyle70"/>
        </w:rPr>
        <w:t>Чукотск</w:t>
      </w:r>
      <w:r>
        <w:rPr>
          <w:rStyle w:val="FontStyle70"/>
        </w:rPr>
        <w:t>ий</w:t>
      </w:r>
      <w:r w:rsidRPr="00045871">
        <w:rPr>
          <w:rStyle w:val="FontStyle70"/>
        </w:rPr>
        <w:t xml:space="preserve"> территориальн</w:t>
      </w:r>
      <w:r>
        <w:rPr>
          <w:rStyle w:val="FontStyle70"/>
        </w:rPr>
        <w:t>ый</w:t>
      </w:r>
      <w:r w:rsidRPr="00045871">
        <w:rPr>
          <w:rStyle w:val="FontStyle70"/>
        </w:rPr>
        <w:t xml:space="preserve"> фонд обязательного медицинского страхования (далее – Фонд)</w:t>
      </w:r>
    </w:p>
  </w:footnote>
  <w:footnote w:id="20">
    <w:p w:rsidR="00000E53" w:rsidRDefault="00000E53" w:rsidP="005E541F">
      <w:pPr>
        <w:pStyle w:val="a9"/>
      </w:pPr>
      <w:r>
        <w:rPr>
          <w:rStyle w:val="ab"/>
        </w:rPr>
        <w:footnoteRef/>
      </w:r>
      <w:r>
        <w:t xml:space="preserve"> </w:t>
      </w:r>
      <w:r w:rsidRPr="007905EF">
        <w:rPr>
          <w:bCs/>
          <w:color w:val="000000"/>
          <w:sz w:val="18"/>
          <w:szCs w:val="18"/>
        </w:rPr>
        <w:t xml:space="preserve">Заключение по результатам проверки </w:t>
      </w:r>
      <w:r w:rsidRPr="007905EF">
        <w:rPr>
          <w:color w:val="000000"/>
          <w:sz w:val="18"/>
          <w:szCs w:val="18"/>
        </w:rPr>
        <w:t xml:space="preserve">отчета </w:t>
      </w:r>
      <w:proofErr w:type="gramStart"/>
      <w:r w:rsidRPr="007905EF">
        <w:rPr>
          <w:color w:val="000000"/>
          <w:sz w:val="18"/>
          <w:szCs w:val="18"/>
        </w:rPr>
        <w:t>об  исполнении</w:t>
      </w:r>
      <w:proofErr w:type="gramEnd"/>
      <w:r w:rsidRPr="007905EF">
        <w:rPr>
          <w:color w:val="000000"/>
          <w:sz w:val="18"/>
          <w:szCs w:val="18"/>
        </w:rPr>
        <w:t xml:space="preserve"> бюджета </w:t>
      </w:r>
      <w:r w:rsidRPr="007905EF">
        <w:rPr>
          <w:iCs/>
          <w:color w:val="000000"/>
          <w:sz w:val="18"/>
          <w:szCs w:val="18"/>
        </w:rPr>
        <w:t>Чукотского территориального фонда обязательного медицинского страхования</w:t>
      </w:r>
      <w:r>
        <w:rPr>
          <w:iCs/>
          <w:color w:val="000000"/>
          <w:sz w:val="18"/>
          <w:szCs w:val="18"/>
        </w:rPr>
        <w:t xml:space="preserve"> (далее – заключение);</w:t>
      </w:r>
      <w:r w:rsidRPr="00E522A8">
        <w:rPr>
          <w:iCs/>
          <w:color w:val="000000"/>
          <w:sz w:val="28"/>
          <w:szCs w:val="28"/>
        </w:rPr>
        <w:t xml:space="preserve"> </w:t>
      </w:r>
      <w:r w:rsidRPr="00A47136">
        <w:rPr>
          <w:iCs/>
          <w:color w:val="000000"/>
          <w:sz w:val="28"/>
          <w:szCs w:val="28"/>
        </w:rPr>
        <w:t xml:space="preserve"> </w:t>
      </w:r>
    </w:p>
  </w:footnote>
  <w:footnote w:id="21">
    <w:p w:rsidR="00000E53" w:rsidRPr="008E79CF" w:rsidRDefault="00000E53" w:rsidP="005E541F">
      <w:pPr>
        <w:pStyle w:val="a9"/>
        <w:jc w:val="both"/>
      </w:pPr>
      <w:r w:rsidRPr="008E79CF">
        <w:rPr>
          <w:rStyle w:val="ab"/>
        </w:rPr>
        <w:footnoteRef/>
      </w:r>
      <w:r w:rsidRPr="008E79CF">
        <w:t xml:space="preserve"> </w:t>
      </w:r>
      <w:r w:rsidRPr="008E79CF">
        <w:rPr>
          <w:color w:val="000000"/>
        </w:rPr>
        <w:t>Федеральн</w:t>
      </w:r>
      <w:r>
        <w:rPr>
          <w:color w:val="000000"/>
        </w:rPr>
        <w:t>ый</w:t>
      </w:r>
      <w:r w:rsidRPr="008E79CF">
        <w:rPr>
          <w:color w:val="000000"/>
        </w:rPr>
        <w:t xml:space="preserve"> закон</w:t>
      </w:r>
      <w:r>
        <w:rPr>
          <w:color w:val="000000"/>
        </w:rPr>
        <w:t xml:space="preserve"> от 14 февраля 2011 года</w:t>
      </w:r>
      <w:r w:rsidRPr="008E79CF">
        <w:rPr>
          <w:color w:val="000000"/>
        </w:rPr>
        <w:t xml:space="preserve"> №6-ФЗ «Об общих принципах организации и деятельности контрольно-счетных органов субъектов Российской Федерации и муниципальных образований»</w:t>
      </w:r>
      <w:r>
        <w:rPr>
          <w:color w:val="000000"/>
        </w:rPr>
        <w:t xml:space="preserve"> (далее – Федеральный закон №6-ФЗ);</w:t>
      </w:r>
    </w:p>
  </w:footnote>
  <w:footnote w:id="22">
    <w:p w:rsidR="00000E53" w:rsidRPr="0020249A" w:rsidRDefault="00000E53" w:rsidP="005E541F">
      <w:pPr>
        <w:pStyle w:val="a9"/>
        <w:jc w:val="both"/>
      </w:pPr>
      <w:r w:rsidRPr="0020249A">
        <w:rPr>
          <w:rStyle w:val="ab"/>
        </w:rPr>
        <w:footnoteRef/>
      </w:r>
      <w:r w:rsidRPr="0020249A">
        <w:t xml:space="preserve"> </w:t>
      </w:r>
      <w:r w:rsidRPr="0020249A">
        <w:rPr>
          <w:color w:val="000000"/>
        </w:rPr>
        <w:t>Закон Чукотского автономного округа от 30 июня 1998 года №36-ОЗ «</w:t>
      </w:r>
      <w:proofErr w:type="gramStart"/>
      <w:r w:rsidRPr="0020249A">
        <w:rPr>
          <w:color w:val="000000"/>
        </w:rPr>
        <w:t>О  Счетной</w:t>
      </w:r>
      <w:proofErr w:type="gramEnd"/>
      <w:r w:rsidRPr="0020249A">
        <w:rPr>
          <w:color w:val="000000"/>
        </w:rPr>
        <w:t xml:space="preserve"> палате Чукотского автономного округа»</w:t>
      </w:r>
      <w:r>
        <w:rPr>
          <w:color w:val="000000"/>
        </w:rPr>
        <w:t xml:space="preserve"> (далее – Закон о Счетной палате); </w:t>
      </w:r>
    </w:p>
  </w:footnote>
  <w:footnote w:id="23">
    <w:p w:rsidR="00000E53" w:rsidRPr="00005ECD" w:rsidRDefault="00000E53" w:rsidP="005E541F">
      <w:pPr>
        <w:pStyle w:val="a9"/>
        <w:jc w:val="both"/>
      </w:pPr>
      <w:r w:rsidRPr="00005ECD">
        <w:rPr>
          <w:rStyle w:val="ab"/>
        </w:rPr>
        <w:footnoteRef/>
      </w:r>
      <w:r w:rsidRPr="00005ECD">
        <w:t xml:space="preserve">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w:t>
      </w:r>
      <w:r>
        <w:t>ая</w:t>
      </w:r>
      <w:r w:rsidRPr="00005ECD">
        <w:t xml:space="preserve"> Приказом Минфина России от 28 декабря 2010 года №191н (далее –</w:t>
      </w:r>
      <w:r>
        <w:t xml:space="preserve"> Инструкция №191н</w:t>
      </w:r>
      <w:r w:rsidRPr="00005ECD">
        <w:t>)</w:t>
      </w:r>
    </w:p>
  </w:footnote>
  <w:footnote w:id="24">
    <w:p w:rsidR="00000E53" w:rsidRDefault="00000E53" w:rsidP="005E541F">
      <w:pPr>
        <w:pStyle w:val="a9"/>
        <w:jc w:val="both"/>
      </w:pPr>
      <w:r>
        <w:rPr>
          <w:rStyle w:val="ab"/>
        </w:rPr>
        <w:footnoteRef/>
      </w:r>
      <w:r w:rsidRPr="00217DC8">
        <w:rPr>
          <w:color w:val="000000"/>
        </w:rPr>
        <w:t xml:space="preserve">Территориальная программа государственных гарантий бесплатного оказания гражданам медицинской помощи на 2021 год и на плановый период 2022 и 2023 годов в Чукотском автономном округе, утвержденная </w:t>
      </w:r>
      <w:proofErr w:type="gramStart"/>
      <w:r w:rsidRPr="00217DC8">
        <w:rPr>
          <w:color w:val="000000"/>
        </w:rPr>
        <w:t>Постановлением  Правительства</w:t>
      </w:r>
      <w:proofErr w:type="gramEnd"/>
      <w:r w:rsidRPr="00217DC8">
        <w:rPr>
          <w:color w:val="000000"/>
        </w:rPr>
        <w:t xml:space="preserve"> Чукотского автономного округа от 11 января 2021 года №1</w:t>
      </w:r>
      <w:r w:rsidRPr="00217DC8">
        <w:t xml:space="preserve"> (далее – Т</w:t>
      </w:r>
      <w:r>
        <w:t>ПГГ, Постановление №1</w:t>
      </w:r>
      <w:r w:rsidRPr="00217DC8">
        <w:t>);</w:t>
      </w:r>
    </w:p>
  </w:footnote>
  <w:footnote w:id="25">
    <w:p w:rsidR="00000E53" w:rsidRPr="00401B36" w:rsidRDefault="00000E53" w:rsidP="005E541F">
      <w:pPr>
        <w:pStyle w:val="a9"/>
        <w:jc w:val="both"/>
      </w:pPr>
      <w:r>
        <w:rPr>
          <w:rStyle w:val="ab"/>
        </w:rPr>
        <w:footnoteRef/>
      </w:r>
      <w:r>
        <w:t xml:space="preserve"> утверждено</w:t>
      </w:r>
      <w:r w:rsidRPr="00401B36">
        <w:rPr>
          <w:iCs/>
          <w:color w:val="000000"/>
          <w:sz w:val="28"/>
          <w:szCs w:val="28"/>
        </w:rPr>
        <w:t xml:space="preserve"> </w:t>
      </w:r>
      <w:r w:rsidRPr="00401B36">
        <w:rPr>
          <w:iCs/>
          <w:color w:val="000000"/>
        </w:rPr>
        <w:t>Постановлением Правительства Чукотского автономного округа от 25 марта 2011 года №105</w:t>
      </w:r>
      <w:r>
        <w:rPr>
          <w:iCs/>
          <w:color w:val="000000"/>
        </w:rPr>
        <w:t>;</w:t>
      </w:r>
    </w:p>
  </w:footnote>
  <w:footnote w:id="26">
    <w:p w:rsidR="00000E53" w:rsidRPr="00401B36" w:rsidRDefault="00000E53" w:rsidP="005E541F">
      <w:pPr>
        <w:pStyle w:val="a9"/>
        <w:jc w:val="both"/>
      </w:pPr>
      <w:r>
        <w:rPr>
          <w:rStyle w:val="ab"/>
        </w:rPr>
        <w:footnoteRef/>
      </w:r>
      <w:r>
        <w:t xml:space="preserve"> </w:t>
      </w:r>
      <w:r w:rsidRPr="00401B36">
        <w:rPr>
          <w:color w:val="000000"/>
        </w:rPr>
        <w:t>Федеральн</w:t>
      </w:r>
      <w:r>
        <w:rPr>
          <w:color w:val="000000"/>
        </w:rPr>
        <w:t>ый</w:t>
      </w:r>
      <w:r w:rsidRPr="00401B36">
        <w:rPr>
          <w:color w:val="000000"/>
        </w:rPr>
        <w:t xml:space="preserve"> закон от 20 ноября 2010 года №326-ФЗ «Об обязательном медицинском страховании в Российской Федерации»</w:t>
      </w:r>
      <w:r>
        <w:rPr>
          <w:color w:val="000000"/>
        </w:rPr>
        <w:t xml:space="preserve"> (далее – Федеральный закон №326-ФЗ);</w:t>
      </w:r>
    </w:p>
  </w:footnote>
  <w:footnote w:id="27">
    <w:p w:rsidR="00000E53" w:rsidRPr="001E6088" w:rsidRDefault="00000E53" w:rsidP="005E541F">
      <w:pPr>
        <w:pStyle w:val="a9"/>
        <w:jc w:val="both"/>
      </w:pPr>
      <w:r w:rsidRPr="001E6088">
        <w:rPr>
          <w:rStyle w:val="ab"/>
        </w:rPr>
        <w:footnoteRef/>
      </w:r>
      <w:r>
        <w:t> </w:t>
      </w:r>
      <w:r w:rsidRPr="001E6088">
        <w:rPr>
          <w:color w:val="000000"/>
        </w:rPr>
        <w:t>Закон Чукотского автономного округа</w:t>
      </w:r>
      <w:r w:rsidRPr="001E6088">
        <w:t xml:space="preserve"> от 16 декабря 2020 года №75-ОЗ «О бюджете Чукотского территориального фонда обязательного медицинского страхования на 2021 год и на плановый период 2022 и 2023 годов» </w:t>
      </w:r>
      <w:r w:rsidRPr="001E6088">
        <w:rPr>
          <w:color w:val="000000"/>
        </w:rPr>
        <w:t>(далее – Закон о бюджете Фонда);</w:t>
      </w:r>
    </w:p>
  </w:footnote>
  <w:footnote w:id="28">
    <w:p w:rsidR="00000E53" w:rsidRDefault="00000E53" w:rsidP="005E541F">
      <w:pPr>
        <w:pStyle w:val="a9"/>
        <w:jc w:val="both"/>
      </w:pPr>
      <w:r>
        <w:rPr>
          <w:rStyle w:val="ab"/>
        </w:rPr>
        <w:footnoteRef/>
      </w:r>
      <w:r>
        <w:t xml:space="preserve"> утверждена Постановлением Правительства Чукотского автономного округа от 30 марта 2016 года</w:t>
      </w:r>
      <w:r w:rsidRPr="00613703">
        <w:t>. № 151</w:t>
      </w:r>
      <w:r>
        <w:t xml:space="preserve"> (далее – Государственная программа «Развитие здравоохранения Чукотского автономного округа);</w:t>
      </w:r>
    </w:p>
  </w:footnote>
  <w:footnote w:id="29">
    <w:p w:rsidR="00000E53" w:rsidRPr="00B7412E" w:rsidRDefault="00000E53" w:rsidP="005E541F">
      <w:pPr>
        <w:pStyle w:val="a9"/>
        <w:rPr>
          <w:sz w:val="18"/>
          <w:szCs w:val="18"/>
        </w:rPr>
      </w:pPr>
      <w:r w:rsidRPr="00B7412E">
        <w:rPr>
          <w:rStyle w:val="ab"/>
          <w:sz w:val="18"/>
          <w:szCs w:val="18"/>
        </w:rPr>
        <w:footnoteRef/>
      </w:r>
      <w:r w:rsidRPr="00B7412E">
        <w:rPr>
          <w:sz w:val="18"/>
          <w:szCs w:val="18"/>
        </w:rPr>
        <w:t xml:space="preserve"> Чукотский филиал АО «Страховая компания «СОГАЗ-Мед» (далее – СМО)</w:t>
      </w:r>
      <w:r>
        <w:rPr>
          <w:sz w:val="18"/>
          <w:szCs w:val="18"/>
        </w:rPr>
        <w:t>.</w:t>
      </w:r>
    </w:p>
  </w:footnote>
  <w:footnote w:id="30">
    <w:p w:rsidR="00000E53" w:rsidRDefault="00000E53" w:rsidP="005E541F">
      <w:pPr>
        <w:pStyle w:val="a9"/>
      </w:pPr>
      <w:r>
        <w:rPr>
          <w:rStyle w:val="ab"/>
        </w:rPr>
        <w:footnoteRef/>
      </w:r>
      <w:r>
        <w:t xml:space="preserve"> </w:t>
      </w:r>
      <w:proofErr w:type="spellStart"/>
      <w:r>
        <w:t>Нормированныйстраховой</w:t>
      </w:r>
      <w:proofErr w:type="spellEnd"/>
      <w:r>
        <w:t xml:space="preserve"> запас (далее – НСЗ).</w:t>
      </w:r>
    </w:p>
    <w:p w:rsidR="00000E53" w:rsidRDefault="00000E53" w:rsidP="005E541F">
      <w:pPr>
        <w:pStyle w:val="a9"/>
      </w:pPr>
    </w:p>
  </w:footnote>
  <w:footnote w:id="31">
    <w:p w:rsidR="00000E53" w:rsidRPr="00807793" w:rsidRDefault="00000E53" w:rsidP="005E541F">
      <w:pPr>
        <w:pStyle w:val="a9"/>
        <w:rPr>
          <w:color w:val="000000"/>
          <w:sz w:val="18"/>
          <w:szCs w:val="18"/>
        </w:rPr>
      </w:pPr>
      <w:r w:rsidRPr="00807793">
        <w:rPr>
          <w:rStyle w:val="ab"/>
          <w:sz w:val="18"/>
          <w:szCs w:val="18"/>
        </w:rPr>
        <w:footnoteRef/>
      </w:r>
      <w:r w:rsidRPr="00807793">
        <w:rPr>
          <w:sz w:val="18"/>
          <w:szCs w:val="18"/>
        </w:rPr>
        <w:t xml:space="preserve"> Н</w:t>
      </w:r>
      <w:r w:rsidRPr="00807793">
        <w:rPr>
          <w:color w:val="000000"/>
          <w:sz w:val="18"/>
          <w:szCs w:val="18"/>
        </w:rPr>
        <w:t xml:space="preserve">овая </w:t>
      </w:r>
      <w:proofErr w:type="spellStart"/>
      <w:r w:rsidRPr="00807793">
        <w:rPr>
          <w:color w:val="000000"/>
          <w:sz w:val="18"/>
          <w:szCs w:val="18"/>
        </w:rPr>
        <w:t>коронавирусная</w:t>
      </w:r>
      <w:proofErr w:type="spellEnd"/>
      <w:r w:rsidRPr="00807793">
        <w:rPr>
          <w:color w:val="000000"/>
          <w:sz w:val="18"/>
          <w:szCs w:val="18"/>
        </w:rPr>
        <w:t xml:space="preserve"> инфекция (COVID-19) (далее – COVID-19)</w:t>
      </w:r>
      <w:r>
        <w:rPr>
          <w:color w:val="000000"/>
          <w:sz w:val="18"/>
          <w:szCs w:val="18"/>
        </w:rPr>
        <w:t>.</w:t>
      </w:r>
    </w:p>
    <w:p w:rsidR="00000E53" w:rsidRDefault="00000E53" w:rsidP="005E541F">
      <w:pPr>
        <w:pStyle w:val="a9"/>
      </w:pPr>
    </w:p>
  </w:footnote>
  <w:footnote w:id="32">
    <w:p w:rsidR="00000E53" w:rsidRPr="006D407E" w:rsidRDefault="00000E53" w:rsidP="00A25B1F">
      <w:pPr>
        <w:pStyle w:val="a9"/>
        <w:ind w:firstLine="284"/>
        <w:rPr>
          <w:sz w:val="18"/>
          <w:szCs w:val="18"/>
        </w:rPr>
      </w:pPr>
      <w:r w:rsidRPr="006D407E">
        <w:rPr>
          <w:rStyle w:val="ab"/>
          <w:sz w:val="18"/>
          <w:szCs w:val="18"/>
        </w:rPr>
        <w:footnoteRef/>
      </w:r>
      <w:r w:rsidRPr="006D407E">
        <w:rPr>
          <w:sz w:val="18"/>
          <w:szCs w:val="18"/>
        </w:rPr>
        <w:t> Далее – главные распорядители</w:t>
      </w:r>
      <w:r>
        <w:rPr>
          <w:sz w:val="18"/>
          <w:szCs w:val="18"/>
        </w:rPr>
        <w:t>;</w:t>
      </w:r>
    </w:p>
  </w:footnote>
  <w:footnote w:id="33">
    <w:p w:rsidR="00000E53" w:rsidRPr="00A84C51" w:rsidRDefault="00000E53" w:rsidP="00A25B1F">
      <w:pPr>
        <w:pStyle w:val="a9"/>
        <w:ind w:firstLine="284"/>
        <w:jc w:val="both"/>
        <w:rPr>
          <w:sz w:val="18"/>
          <w:szCs w:val="18"/>
        </w:rPr>
      </w:pPr>
      <w:r w:rsidRPr="006D407E">
        <w:rPr>
          <w:rStyle w:val="ab"/>
          <w:sz w:val="18"/>
          <w:szCs w:val="18"/>
        </w:rPr>
        <w:footnoteRef/>
      </w:r>
      <w:r w:rsidRPr="006D407E">
        <w:rPr>
          <w:sz w:val="18"/>
          <w:szCs w:val="18"/>
        </w:rPr>
        <w:t> Закон Чукотского автономного округа от 24 мая 2002</w:t>
      </w:r>
      <w:r w:rsidRPr="00A84C51">
        <w:rPr>
          <w:sz w:val="18"/>
          <w:szCs w:val="18"/>
        </w:rPr>
        <w:t> года №31-ОЗ «О бюджетном процессе в Чукотском автономном округе» (далее – Закон о бюджетном процессе)</w:t>
      </w:r>
      <w:r>
        <w:rPr>
          <w:sz w:val="18"/>
          <w:szCs w:val="18"/>
        </w:rPr>
        <w:t>;</w:t>
      </w:r>
    </w:p>
  </w:footnote>
  <w:footnote w:id="34">
    <w:p w:rsidR="00000E53" w:rsidRPr="00A84C51" w:rsidRDefault="00000E53" w:rsidP="00A25B1F">
      <w:pPr>
        <w:pStyle w:val="a9"/>
        <w:ind w:firstLine="284"/>
        <w:jc w:val="both"/>
        <w:rPr>
          <w:sz w:val="18"/>
          <w:szCs w:val="18"/>
        </w:rPr>
      </w:pPr>
      <w:r w:rsidRPr="00A84C51">
        <w:rPr>
          <w:rStyle w:val="ab"/>
          <w:sz w:val="18"/>
          <w:szCs w:val="18"/>
        </w:rPr>
        <w:footnoteRef/>
      </w:r>
      <w:r>
        <w:rPr>
          <w:sz w:val="18"/>
          <w:szCs w:val="18"/>
        </w:rPr>
        <w:t> З</w:t>
      </w:r>
      <w:r w:rsidRPr="00A84C51">
        <w:rPr>
          <w:sz w:val="18"/>
          <w:szCs w:val="18"/>
        </w:rPr>
        <w:t>акон Чукотского автономного округа от 29 октября 2012 года №95-ОЗ «О системе исполнительных органов государственной власти Чукотского автономного округа»</w:t>
      </w:r>
      <w:r>
        <w:rPr>
          <w:sz w:val="18"/>
          <w:szCs w:val="18"/>
        </w:rPr>
        <w:t>;</w:t>
      </w:r>
    </w:p>
  </w:footnote>
  <w:footnote w:id="35">
    <w:p w:rsidR="00000E53" w:rsidRPr="00A84C51" w:rsidRDefault="00000E53" w:rsidP="00A25B1F">
      <w:pPr>
        <w:pStyle w:val="a9"/>
        <w:ind w:firstLine="284"/>
        <w:jc w:val="both"/>
        <w:rPr>
          <w:sz w:val="18"/>
          <w:szCs w:val="18"/>
        </w:rPr>
      </w:pPr>
      <w:r w:rsidRPr="00A84C51">
        <w:rPr>
          <w:rStyle w:val="ab"/>
          <w:sz w:val="18"/>
          <w:szCs w:val="18"/>
        </w:rPr>
        <w:footnoteRef/>
      </w:r>
      <w:r w:rsidRPr="00A84C51">
        <w:rPr>
          <w:sz w:val="18"/>
          <w:szCs w:val="18"/>
        </w:rPr>
        <w:t> Постановление Губернатора Чукотского автономного округа от 18 октября 2018 года №89 «О структуре исполнительных органов государственной власти Чукотского автономного округа»</w:t>
      </w:r>
    </w:p>
  </w:footnote>
  <w:footnote w:id="36">
    <w:p w:rsidR="00000E53" w:rsidRPr="00A84C51" w:rsidRDefault="00000E53" w:rsidP="00A25B1F">
      <w:pPr>
        <w:pStyle w:val="a9"/>
        <w:ind w:firstLine="284"/>
        <w:jc w:val="both"/>
        <w:rPr>
          <w:sz w:val="18"/>
          <w:szCs w:val="18"/>
        </w:rPr>
      </w:pPr>
      <w:r w:rsidRPr="00A84C51">
        <w:rPr>
          <w:rStyle w:val="ab"/>
          <w:sz w:val="18"/>
          <w:szCs w:val="18"/>
        </w:rPr>
        <w:footnoteRef/>
      </w:r>
      <w:r>
        <w:rPr>
          <w:sz w:val="18"/>
          <w:szCs w:val="18"/>
        </w:rPr>
        <w:t> </w:t>
      </w:r>
      <w:r w:rsidRPr="00A84C51">
        <w:rPr>
          <w:sz w:val="18"/>
          <w:szCs w:val="18"/>
        </w:rPr>
        <w:t>Закон</w:t>
      </w:r>
      <w:r>
        <w:rPr>
          <w:sz w:val="18"/>
          <w:szCs w:val="18"/>
        </w:rPr>
        <w:t xml:space="preserve"> </w:t>
      </w:r>
      <w:r w:rsidRPr="00A84C51">
        <w:rPr>
          <w:sz w:val="18"/>
          <w:szCs w:val="18"/>
        </w:rPr>
        <w:t>Чукотского автономного округа от 2 апреля 1996 года №03-ОЗ «О Думе Чукотского автономного округа»</w:t>
      </w:r>
      <w:r>
        <w:rPr>
          <w:sz w:val="18"/>
          <w:szCs w:val="18"/>
        </w:rPr>
        <w:t>;</w:t>
      </w:r>
    </w:p>
  </w:footnote>
  <w:footnote w:id="37">
    <w:p w:rsidR="00000E53" w:rsidRPr="00A84C51" w:rsidRDefault="00000E53" w:rsidP="00A25B1F">
      <w:pPr>
        <w:pStyle w:val="ConsPlusNormal"/>
        <w:ind w:firstLine="284"/>
        <w:jc w:val="both"/>
        <w:rPr>
          <w:sz w:val="18"/>
          <w:szCs w:val="18"/>
        </w:rPr>
      </w:pPr>
      <w:r w:rsidRPr="00A84C51">
        <w:rPr>
          <w:rStyle w:val="ab"/>
          <w:sz w:val="18"/>
          <w:szCs w:val="18"/>
        </w:rPr>
        <w:footnoteRef/>
      </w:r>
      <w:r>
        <w:rPr>
          <w:sz w:val="18"/>
          <w:szCs w:val="18"/>
        </w:rPr>
        <w:t> </w:t>
      </w:r>
      <w:r w:rsidRPr="00A84C51">
        <w:rPr>
          <w:sz w:val="18"/>
          <w:szCs w:val="18"/>
        </w:rPr>
        <w:t>Федеральный закон Российской Федерации от 7 февраля 2011 года №6-ФЗ «</w:t>
      </w:r>
      <w:r w:rsidRPr="00A84C51">
        <w:rPr>
          <w:bCs/>
          <w:sz w:val="18"/>
          <w:szCs w:val="18"/>
        </w:rPr>
        <w:t xml:space="preserve">Об общих принципах организации и деятельности контрольно-счетных органов субъектов Российской Федерации и муниципальных образований», </w:t>
      </w:r>
      <w:r w:rsidRPr="00A84C51">
        <w:rPr>
          <w:sz w:val="18"/>
          <w:szCs w:val="18"/>
        </w:rPr>
        <w:t>Закон Чукотского автономного округа от 30 июня 1998 года №36-ОЗ «О Счетной палате Чукотского автономного округа»</w:t>
      </w:r>
      <w:r>
        <w:rPr>
          <w:sz w:val="18"/>
          <w:szCs w:val="18"/>
        </w:rPr>
        <w:t>;</w:t>
      </w:r>
    </w:p>
  </w:footnote>
  <w:footnote w:id="38">
    <w:p w:rsidR="00000E53" w:rsidRPr="006E6A8C" w:rsidRDefault="00000E53" w:rsidP="00A25B1F">
      <w:pPr>
        <w:pStyle w:val="a9"/>
        <w:ind w:firstLine="284"/>
        <w:jc w:val="both"/>
        <w:rPr>
          <w:sz w:val="18"/>
          <w:szCs w:val="18"/>
        </w:rPr>
      </w:pPr>
      <w:r w:rsidRPr="00A84C51">
        <w:rPr>
          <w:rStyle w:val="ab"/>
          <w:sz w:val="18"/>
          <w:szCs w:val="18"/>
        </w:rPr>
        <w:footnoteRef/>
      </w:r>
      <w:r w:rsidRPr="00A84C51">
        <w:rPr>
          <w:sz w:val="18"/>
          <w:szCs w:val="18"/>
        </w:rPr>
        <w:t xml:space="preserve"> Федеральный </w:t>
      </w:r>
      <w:r w:rsidRPr="006E6A8C">
        <w:rPr>
          <w:sz w:val="18"/>
          <w:szCs w:val="18"/>
        </w:rPr>
        <w:t>закон от 12 июня 2002 года №67-ФЗ «Об основных гарантиях избирательных прав и права на участие в</w:t>
      </w:r>
      <w:r>
        <w:rPr>
          <w:sz w:val="18"/>
          <w:szCs w:val="18"/>
        </w:rPr>
        <w:t> </w:t>
      </w:r>
      <w:r w:rsidRPr="006E6A8C">
        <w:rPr>
          <w:sz w:val="18"/>
          <w:szCs w:val="18"/>
        </w:rPr>
        <w:t>референдуме граждан Российской Федерации»</w:t>
      </w:r>
      <w:r>
        <w:rPr>
          <w:sz w:val="18"/>
          <w:szCs w:val="18"/>
        </w:rPr>
        <w:t>;</w:t>
      </w:r>
    </w:p>
  </w:footnote>
  <w:footnote w:id="39">
    <w:p w:rsidR="00000E53" w:rsidRPr="006E6A8C" w:rsidRDefault="00000E53" w:rsidP="00A25B1F">
      <w:pPr>
        <w:pStyle w:val="a9"/>
        <w:ind w:firstLine="284"/>
        <w:jc w:val="both"/>
        <w:rPr>
          <w:sz w:val="18"/>
          <w:szCs w:val="18"/>
        </w:rPr>
      </w:pPr>
      <w:r w:rsidRPr="006E6A8C">
        <w:rPr>
          <w:rStyle w:val="ab"/>
          <w:sz w:val="18"/>
          <w:szCs w:val="18"/>
        </w:rPr>
        <w:footnoteRef/>
      </w:r>
      <w:r>
        <w:rPr>
          <w:sz w:val="18"/>
          <w:szCs w:val="18"/>
        </w:rPr>
        <w:t> </w:t>
      </w:r>
      <w:r w:rsidRPr="006E6A8C">
        <w:rPr>
          <w:sz w:val="18"/>
          <w:szCs w:val="18"/>
        </w:rPr>
        <w:t>Постановление Правительства Чукотского автономного округа от 23 марта 2012 года №120</w:t>
      </w:r>
      <w:r>
        <w:rPr>
          <w:sz w:val="18"/>
          <w:szCs w:val="18"/>
        </w:rPr>
        <w:t xml:space="preserve"> «</w:t>
      </w:r>
      <w:r w:rsidRPr="006E6A8C">
        <w:rPr>
          <w:sz w:val="18"/>
          <w:szCs w:val="18"/>
        </w:rPr>
        <w:t>О подведомственности получателей средств окружного бюджета главным распорядителям (распорядителям) средств окружного бюджета и ведомственной подчиненности государственных учреждений и государственных предприятий Чукотского автономного округа</w:t>
      </w:r>
      <w:r>
        <w:rPr>
          <w:sz w:val="18"/>
          <w:szCs w:val="18"/>
        </w:rPr>
        <w:t>»</w:t>
      </w:r>
    </w:p>
  </w:footnote>
  <w:footnote w:id="40">
    <w:p w:rsidR="00000E53" w:rsidRPr="006E6A8C" w:rsidRDefault="00000E53" w:rsidP="00A25B1F">
      <w:pPr>
        <w:pStyle w:val="a9"/>
        <w:ind w:firstLine="284"/>
        <w:jc w:val="both"/>
        <w:rPr>
          <w:sz w:val="18"/>
          <w:szCs w:val="18"/>
        </w:rPr>
      </w:pPr>
      <w:r w:rsidRPr="006E6A8C">
        <w:rPr>
          <w:rStyle w:val="ab"/>
          <w:sz w:val="18"/>
          <w:szCs w:val="18"/>
        </w:rPr>
        <w:footnoteRef/>
      </w:r>
      <w:r w:rsidRPr="006E6A8C">
        <w:rPr>
          <w:sz w:val="18"/>
          <w:szCs w:val="18"/>
        </w:rPr>
        <w:t> Федеральный закон от 6 декабря 2011 года №402-ФЗ «О бухгалтерском учете»</w:t>
      </w:r>
    </w:p>
  </w:footnote>
  <w:footnote w:id="41">
    <w:p w:rsidR="00000E53" w:rsidRPr="00A84C51" w:rsidRDefault="00000E53" w:rsidP="00A25B1F">
      <w:pPr>
        <w:ind w:firstLine="284"/>
        <w:jc w:val="both"/>
        <w:rPr>
          <w:sz w:val="18"/>
          <w:szCs w:val="18"/>
        </w:rPr>
      </w:pPr>
      <w:r w:rsidRPr="006E6A8C">
        <w:rPr>
          <w:rStyle w:val="ab"/>
          <w:sz w:val="18"/>
          <w:szCs w:val="18"/>
        </w:rPr>
        <w:footnoteRef/>
      </w:r>
      <w:r w:rsidRPr="006E6A8C">
        <w:rPr>
          <w:sz w:val="18"/>
          <w:szCs w:val="18"/>
        </w:rPr>
        <w:t> Приказы Министерства фина</w:t>
      </w:r>
      <w:r w:rsidRPr="00A84C51">
        <w:rPr>
          <w:sz w:val="18"/>
          <w:szCs w:val="18"/>
        </w:rPr>
        <w:t>нсов Российской Федерации от 1 декабря 2010 года №157н «Об утверждении Единого плана счетов бухгалтерского учета для органов государственной власти (государственных органов), органов местного</w:t>
      </w:r>
      <w:r w:rsidRPr="007E6EAC">
        <w:rPr>
          <w:sz w:val="20"/>
          <w:szCs w:val="20"/>
        </w:rPr>
        <w:t xml:space="preserve"> </w:t>
      </w:r>
      <w:r w:rsidRPr="00A84C51">
        <w:rPr>
          <w:sz w:val="18"/>
          <w:szCs w:val="18"/>
        </w:rPr>
        <w:t xml:space="preserve">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от 6 декабря 2010 года №162н «Об утверждении Плана счетов бюджетного учета и Инструкции по его применению» </w:t>
      </w:r>
    </w:p>
  </w:footnote>
  <w:footnote w:id="42">
    <w:p w:rsidR="00000E53" w:rsidRPr="00A84C51" w:rsidRDefault="00000E53" w:rsidP="00A25B1F">
      <w:pPr>
        <w:pStyle w:val="a9"/>
        <w:ind w:firstLine="284"/>
        <w:jc w:val="both"/>
        <w:rPr>
          <w:sz w:val="18"/>
          <w:szCs w:val="18"/>
        </w:rPr>
      </w:pPr>
      <w:r w:rsidRPr="00A84C51">
        <w:rPr>
          <w:rStyle w:val="ab"/>
          <w:sz w:val="18"/>
          <w:szCs w:val="18"/>
        </w:rPr>
        <w:footnoteRef/>
      </w:r>
      <w:r w:rsidRPr="00A84C51">
        <w:rPr>
          <w:sz w:val="18"/>
          <w:szCs w:val="18"/>
        </w:rPr>
        <w:t> Приказ Министерства финансов Российской Федерации от 28 декабря 2010 года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footnote>
  <w:footnote w:id="43">
    <w:p w:rsidR="00000E53" w:rsidRPr="00F55316" w:rsidRDefault="00000E53" w:rsidP="00A25B1F">
      <w:pPr>
        <w:pStyle w:val="a9"/>
        <w:ind w:firstLine="284"/>
        <w:jc w:val="both"/>
        <w:rPr>
          <w:sz w:val="18"/>
          <w:szCs w:val="18"/>
        </w:rPr>
      </w:pPr>
      <w:r w:rsidRPr="00F55316">
        <w:rPr>
          <w:rStyle w:val="ab"/>
          <w:sz w:val="18"/>
          <w:szCs w:val="18"/>
        </w:rPr>
        <w:footnoteRef/>
      </w:r>
      <w:r w:rsidRPr="00F55316">
        <w:rPr>
          <w:sz w:val="18"/>
          <w:szCs w:val="18"/>
        </w:rPr>
        <w:t> Приказ Департамента финансов от 11</w:t>
      </w:r>
      <w:r>
        <w:rPr>
          <w:sz w:val="18"/>
          <w:szCs w:val="18"/>
        </w:rPr>
        <w:t xml:space="preserve"> ноября 2013 года</w:t>
      </w:r>
      <w:r w:rsidRPr="00F55316">
        <w:rPr>
          <w:sz w:val="18"/>
          <w:szCs w:val="18"/>
        </w:rPr>
        <w:t xml:space="preserve"> №73 «Об утверждении Порядка составления и ведения сводной бюджетной росписи окружного бюджета и бюджетных росписей главных распорядителей средств окружного бюджета (главных администраторов источников финансирования дефицита окружного бюджета)»</w:t>
      </w:r>
      <w:r>
        <w:rPr>
          <w:sz w:val="18"/>
          <w:szCs w:val="18"/>
        </w:rPr>
        <w:t xml:space="preserve"> (далее – Порядок ведения сводной бюджетной росписи)</w:t>
      </w:r>
    </w:p>
  </w:footnote>
  <w:footnote w:id="44">
    <w:p w:rsidR="00000E53" w:rsidRPr="00FE0EBB" w:rsidRDefault="00000E53" w:rsidP="009E26F4">
      <w:pPr>
        <w:pStyle w:val="a9"/>
        <w:ind w:firstLine="284"/>
        <w:jc w:val="both"/>
        <w:rPr>
          <w:sz w:val="18"/>
          <w:szCs w:val="18"/>
        </w:rPr>
      </w:pPr>
      <w:r w:rsidRPr="00FE0EBB">
        <w:rPr>
          <w:rStyle w:val="ab"/>
          <w:sz w:val="18"/>
          <w:szCs w:val="18"/>
        </w:rPr>
        <w:footnoteRef/>
      </w:r>
      <w:r w:rsidRPr="00FE0EBB">
        <w:rPr>
          <w:sz w:val="18"/>
          <w:szCs w:val="18"/>
        </w:rPr>
        <w:t> Закон Чукотского автономного округа от 24 мая 2002 года №31-ОЗ «О бюджетном процессе в Чукотском автономном округе» (далее – Закон о бюджетном процессе)</w:t>
      </w:r>
    </w:p>
  </w:footnote>
  <w:footnote w:id="45">
    <w:p w:rsidR="00000E53" w:rsidRPr="00FE0EBB" w:rsidRDefault="00000E53" w:rsidP="009E26F4">
      <w:pPr>
        <w:pStyle w:val="a9"/>
        <w:ind w:firstLine="284"/>
        <w:jc w:val="both"/>
        <w:rPr>
          <w:sz w:val="18"/>
          <w:szCs w:val="18"/>
        </w:rPr>
      </w:pPr>
      <w:r w:rsidRPr="00FE0EBB">
        <w:rPr>
          <w:rStyle w:val="ab"/>
          <w:sz w:val="18"/>
          <w:szCs w:val="18"/>
        </w:rPr>
        <w:footnoteRef/>
      </w:r>
      <w:r w:rsidRPr="00FE0EBB">
        <w:rPr>
          <w:sz w:val="18"/>
          <w:szCs w:val="18"/>
        </w:rPr>
        <w:t> Закон Чукотского автономного округа 30 июня 1998 года №36-ОЗ «О Счетной палате Чукотского автономного округа» (далее – Закон о Счетной палате)</w:t>
      </w:r>
    </w:p>
  </w:footnote>
  <w:footnote w:id="46">
    <w:p w:rsidR="00000E53" w:rsidRPr="00FE0EBB" w:rsidRDefault="00000E53" w:rsidP="009E26F4">
      <w:pPr>
        <w:pStyle w:val="a9"/>
        <w:ind w:firstLine="284"/>
        <w:jc w:val="both"/>
        <w:rPr>
          <w:sz w:val="18"/>
          <w:szCs w:val="18"/>
        </w:rPr>
      </w:pPr>
      <w:r w:rsidRPr="00FE0EBB">
        <w:rPr>
          <w:rStyle w:val="ab"/>
          <w:sz w:val="18"/>
          <w:szCs w:val="18"/>
        </w:rPr>
        <w:footnoteRef/>
      </w:r>
      <w:r w:rsidRPr="00FE0EBB">
        <w:rPr>
          <w:sz w:val="18"/>
          <w:szCs w:val="18"/>
        </w:rPr>
        <w:t> Стандарт финансового контроля «Внешняя проверка годового отчета об исполнении окружного бюджета Чукотского автономного округа» утвержден Приказом Счетной палаты от 9 апреля 2014 года №41-о/д (рассмотрен и одобрен решением Коллегии Счетной палаты (протокол от 7 апреля 2014 года №5)</w:t>
      </w:r>
    </w:p>
  </w:footnote>
  <w:footnote w:id="47">
    <w:p w:rsidR="00000E53" w:rsidRPr="00FE0EBB" w:rsidRDefault="00000E53" w:rsidP="009E26F4">
      <w:pPr>
        <w:ind w:firstLine="284"/>
        <w:jc w:val="both"/>
        <w:rPr>
          <w:sz w:val="18"/>
          <w:szCs w:val="18"/>
        </w:rPr>
      </w:pPr>
      <w:r w:rsidRPr="00FE0EBB">
        <w:rPr>
          <w:rStyle w:val="ab"/>
          <w:sz w:val="18"/>
          <w:szCs w:val="18"/>
        </w:rPr>
        <w:footnoteRef/>
      </w:r>
      <w:r w:rsidRPr="00FE0EBB">
        <w:rPr>
          <w:sz w:val="18"/>
          <w:szCs w:val="18"/>
        </w:rPr>
        <w:t xml:space="preserve"> Инструкция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утверждена Приказом Министерства финансов Российской Федерации от 28 декабря 2010 года №191н (далее – Инструкция №191н) </w:t>
      </w:r>
    </w:p>
  </w:footnote>
  <w:footnote w:id="48">
    <w:p w:rsidR="00000E53" w:rsidRPr="00FE0EBB" w:rsidRDefault="00000E53" w:rsidP="009E26F4">
      <w:pPr>
        <w:pStyle w:val="a9"/>
        <w:ind w:firstLine="284"/>
        <w:jc w:val="both"/>
        <w:rPr>
          <w:sz w:val="18"/>
          <w:szCs w:val="18"/>
        </w:rPr>
      </w:pPr>
      <w:r w:rsidRPr="00FE0EBB">
        <w:rPr>
          <w:rStyle w:val="ab"/>
          <w:sz w:val="18"/>
          <w:szCs w:val="18"/>
        </w:rPr>
        <w:footnoteRef/>
      </w:r>
      <w:r w:rsidRPr="00FE0EBB">
        <w:rPr>
          <w:sz w:val="18"/>
          <w:szCs w:val="18"/>
        </w:rPr>
        <w:t> </w:t>
      </w:r>
      <w:r w:rsidRPr="00FE0EBB">
        <w:rPr>
          <w:bCs/>
          <w:sz w:val="18"/>
          <w:szCs w:val="18"/>
        </w:rPr>
        <w:t>Управлени</w:t>
      </w:r>
      <w:r>
        <w:rPr>
          <w:bCs/>
          <w:sz w:val="18"/>
          <w:szCs w:val="18"/>
        </w:rPr>
        <w:t>е</w:t>
      </w:r>
      <w:r w:rsidRPr="00FE0EBB">
        <w:rPr>
          <w:bCs/>
          <w:sz w:val="18"/>
          <w:szCs w:val="18"/>
        </w:rPr>
        <w:t xml:space="preserve"> </w:t>
      </w:r>
      <w:r>
        <w:rPr>
          <w:bCs/>
          <w:sz w:val="18"/>
          <w:szCs w:val="18"/>
        </w:rPr>
        <w:t>Ф</w:t>
      </w:r>
      <w:r w:rsidRPr="00FE0EBB">
        <w:rPr>
          <w:bCs/>
          <w:sz w:val="18"/>
          <w:szCs w:val="18"/>
        </w:rPr>
        <w:t xml:space="preserve">едеральной </w:t>
      </w:r>
      <w:r>
        <w:rPr>
          <w:bCs/>
          <w:sz w:val="18"/>
          <w:szCs w:val="18"/>
        </w:rPr>
        <w:t xml:space="preserve">службы </w:t>
      </w:r>
      <w:r w:rsidRPr="00FE0EBB">
        <w:rPr>
          <w:bCs/>
          <w:sz w:val="18"/>
          <w:szCs w:val="18"/>
        </w:rPr>
        <w:t>государственной статистики по Хабаровскому краю, Магаданской области, Еврейской автономной области и Чукотскому автономному округу</w:t>
      </w:r>
      <w:r>
        <w:rPr>
          <w:bCs/>
          <w:sz w:val="18"/>
          <w:szCs w:val="18"/>
        </w:rPr>
        <w:t xml:space="preserve"> (</w:t>
      </w:r>
      <w:r w:rsidRPr="00FE0EBB">
        <w:rPr>
          <w:bCs/>
          <w:sz w:val="18"/>
          <w:szCs w:val="18"/>
        </w:rPr>
        <w:t>далее</w:t>
      </w:r>
      <w:r>
        <w:rPr>
          <w:bCs/>
          <w:sz w:val="18"/>
          <w:szCs w:val="18"/>
        </w:rPr>
        <w:t xml:space="preserve"> –</w:t>
      </w:r>
      <w:r w:rsidRPr="00FE0EBB">
        <w:rPr>
          <w:bCs/>
          <w:sz w:val="18"/>
          <w:szCs w:val="18"/>
        </w:rPr>
        <w:t xml:space="preserve"> </w:t>
      </w:r>
      <w:proofErr w:type="spellStart"/>
      <w:r w:rsidRPr="00FE0EBB">
        <w:rPr>
          <w:bCs/>
          <w:sz w:val="18"/>
          <w:szCs w:val="18"/>
        </w:rPr>
        <w:t>Хабаровскстат</w:t>
      </w:r>
      <w:proofErr w:type="spellEnd"/>
      <w:r>
        <w:rPr>
          <w:bCs/>
          <w:sz w:val="18"/>
          <w:szCs w:val="18"/>
        </w:rPr>
        <w:t>)</w:t>
      </w:r>
      <w:r w:rsidRPr="00FE0EBB">
        <w:rPr>
          <w:sz w:val="18"/>
          <w:szCs w:val="18"/>
        </w:rPr>
        <w:t xml:space="preserve"> </w:t>
      </w:r>
    </w:p>
  </w:footnote>
  <w:footnote w:id="49">
    <w:p w:rsidR="00000E53" w:rsidRPr="00FE0EBB" w:rsidRDefault="00000E53" w:rsidP="009E26F4">
      <w:pPr>
        <w:pStyle w:val="a9"/>
        <w:ind w:firstLine="284"/>
        <w:jc w:val="both"/>
        <w:rPr>
          <w:sz w:val="18"/>
          <w:szCs w:val="18"/>
        </w:rPr>
      </w:pPr>
      <w:r w:rsidRPr="00FE0EBB">
        <w:rPr>
          <w:rStyle w:val="ab"/>
          <w:sz w:val="18"/>
          <w:szCs w:val="18"/>
        </w:rPr>
        <w:footnoteRef/>
      </w:r>
      <w:r w:rsidRPr="00FE0EBB">
        <w:rPr>
          <w:sz w:val="18"/>
          <w:szCs w:val="18"/>
        </w:rPr>
        <w:t xml:space="preserve"> Закон Чукотского автономного округа от 16 декабря 2020 года №74-ОЗ «Об окружном бюджете на 2021 год и плановый период 2022 и 2023 годов» (далее – Закон об окружном бюджете) </w:t>
      </w:r>
    </w:p>
  </w:footnote>
  <w:footnote w:id="50">
    <w:p w:rsidR="00000E53" w:rsidRPr="00BE496D" w:rsidRDefault="00000E53" w:rsidP="009E26F4">
      <w:pPr>
        <w:pStyle w:val="a9"/>
        <w:ind w:firstLine="284"/>
        <w:jc w:val="both"/>
        <w:rPr>
          <w:sz w:val="18"/>
          <w:szCs w:val="18"/>
        </w:rPr>
      </w:pPr>
      <w:r w:rsidRPr="00BE496D">
        <w:rPr>
          <w:rStyle w:val="ab"/>
          <w:sz w:val="18"/>
          <w:szCs w:val="18"/>
        </w:rPr>
        <w:footnoteRef/>
      </w:r>
      <w:r w:rsidRPr="00BE496D">
        <w:rPr>
          <w:sz w:val="18"/>
          <w:szCs w:val="18"/>
        </w:rPr>
        <w:t xml:space="preserve"> По данным доклада </w:t>
      </w:r>
      <w:proofErr w:type="spellStart"/>
      <w:r w:rsidRPr="00BE496D">
        <w:rPr>
          <w:bCs/>
          <w:sz w:val="18"/>
          <w:szCs w:val="18"/>
        </w:rPr>
        <w:t>Хабаровскстата</w:t>
      </w:r>
      <w:proofErr w:type="spellEnd"/>
      <w:r w:rsidRPr="00BE496D">
        <w:rPr>
          <w:bCs/>
          <w:sz w:val="18"/>
          <w:szCs w:val="18"/>
        </w:rPr>
        <w:t xml:space="preserve"> «Социально-экономическое положение Чукотского автономного округа» з</w:t>
      </w:r>
      <w:r w:rsidRPr="00BE496D">
        <w:rPr>
          <w:sz w:val="18"/>
          <w:szCs w:val="18"/>
        </w:rPr>
        <w:t xml:space="preserve">а январь-декабрь 2021 года количество родившихся составляет 521 человек, умерших – 540 </w:t>
      </w:r>
    </w:p>
  </w:footnote>
  <w:footnote w:id="51">
    <w:p w:rsidR="00000E53" w:rsidRPr="00BE496D" w:rsidRDefault="00000E53" w:rsidP="009E26F4">
      <w:pPr>
        <w:pStyle w:val="a9"/>
        <w:ind w:firstLine="284"/>
        <w:jc w:val="both"/>
        <w:rPr>
          <w:sz w:val="18"/>
          <w:szCs w:val="18"/>
        </w:rPr>
      </w:pPr>
      <w:r w:rsidRPr="00BE496D">
        <w:rPr>
          <w:rStyle w:val="ab"/>
          <w:sz w:val="18"/>
          <w:szCs w:val="18"/>
        </w:rPr>
        <w:footnoteRef/>
      </w:r>
      <w:r w:rsidRPr="00BE496D">
        <w:rPr>
          <w:sz w:val="18"/>
          <w:szCs w:val="18"/>
        </w:rPr>
        <w:t xml:space="preserve"> По данным доклада </w:t>
      </w:r>
      <w:proofErr w:type="spellStart"/>
      <w:r w:rsidRPr="00BE496D">
        <w:rPr>
          <w:bCs/>
          <w:sz w:val="18"/>
          <w:szCs w:val="18"/>
        </w:rPr>
        <w:t>Хабаровскстата</w:t>
      </w:r>
      <w:proofErr w:type="spellEnd"/>
      <w:r w:rsidRPr="00BE496D">
        <w:rPr>
          <w:bCs/>
          <w:sz w:val="18"/>
          <w:szCs w:val="18"/>
        </w:rPr>
        <w:t xml:space="preserve"> «Социально-экономическое положение Чукотского автономного округа» з</w:t>
      </w:r>
      <w:r w:rsidRPr="00BE496D">
        <w:rPr>
          <w:sz w:val="18"/>
          <w:szCs w:val="18"/>
        </w:rPr>
        <w:t>а январь-ноябрь 2021 года количество прибывших составляет 4 892 человека, выбывших – 4 303 человек</w:t>
      </w:r>
    </w:p>
  </w:footnote>
  <w:footnote w:id="52">
    <w:p w:rsidR="00000E53" w:rsidRPr="00BE496D" w:rsidRDefault="00000E53" w:rsidP="009E26F4">
      <w:pPr>
        <w:pStyle w:val="a9"/>
        <w:ind w:firstLine="284"/>
        <w:jc w:val="both"/>
        <w:rPr>
          <w:sz w:val="18"/>
          <w:szCs w:val="18"/>
        </w:rPr>
      </w:pPr>
      <w:r w:rsidRPr="00BE496D">
        <w:rPr>
          <w:rStyle w:val="ab"/>
          <w:sz w:val="18"/>
          <w:szCs w:val="18"/>
        </w:rPr>
        <w:footnoteRef/>
      </w:r>
      <w:r w:rsidRPr="00BE496D">
        <w:rPr>
          <w:sz w:val="18"/>
          <w:szCs w:val="18"/>
        </w:rPr>
        <w:t> Постановление Правительства Чукотского автономного округа от 22 января 2021 года №14 «Об установлении величины прожиточного минимума на душу населения и по основным социально-демографическим группам населения в целом по Чукотскому автономному округу на 2021 год»</w:t>
      </w:r>
    </w:p>
  </w:footnote>
  <w:footnote w:id="53">
    <w:p w:rsidR="00000E53" w:rsidRPr="003E694B" w:rsidRDefault="00000E53" w:rsidP="009E26F4">
      <w:pPr>
        <w:pStyle w:val="a9"/>
        <w:ind w:firstLine="284"/>
        <w:jc w:val="both"/>
        <w:rPr>
          <w:sz w:val="18"/>
          <w:szCs w:val="18"/>
        </w:rPr>
      </w:pPr>
      <w:r w:rsidRPr="003E694B">
        <w:rPr>
          <w:rStyle w:val="ab"/>
          <w:sz w:val="18"/>
          <w:szCs w:val="18"/>
        </w:rPr>
        <w:footnoteRef/>
      </w:r>
      <w:r w:rsidRPr="003E694B">
        <w:rPr>
          <w:sz w:val="18"/>
          <w:szCs w:val="18"/>
        </w:rPr>
        <w:t xml:space="preserve"> Порядок исполнения сводной бюджетной росписи окружного бюджета утвержден Приказом Департамента финансов, экономики и имущественных отношений Чукотского автономного круга от 11 ноября 2013 года №73 «Об утверждении Порядка составления и ведения сводной бюджетной росписи окружного бюджета и бюджетных росписей главных распорядителей средств окружного бюджета (главных администраторов источников финансирования дефицита окружного бюджета)» </w:t>
      </w:r>
    </w:p>
  </w:footnote>
  <w:footnote w:id="54">
    <w:p w:rsidR="00000E53" w:rsidRPr="008C3986" w:rsidRDefault="00000E53" w:rsidP="009E26F4">
      <w:pPr>
        <w:pStyle w:val="a9"/>
        <w:ind w:firstLine="284"/>
        <w:jc w:val="both"/>
      </w:pPr>
      <w:r w:rsidRPr="008C3986">
        <w:rPr>
          <w:rStyle w:val="ab"/>
        </w:rPr>
        <w:footnoteRef/>
      </w:r>
      <w:r w:rsidRPr="008C3986">
        <w:t xml:space="preserve"> Утверждено сводной бюджетной </w:t>
      </w:r>
      <w:r w:rsidRPr="008C3986">
        <w:rPr>
          <w:bCs/>
        </w:rPr>
        <w:t>росписью</w:t>
      </w:r>
      <w:r>
        <w:rPr>
          <w:bCs/>
        </w:rPr>
        <w:t xml:space="preserve"> и отражено в Отчете об исполнении бюджета (форма 0503117) по графе 4 «</w:t>
      </w:r>
      <w:r w:rsidRPr="0087462B">
        <w:rPr>
          <w:bCs/>
        </w:rPr>
        <w:t>Утвержденные бюджетные назначения</w:t>
      </w:r>
      <w:r>
        <w:rPr>
          <w:bCs/>
        </w:rPr>
        <w:t>»</w:t>
      </w:r>
    </w:p>
  </w:footnote>
  <w:footnote w:id="55">
    <w:p w:rsidR="00000E53" w:rsidRPr="003E0F98" w:rsidRDefault="00000E53" w:rsidP="009E26F4">
      <w:pPr>
        <w:pStyle w:val="a9"/>
        <w:ind w:firstLine="284"/>
        <w:rPr>
          <w:sz w:val="18"/>
          <w:szCs w:val="18"/>
        </w:rPr>
      </w:pPr>
      <w:r w:rsidRPr="003E0F98">
        <w:rPr>
          <w:rStyle w:val="ab"/>
          <w:sz w:val="18"/>
          <w:szCs w:val="18"/>
        </w:rPr>
        <w:footnoteRef/>
      </w:r>
      <w:r w:rsidRPr="003E0F98">
        <w:rPr>
          <w:sz w:val="18"/>
          <w:szCs w:val="18"/>
        </w:rPr>
        <w:t> Налоговый кодекс Российской Федерации (далее – Налоговый кодекс)</w:t>
      </w:r>
    </w:p>
  </w:footnote>
  <w:footnote w:id="56">
    <w:p w:rsidR="00000E53" w:rsidRPr="003E0F98" w:rsidRDefault="00000E53" w:rsidP="009E26F4">
      <w:pPr>
        <w:pStyle w:val="a9"/>
        <w:ind w:firstLine="284"/>
        <w:jc w:val="both"/>
        <w:rPr>
          <w:sz w:val="18"/>
          <w:szCs w:val="18"/>
        </w:rPr>
      </w:pPr>
      <w:r w:rsidRPr="003E0F98">
        <w:rPr>
          <w:rStyle w:val="ab"/>
          <w:sz w:val="18"/>
          <w:szCs w:val="18"/>
        </w:rPr>
        <w:footnoteRef/>
      </w:r>
      <w:r w:rsidRPr="003E0F98">
        <w:rPr>
          <w:sz w:val="18"/>
          <w:szCs w:val="18"/>
        </w:rPr>
        <w:t> </w:t>
      </w:r>
      <w:r w:rsidRPr="003E0F98">
        <w:rPr>
          <w:rFonts w:eastAsia="Calibri"/>
          <w:sz w:val="18"/>
          <w:szCs w:val="18"/>
        </w:rPr>
        <w:t>Федеральный закон от 29 декабря 2014 года №473-ФЗ «О территориях опережающего социально-экономического развития в Российской Федерации» и Постановление Правительства Российской Федерации от 21 августа 2015 года №876 «О создании территории опережающего социально-экономического развития «</w:t>
      </w:r>
      <w:proofErr w:type="spellStart"/>
      <w:r w:rsidRPr="003E0F98">
        <w:rPr>
          <w:rFonts w:eastAsia="Calibri"/>
          <w:sz w:val="18"/>
          <w:szCs w:val="18"/>
        </w:rPr>
        <w:t>Беринговский</w:t>
      </w:r>
      <w:proofErr w:type="spellEnd"/>
      <w:r w:rsidRPr="003E0F98">
        <w:rPr>
          <w:rFonts w:eastAsia="Calibri"/>
          <w:sz w:val="18"/>
          <w:szCs w:val="18"/>
        </w:rPr>
        <w:t>»</w:t>
      </w:r>
    </w:p>
  </w:footnote>
  <w:footnote w:id="57">
    <w:p w:rsidR="00000E53" w:rsidRPr="003E0F98" w:rsidRDefault="00000E53" w:rsidP="009E26F4">
      <w:pPr>
        <w:pStyle w:val="a9"/>
        <w:ind w:firstLine="284"/>
        <w:jc w:val="both"/>
        <w:rPr>
          <w:sz w:val="18"/>
          <w:szCs w:val="18"/>
        </w:rPr>
      </w:pPr>
      <w:r w:rsidRPr="003E0F98">
        <w:rPr>
          <w:rStyle w:val="ab"/>
          <w:sz w:val="18"/>
          <w:szCs w:val="18"/>
        </w:rPr>
        <w:footnoteRef/>
      </w:r>
      <w:r w:rsidRPr="003E0F98">
        <w:rPr>
          <w:sz w:val="18"/>
          <w:szCs w:val="18"/>
        </w:rPr>
        <w:t> Федеральный закон от 13 июля 2015 года №212-ФЗ «О свободном порте Владивосток»</w:t>
      </w:r>
    </w:p>
  </w:footnote>
  <w:footnote w:id="58">
    <w:p w:rsidR="00000E53" w:rsidRPr="003E0F98" w:rsidRDefault="00000E53" w:rsidP="009E26F4">
      <w:pPr>
        <w:pStyle w:val="a9"/>
        <w:ind w:firstLine="284"/>
        <w:jc w:val="both"/>
        <w:rPr>
          <w:sz w:val="18"/>
          <w:szCs w:val="18"/>
        </w:rPr>
      </w:pPr>
      <w:r w:rsidRPr="003E0F98">
        <w:rPr>
          <w:rStyle w:val="ab"/>
          <w:sz w:val="18"/>
          <w:szCs w:val="18"/>
        </w:rPr>
        <w:footnoteRef/>
      </w:r>
      <w:r w:rsidRPr="003E0F98">
        <w:rPr>
          <w:sz w:val="18"/>
          <w:szCs w:val="18"/>
        </w:rPr>
        <w:t> Указ Президента Российской Федерации от 2 мая 2014 года №296 «О сухопутных территориях Арктической зоны Российской Федерации» и Федеральный закон от 13 июля 2020 года №193-ФЗ «О государственной поддержке предпринимательской деятельности в Арктической зоне Российской Федерации»</w:t>
      </w:r>
    </w:p>
  </w:footnote>
  <w:footnote w:id="59">
    <w:p w:rsidR="00000E53" w:rsidRPr="003E0F98" w:rsidRDefault="00000E53" w:rsidP="009E26F4">
      <w:pPr>
        <w:pStyle w:val="a9"/>
        <w:ind w:firstLine="284"/>
        <w:rPr>
          <w:sz w:val="18"/>
          <w:szCs w:val="18"/>
        </w:rPr>
      </w:pPr>
      <w:r w:rsidRPr="003E0F98">
        <w:rPr>
          <w:rStyle w:val="ab"/>
          <w:sz w:val="18"/>
          <w:szCs w:val="18"/>
        </w:rPr>
        <w:footnoteRef/>
      </w:r>
      <w:r w:rsidRPr="003E0F98">
        <w:rPr>
          <w:sz w:val="18"/>
          <w:szCs w:val="18"/>
        </w:rPr>
        <w:t xml:space="preserve"> Сводная бюджетная роспись (далее в таблицах – СБР) </w:t>
      </w:r>
    </w:p>
  </w:footnote>
  <w:footnote w:id="60">
    <w:p w:rsidR="00000E53" w:rsidRPr="00A44678" w:rsidRDefault="00000E53" w:rsidP="009E26F4">
      <w:pPr>
        <w:pStyle w:val="a9"/>
        <w:spacing w:line="216" w:lineRule="auto"/>
        <w:ind w:firstLine="284"/>
        <w:jc w:val="both"/>
        <w:rPr>
          <w:sz w:val="18"/>
          <w:szCs w:val="18"/>
        </w:rPr>
      </w:pPr>
      <w:r w:rsidRPr="00A44678">
        <w:rPr>
          <w:rStyle w:val="ab"/>
          <w:sz w:val="18"/>
          <w:szCs w:val="18"/>
        </w:rPr>
        <w:footnoteRef/>
      </w:r>
      <w:r w:rsidRPr="00A44678">
        <w:rPr>
          <w:sz w:val="18"/>
          <w:szCs w:val="18"/>
        </w:rPr>
        <w:t xml:space="preserve"> Департамент промышленной политики Чукотского автономного округа (далее – Департамент промышленной политики) </w:t>
      </w:r>
    </w:p>
  </w:footnote>
  <w:footnote w:id="61">
    <w:p w:rsidR="00000E53" w:rsidRPr="00A44678" w:rsidRDefault="00000E53" w:rsidP="009E26F4">
      <w:pPr>
        <w:pStyle w:val="a9"/>
        <w:spacing w:line="216" w:lineRule="auto"/>
        <w:ind w:firstLine="284"/>
        <w:jc w:val="both"/>
        <w:rPr>
          <w:sz w:val="18"/>
          <w:szCs w:val="18"/>
        </w:rPr>
      </w:pPr>
      <w:r w:rsidRPr="00A44678">
        <w:rPr>
          <w:rStyle w:val="ab"/>
          <w:sz w:val="18"/>
          <w:szCs w:val="18"/>
        </w:rPr>
        <w:footnoteRef/>
      </w:r>
      <w:r w:rsidRPr="00A44678">
        <w:rPr>
          <w:sz w:val="18"/>
          <w:szCs w:val="18"/>
        </w:rPr>
        <w:t xml:space="preserve"> Департамент финансов экономики и имущественных отношений Чукотского автономного округа (далее – Департамент финансов) </w:t>
      </w:r>
    </w:p>
  </w:footnote>
  <w:footnote w:id="62">
    <w:p w:rsidR="00000E53" w:rsidRPr="00A44678" w:rsidRDefault="00000E53" w:rsidP="009E26F4">
      <w:pPr>
        <w:pStyle w:val="a9"/>
        <w:spacing w:line="216" w:lineRule="auto"/>
        <w:ind w:firstLine="284"/>
        <w:jc w:val="both"/>
        <w:rPr>
          <w:sz w:val="18"/>
          <w:szCs w:val="18"/>
        </w:rPr>
      </w:pPr>
      <w:r w:rsidRPr="00A44678">
        <w:rPr>
          <w:rStyle w:val="ab"/>
          <w:sz w:val="18"/>
          <w:szCs w:val="18"/>
        </w:rPr>
        <w:footnoteRef/>
      </w:r>
      <w:r w:rsidRPr="00A44678">
        <w:rPr>
          <w:sz w:val="18"/>
          <w:szCs w:val="18"/>
        </w:rPr>
        <w:t xml:space="preserve"> Департамент образования и науки Чукотского автономного округа (далее – Департамент образования) </w:t>
      </w:r>
    </w:p>
  </w:footnote>
  <w:footnote w:id="63">
    <w:p w:rsidR="00000E53" w:rsidRPr="00A44678" w:rsidRDefault="00000E53" w:rsidP="009E26F4">
      <w:pPr>
        <w:pStyle w:val="a9"/>
        <w:spacing w:line="216" w:lineRule="auto"/>
        <w:ind w:firstLine="284"/>
        <w:jc w:val="both"/>
        <w:rPr>
          <w:sz w:val="18"/>
          <w:szCs w:val="18"/>
        </w:rPr>
      </w:pPr>
      <w:r w:rsidRPr="00A44678">
        <w:rPr>
          <w:rStyle w:val="ab"/>
          <w:sz w:val="18"/>
          <w:szCs w:val="18"/>
        </w:rPr>
        <w:footnoteRef/>
      </w:r>
      <w:r w:rsidRPr="00A44678">
        <w:rPr>
          <w:sz w:val="18"/>
          <w:szCs w:val="18"/>
        </w:rPr>
        <w:t xml:space="preserve"> Департамент здравоохранения Чукотского автономного округа (далее – Департамент здравоохранения) </w:t>
      </w:r>
    </w:p>
  </w:footnote>
  <w:footnote w:id="64">
    <w:p w:rsidR="00000E53" w:rsidRPr="00CD029D" w:rsidRDefault="00000E53" w:rsidP="009E26F4">
      <w:pPr>
        <w:autoSpaceDE w:val="0"/>
        <w:autoSpaceDN w:val="0"/>
        <w:adjustRightInd w:val="0"/>
        <w:ind w:firstLine="284"/>
        <w:jc w:val="both"/>
        <w:rPr>
          <w:sz w:val="18"/>
          <w:szCs w:val="18"/>
        </w:rPr>
      </w:pPr>
      <w:r w:rsidRPr="00CD029D">
        <w:rPr>
          <w:rStyle w:val="ab"/>
          <w:sz w:val="18"/>
          <w:szCs w:val="18"/>
        </w:rPr>
        <w:footnoteRef/>
      </w:r>
      <w:r w:rsidRPr="00CD029D">
        <w:rPr>
          <w:sz w:val="18"/>
          <w:szCs w:val="18"/>
        </w:rPr>
        <w:t xml:space="preserve"> Избирательная комиссия Чукотского автономного округа (далее – Избирательная комиссия)</w:t>
      </w:r>
    </w:p>
  </w:footnote>
  <w:footnote w:id="65">
    <w:p w:rsidR="00000E53" w:rsidRPr="00CD029D" w:rsidRDefault="00000E53" w:rsidP="009E26F4">
      <w:pPr>
        <w:pStyle w:val="a9"/>
        <w:ind w:firstLine="284"/>
        <w:jc w:val="both"/>
        <w:rPr>
          <w:sz w:val="18"/>
          <w:szCs w:val="18"/>
        </w:rPr>
      </w:pPr>
      <w:r w:rsidRPr="00CD029D">
        <w:rPr>
          <w:rStyle w:val="ab"/>
          <w:sz w:val="18"/>
          <w:szCs w:val="18"/>
        </w:rPr>
        <w:footnoteRef/>
      </w:r>
      <w:r w:rsidRPr="00CD029D">
        <w:rPr>
          <w:sz w:val="18"/>
          <w:szCs w:val="18"/>
        </w:rPr>
        <w:t xml:space="preserve"> Департамент природных ресурсов и экологии Чукотского автономного округа (далее – Департамент природных ресурсов) </w:t>
      </w:r>
    </w:p>
  </w:footnote>
  <w:footnote w:id="66">
    <w:p w:rsidR="00000E53" w:rsidRPr="00CD029D" w:rsidRDefault="00000E53" w:rsidP="009E26F4">
      <w:pPr>
        <w:pStyle w:val="a9"/>
        <w:ind w:firstLine="284"/>
        <w:jc w:val="both"/>
        <w:rPr>
          <w:sz w:val="18"/>
          <w:szCs w:val="18"/>
        </w:rPr>
      </w:pPr>
      <w:r w:rsidRPr="00CD029D">
        <w:rPr>
          <w:rStyle w:val="ab"/>
          <w:sz w:val="18"/>
          <w:szCs w:val="18"/>
        </w:rPr>
        <w:footnoteRef/>
      </w:r>
      <w:r w:rsidRPr="00CD029D">
        <w:rPr>
          <w:sz w:val="18"/>
          <w:szCs w:val="18"/>
        </w:rPr>
        <w:t> Управление по обеспечению деятельности мировых судей и юридических консультаций Чукотского автономного округа (далее – Управление по обеспечению деятельности мировых судей)</w:t>
      </w:r>
    </w:p>
  </w:footnote>
  <w:footnote w:id="67">
    <w:p w:rsidR="00000E53" w:rsidRPr="00CD029D" w:rsidRDefault="00000E53" w:rsidP="009E26F4">
      <w:pPr>
        <w:pStyle w:val="a9"/>
        <w:ind w:firstLine="284"/>
        <w:jc w:val="both"/>
        <w:rPr>
          <w:sz w:val="18"/>
          <w:szCs w:val="18"/>
        </w:rPr>
      </w:pPr>
      <w:r w:rsidRPr="00CD029D">
        <w:rPr>
          <w:rStyle w:val="ab"/>
          <w:sz w:val="18"/>
          <w:szCs w:val="18"/>
        </w:rPr>
        <w:footnoteRef/>
      </w:r>
      <w:r w:rsidRPr="00CD029D">
        <w:rPr>
          <w:sz w:val="18"/>
          <w:szCs w:val="18"/>
        </w:rPr>
        <w:t xml:space="preserve"> Департамент финансов, экономики и имущественных отношений Чукотского автономного округа (далее – Департамент финансов) </w:t>
      </w:r>
    </w:p>
  </w:footnote>
  <w:footnote w:id="68">
    <w:p w:rsidR="00000E53" w:rsidRPr="00CD029D" w:rsidRDefault="00000E53" w:rsidP="009E26F4">
      <w:pPr>
        <w:pStyle w:val="a9"/>
        <w:ind w:firstLine="284"/>
        <w:jc w:val="both"/>
        <w:rPr>
          <w:sz w:val="18"/>
          <w:szCs w:val="18"/>
        </w:rPr>
      </w:pPr>
      <w:r w:rsidRPr="00CD029D">
        <w:rPr>
          <w:rStyle w:val="ab"/>
          <w:sz w:val="18"/>
          <w:szCs w:val="18"/>
        </w:rPr>
        <w:footnoteRef/>
      </w:r>
      <w:r w:rsidRPr="00CD029D">
        <w:rPr>
          <w:sz w:val="18"/>
          <w:szCs w:val="18"/>
        </w:rPr>
        <w:t> Департамент сельского хозяйства и продовольствия Чукотского автономного округа (далее – Департамент сельского хозяйства)</w:t>
      </w:r>
    </w:p>
  </w:footnote>
  <w:footnote w:id="69">
    <w:p w:rsidR="00000E53" w:rsidRPr="00CD029D" w:rsidRDefault="00000E53" w:rsidP="009E26F4">
      <w:pPr>
        <w:pStyle w:val="a9"/>
        <w:ind w:firstLine="284"/>
        <w:jc w:val="both"/>
        <w:rPr>
          <w:sz w:val="18"/>
          <w:szCs w:val="18"/>
        </w:rPr>
      </w:pPr>
      <w:r w:rsidRPr="00CD029D">
        <w:rPr>
          <w:rStyle w:val="ab"/>
          <w:sz w:val="18"/>
          <w:szCs w:val="18"/>
        </w:rPr>
        <w:footnoteRef/>
      </w:r>
      <w:r w:rsidRPr="00CD029D">
        <w:rPr>
          <w:sz w:val="18"/>
          <w:szCs w:val="18"/>
        </w:rPr>
        <w:t> </w:t>
      </w:r>
      <w:r w:rsidRPr="00CD029D">
        <w:rPr>
          <w:color w:val="000000"/>
          <w:sz w:val="18"/>
          <w:szCs w:val="18"/>
        </w:rPr>
        <w:t>Государственное казенное учреждение «Управление гражданской защиты и противопожарной службы Чукотского автономного округа» (далее – Управление гражданской защиты)</w:t>
      </w:r>
    </w:p>
  </w:footnote>
  <w:footnote w:id="70">
    <w:p w:rsidR="00000E53" w:rsidRPr="00CD029D" w:rsidRDefault="00000E53" w:rsidP="009E26F4">
      <w:pPr>
        <w:pStyle w:val="a9"/>
        <w:ind w:firstLine="284"/>
        <w:jc w:val="both"/>
        <w:rPr>
          <w:sz w:val="18"/>
          <w:szCs w:val="18"/>
        </w:rPr>
      </w:pPr>
      <w:r w:rsidRPr="00CD029D">
        <w:rPr>
          <w:rStyle w:val="ab"/>
          <w:sz w:val="18"/>
          <w:szCs w:val="18"/>
        </w:rPr>
        <w:footnoteRef/>
      </w:r>
      <w:r w:rsidRPr="00CD029D">
        <w:rPr>
          <w:sz w:val="18"/>
          <w:szCs w:val="18"/>
        </w:rPr>
        <w:t> </w:t>
      </w:r>
      <w:r w:rsidRPr="00CD029D">
        <w:rPr>
          <w:color w:val="000000"/>
          <w:sz w:val="18"/>
          <w:szCs w:val="18"/>
        </w:rPr>
        <w:t>Департамент культуры, спорта и туризма Чукотского автономного округа</w:t>
      </w:r>
      <w:r w:rsidRPr="00CD029D">
        <w:rPr>
          <w:sz w:val="18"/>
          <w:szCs w:val="18"/>
        </w:rPr>
        <w:t xml:space="preserve"> (далее – Департаментом культуры)</w:t>
      </w:r>
    </w:p>
  </w:footnote>
  <w:footnote w:id="71">
    <w:p w:rsidR="00000E53" w:rsidRPr="00BC3BDB" w:rsidRDefault="00000E53" w:rsidP="009E26F4">
      <w:pPr>
        <w:pStyle w:val="a9"/>
        <w:ind w:firstLine="284"/>
        <w:jc w:val="both"/>
        <w:rPr>
          <w:sz w:val="18"/>
          <w:szCs w:val="18"/>
        </w:rPr>
      </w:pPr>
      <w:r w:rsidRPr="00BC3BDB">
        <w:rPr>
          <w:rStyle w:val="ab"/>
          <w:sz w:val="18"/>
          <w:szCs w:val="18"/>
        </w:rPr>
        <w:footnoteRef/>
      </w:r>
      <w:r w:rsidRPr="00BC3BDB">
        <w:rPr>
          <w:sz w:val="18"/>
          <w:szCs w:val="18"/>
        </w:rPr>
        <w:t> Распоряжение Правительства Чукотского автономного округа от 13 сентября 2013 года №338-рп «Об утверждении Перечня государственных программ Чукотского автономного округа»</w:t>
      </w:r>
    </w:p>
  </w:footnote>
  <w:footnote w:id="72">
    <w:p w:rsidR="00000E53" w:rsidRPr="00211739" w:rsidRDefault="00000E53" w:rsidP="009E26F4">
      <w:pPr>
        <w:pStyle w:val="a9"/>
        <w:ind w:firstLine="284"/>
        <w:jc w:val="both"/>
        <w:rPr>
          <w:sz w:val="18"/>
          <w:szCs w:val="18"/>
        </w:rPr>
      </w:pPr>
      <w:r w:rsidRPr="00BC3BDB">
        <w:rPr>
          <w:rStyle w:val="ab"/>
          <w:sz w:val="18"/>
          <w:szCs w:val="18"/>
        </w:rPr>
        <w:footnoteRef/>
      </w:r>
      <w:r>
        <w:rPr>
          <w:sz w:val="18"/>
          <w:szCs w:val="18"/>
        </w:rPr>
        <w:t> </w:t>
      </w:r>
      <w:r w:rsidRPr="00BC3BDB">
        <w:rPr>
          <w:sz w:val="18"/>
          <w:szCs w:val="18"/>
        </w:rPr>
        <w:t>Государственные программы Чукотского автономного округа – далее Государственные программы</w:t>
      </w:r>
    </w:p>
  </w:footnote>
  <w:footnote w:id="73">
    <w:p w:rsidR="00000E53" w:rsidRPr="00E47E31" w:rsidRDefault="00000E53" w:rsidP="009E26F4">
      <w:pPr>
        <w:ind w:firstLine="284"/>
        <w:jc w:val="both"/>
        <w:rPr>
          <w:sz w:val="18"/>
          <w:szCs w:val="18"/>
        </w:rPr>
      </w:pPr>
      <w:r w:rsidRPr="00E47E31">
        <w:rPr>
          <w:rStyle w:val="ab"/>
          <w:sz w:val="18"/>
          <w:szCs w:val="18"/>
        </w:rPr>
        <w:footnoteRef/>
      </w:r>
      <w:r w:rsidRPr="00E47E31">
        <w:rPr>
          <w:sz w:val="18"/>
          <w:szCs w:val="18"/>
        </w:rPr>
        <w:t xml:space="preserve"> Порядок разработки, реализации и оценки эффективности государственных программ Чукотского автономного округа утвержден Постановлением Правительства Чукотского автономного округа от 10 сентября 2013 года №359 «Об утверждении Порядка разработки, реализации и оценки эффективности государственных программ Чукотского автономного округа» (далее – Порядок №359) </w:t>
      </w:r>
    </w:p>
  </w:footnote>
  <w:footnote w:id="74">
    <w:p w:rsidR="00000E53" w:rsidRPr="0083605F" w:rsidRDefault="00000E53" w:rsidP="009E26F4">
      <w:pPr>
        <w:autoSpaceDE w:val="0"/>
        <w:autoSpaceDN w:val="0"/>
        <w:adjustRightInd w:val="0"/>
        <w:ind w:firstLine="284"/>
        <w:jc w:val="both"/>
        <w:rPr>
          <w:sz w:val="18"/>
          <w:szCs w:val="18"/>
        </w:rPr>
      </w:pPr>
      <w:r w:rsidRPr="0083605F">
        <w:rPr>
          <w:rStyle w:val="ab"/>
          <w:sz w:val="18"/>
          <w:szCs w:val="18"/>
        </w:rPr>
        <w:footnoteRef/>
      </w:r>
      <w:r w:rsidRPr="0083605F">
        <w:rPr>
          <w:sz w:val="18"/>
          <w:szCs w:val="18"/>
        </w:rPr>
        <w:t> Постановление Правительства Чукотского автономного округа от 28 декабря 2011 года №568 «Об утверждении Порядка формирования и использования бюджетных ассигнований Дорожного фонда Чукотского автономного округа» (далее – Порядок использования бюджетных ассигнований дорожного фонда)</w:t>
      </w:r>
    </w:p>
  </w:footnote>
  <w:footnote w:id="75">
    <w:p w:rsidR="00000E53" w:rsidRPr="0083605F" w:rsidRDefault="00000E53" w:rsidP="009E26F4">
      <w:pPr>
        <w:pStyle w:val="a9"/>
        <w:ind w:firstLine="284"/>
        <w:jc w:val="both"/>
        <w:rPr>
          <w:sz w:val="18"/>
          <w:szCs w:val="18"/>
        </w:rPr>
      </w:pPr>
      <w:r w:rsidRPr="0083605F">
        <w:rPr>
          <w:rStyle w:val="ab"/>
          <w:sz w:val="18"/>
          <w:szCs w:val="18"/>
        </w:rPr>
        <w:footnoteRef/>
      </w:r>
      <w:r w:rsidRPr="0083605F">
        <w:rPr>
          <w:sz w:val="18"/>
          <w:szCs w:val="18"/>
        </w:rPr>
        <w:t xml:space="preserve"> Приказ Департамента финансов от 15 марта 2021 года №46 «Об утверждении формы отчета об использовании средств дорожного фонда Чукотского автономного округа» </w:t>
      </w:r>
    </w:p>
  </w:footnote>
  <w:footnote w:id="76">
    <w:p w:rsidR="00000E53" w:rsidRPr="000C013F" w:rsidRDefault="00000E53" w:rsidP="009E26F4">
      <w:pPr>
        <w:pStyle w:val="a9"/>
        <w:ind w:firstLine="284"/>
        <w:jc w:val="both"/>
        <w:rPr>
          <w:sz w:val="18"/>
          <w:szCs w:val="18"/>
        </w:rPr>
      </w:pPr>
      <w:r w:rsidRPr="009B653D">
        <w:rPr>
          <w:rStyle w:val="ab"/>
          <w:sz w:val="18"/>
          <w:szCs w:val="18"/>
        </w:rPr>
        <w:footnoteRef/>
      </w:r>
      <w:r w:rsidRPr="009B653D">
        <w:rPr>
          <w:sz w:val="18"/>
          <w:szCs w:val="18"/>
        </w:rPr>
        <w:t xml:space="preserve"> Постановление Правительства Чукотского автономного округа от 18 декабря 2001 года №187 «Об утверждении Положения о порядке </w:t>
      </w:r>
      <w:r w:rsidRPr="000C013F">
        <w:rPr>
          <w:sz w:val="18"/>
          <w:szCs w:val="18"/>
        </w:rPr>
        <w:t>расходования средств резервного фонда Правительства Чукотского автономного округа на непредвиденные расходы» (далее – Положение о резервном фонде)</w:t>
      </w:r>
    </w:p>
  </w:footnote>
  <w:footnote w:id="77">
    <w:p w:rsidR="00000E53" w:rsidRPr="002A6A6A" w:rsidRDefault="00000E53" w:rsidP="009E26F4">
      <w:pPr>
        <w:pStyle w:val="a9"/>
        <w:ind w:firstLine="284"/>
        <w:jc w:val="both"/>
      </w:pPr>
      <w:r w:rsidRPr="002A6A6A">
        <w:rPr>
          <w:rStyle w:val="ab"/>
        </w:rPr>
        <w:footnoteRef/>
      </w:r>
      <w:r w:rsidRPr="002A6A6A">
        <w:t> Постановление Правительства Чукотского автономного округа от 12 марта 2015 года №167 «Об утверждении порядка предоставления, использования и возврата муниципальными образованиями бюджетных кредитов, полученных из окружного бюджета»</w:t>
      </w:r>
    </w:p>
  </w:footnote>
  <w:footnote w:id="78">
    <w:p w:rsidR="00000E53" w:rsidRPr="00F61BE8" w:rsidRDefault="00000E53" w:rsidP="009E26F4">
      <w:pPr>
        <w:pStyle w:val="a9"/>
        <w:ind w:firstLine="284"/>
        <w:jc w:val="both"/>
        <w:rPr>
          <w:sz w:val="18"/>
          <w:szCs w:val="18"/>
        </w:rPr>
      </w:pPr>
      <w:r w:rsidRPr="00F61BE8">
        <w:rPr>
          <w:rStyle w:val="ab"/>
          <w:sz w:val="18"/>
          <w:szCs w:val="18"/>
        </w:rPr>
        <w:footnoteRef/>
      </w:r>
      <w:r w:rsidRPr="00F61BE8">
        <w:rPr>
          <w:sz w:val="18"/>
          <w:szCs w:val="18"/>
        </w:rPr>
        <w:t> Кредитный договор с Акционерным банком «Империал» от 26 февраля 1998 года №8-81-012</w:t>
      </w:r>
    </w:p>
  </w:footnote>
  <w:footnote w:id="79">
    <w:p w:rsidR="00000E53" w:rsidRPr="00F61BE8" w:rsidRDefault="00000E53" w:rsidP="009E26F4">
      <w:pPr>
        <w:pStyle w:val="a9"/>
        <w:tabs>
          <w:tab w:val="left" w:pos="426"/>
          <w:tab w:val="left" w:pos="993"/>
        </w:tabs>
        <w:ind w:firstLine="284"/>
        <w:jc w:val="both"/>
        <w:rPr>
          <w:sz w:val="18"/>
          <w:szCs w:val="18"/>
        </w:rPr>
      </w:pPr>
      <w:r w:rsidRPr="00F61BE8">
        <w:rPr>
          <w:rStyle w:val="ab"/>
          <w:sz w:val="18"/>
          <w:szCs w:val="18"/>
        </w:rPr>
        <w:footnoteRef/>
      </w:r>
      <w:r w:rsidRPr="00F61BE8">
        <w:rPr>
          <w:sz w:val="18"/>
          <w:szCs w:val="18"/>
        </w:rPr>
        <w:t>Мировое соглашение между Правительством Чукотского автономного округа и ОАО «</w:t>
      </w:r>
      <w:proofErr w:type="spellStart"/>
      <w:r w:rsidRPr="00F61BE8">
        <w:rPr>
          <w:sz w:val="18"/>
          <w:szCs w:val="18"/>
        </w:rPr>
        <w:t>Зарубежнефть</w:t>
      </w:r>
      <w:proofErr w:type="spellEnd"/>
      <w:r w:rsidRPr="00F61BE8">
        <w:rPr>
          <w:sz w:val="18"/>
          <w:szCs w:val="18"/>
        </w:rPr>
        <w:t xml:space="preserve">» от 4 октября 2005 года по делу №А40-2421/00-58-28 </w:t>
      </w:r>
    </w:p>
  </w:footnote>
  <w:footnote w:id="80">
    <w:p w:rsidR="00000E53" w:rsidRPr="00CD78B5" w:rsidRDefault="00000E53" w:rsidP="009E26F4">
      <w:pPr>
        <w:pStyle w:val="a9"/>
        <w:ind w:firstLine="284"/>
        <w:jc w:val="both"/>
      </w:pPr>
      <w:r w:rsidRPr="009F4020">
        <w:rPr>
          <w:rStyle w:val="ab"/>
        </w:rPr>
        <w:footnoteRef/>
      </w:r>
      <w:r w:rsidRPr="009F4020">
        <w:t> Соглашение с АО «</w:t>
      </w:r>
      <w:proofErr w:type="spellStart"/>
      <w:r w:rsidRPr="009F4020">
        <w:t>Дальэнергомост</w:t>
      </w:r>
      <w:proofErr w:type="spellEnd"/>
      <w:r w:rsidRPr="009F4020">
        <w:t>» от 24 декабря 2018 года</w:t>
      </w:r>
      <w:r w:rsidRPr="00CD78B5">
        <w:t xml:space="preserve"> </w:t>
      </w:r>
    </w:p>
  </w:footnote>
  <w:footnote w:id="81">
    <w:p w:rsidR="00000E53" w:rsidRPr="005B70BE" w:rsidRDefault="00000E53" w:rsidP="00191861">
      <w:pPr>
        <w:pStyle w:val="a9"/>
        <w:ind w:firstLine="284"/>
        <w:jc w:val="both"/>
        <w:rPr>
          <w:sz w:val="18"/>
          <w:szCs w:val="18"/>
        </w:rPr>
      </w:pPr>
      <w:r w:rsidRPr="005B70BE">
        <w:rPr>
          <w:rStyle w:val="ab"/>
          <w:sz w:val="18"/>
          <w:szCs w:val="18"/>
        </w:rPr>
        <w:footnoteRef/>
      </w:r>
      <w:r>
        <w:rPr>
          <w:sz w:val="18"/>
          <w:szCs w:val="18"/>
        </w:rPr>
        <w:t> </w:t>
      </w:r>
      <w:r w:rsidRPr="00537728">
        <w:rPr>
          <w:sz w:val="18"/>
          <w:szCs w:val="18"/>
        </w:rPr>
        <w:t xml:space="preserve">Закон Чукотского автономного округа от </w:t>
      </w:r>
      <w:r>
        <w:rPr>
          <w:sz w:val="18"/>
          <w:szCs w:val="18"/>
        </w:rPr>
        <w:t>16</w:t>
      </w:r>
      <w:r w:rsidRPr="00537728">
        <w:rPr>
          <w:sz w:val="18"/>
          <w:szCs w:val="18"/>
        </w:rPr>
        <w:t xml:space="preserve"> декабря 20</w:t>
      </w:r>
      <w:r>
        <w:rPr>
          <w:sz w:val="18"/>
          <w:szCs w:val="18"/>
        </w:rPr>
        <w:t>20</w:t>
      </w:r>
      <w:r w:rsidRPr="00537728">
        <w:rPr>
          <w:sz w:val="18"/>
          <w:szCs w:val="18"/>
        </w:rPr>
        <w:t xml:space="preserve"> года №</w:t>
      </w:r>
      <w:r>
        <w:rPr>
          <w:sz w:val="18"/>
          <w:szCs w:val="18"/>
        </w:rPr>
        <w:t>74</w:t>
      </w:r>
      <w:r w:rsidRPr="00537728">
        <w:rPr>
          <w:sz w:val="18"/>
          <w:szCs w:val="18"/>
        </w:rPr>
        <w:t>-ОЗ «Об окружном бюджете на 20</w:t>
      </w:r>
      <w:r>
        <w:rPr>
          <w:sz w:val="18"/>
          <w:szCs w:val="18"/>
        </w:rPr>
        <w:t>21</w:t>
      </w:r>
      <w:r w:rsidRPr="00537728">
        <w:rPr>
          <w:sz w:val="18"/>
          <w:szCs w:val="18"/>
        </w:rPr>
        <w:t xml:space="preserve"> год и плановый период 202</w:t>
      </w:r>
      <w:r>
        <w:rPr>
          <w:sz w:val="18"/>
          <w:szCs w:val="18"/>
        </w:rPr>
        <w:t>2</w:t>
      </w:r>
      <w:r w:rsidRPr="00537728">
        <w:rPr>
          <w:sz w:val="18"/>
          <w:szCs w:val="18"/>
        </w:rPr>
        <w:t xml:space="preserve"> и 202</w:t>
      </w:r>
      <w:r>
        <w:rPr>
          <w:sz w:val="18"/>
          <w:szCs w:val="18"/>
        </w:rPr>
        <w:t>3</w:t>
      </w:r>
      <w:r w:rsidRPr="00537728">
        <w:rPr>
          <w:sz w:val="18"/>
          <w:szCs w:val="18"/>
        </w:rPr>
        <w:t xml:space="preserve"> годов» </w:t>
      </w:r>
      <w:r>
        <w:rPr>
          <w:sz w:val="18"/>
          <w:szCs w:val="18"/>
        </w:rPr>
        <w:t xml:space="preserve">в редакции от 9 декабря 2021 года №75-ОЗ </w:t>
      </w:r>
    </w:p>
  </w:footnote>
  <w:footnote w:id="82">
    <w:p w:rsidR="00000E53" w:rsidRPr="0017050E" w:rsidRDefault="00000E53" w:rsidP="00191861">
      <w:pPr>
        <w:pStyle w:val="a9"/>
        <w:jc w:val="both"/>
        <w:rPr>
          <w:sz w:val="16"/>
          <w:szCs w:val="16"/>
        </w:rPr>
      </w:pPr>
      <w:r>
        <w:rPr>
          <w:rStyle w:val="ab"/>
        </w:rPr>
        <w:footnoteRef/>
      </w:r>
      <w:r>
        <w:t xml:space="preserve"> </w:t>
      </w:r>
      <w:r w:rsidRPr="0017050E">
        <w:rPr>
          <w:sz w:val="16"/>
          <w:szCs w:val="16"/>
        </w:rPr>
        <w:t>государственны</w:t>
      </w:r>
      <w:r>
        <w:rPr>
          <w:sz w:val="16"/>
          <w:szCs w:val="16"/>
        </w:rPr>
        <w:t>е</w:t>
      </w:r>
      <w:r w:rsidRPr="0017050E">
        <w:rPr>
          <w:sz w:val="16"/>
          <w:szCs w:val="16"/>
        </w:rPr>
        <w:t xml:space="preserve"> контракт</w:t>
      </w:r>
      <w:r>
        <w:rPr>
          <w:sz w:val="16"/>
          <w:szCs w:val="16"/>
        </w:rPr>
        <w:t>ы,</w:t>
      </w:r>
      <w:r w:rsidRPr="0017050E">
        <w:rPr>
          <w:sz w:val="16"/>
          <w:szCs w:val="16"/>
        </w:rPr>
        <w:t xml:space="preserve"> заключенны</w:t>
      </w:r>
      <w:r>
        <w:rPr>
          <w:sz w:val="16"/>
          <w:szCs w:val="16"/>
        </w:rPr>
        <w:t>е</w:t>
      </w:r>
      <w:r w:rsidRPr="0017050E">
        <w:rPr>
          <w:sz w:val="16"/>
          <w:szCs w:val="16"/>
        </w:rPr>
        <w:t xml:space="preserve"> в рамках государственных программ для обеспечения государственных нужд на срок, не превышающий  срок действия утвержденных лимитов бюджетных обязательств (до двух лет с момента заключения)  и на срок, превышающий  срок действия утвержденных лимитов бюджетных обязательств (свыше двух лет с момента заключения)</w:t>
      </w:r>
      <w:r>
        <w:rPr>
          <w:sz w:val="16"/>
          <w:szCs w:val="16"/>
        </w:rPr>
        <w:t xml:space="preserve"> – далее по тексту – государственные контракты</w:t>
      </w:r>
    </w:p>
  </w:footnote>
  <w:footnote w:id="83">
    <w:p w:rsidR="00000E53" w:rsidRPr="00B865D3" w:rsidRDefault="00000E53" w:rsidP="00191861">
      <w:pPr>
        <w:pStyle w:val="a9"/>
        <w:jc w:val="both"/>
        <w:rPr>
          <w:sz w:val="16"/>
          <w:szCs w:val="16"/>
        </w:rPr>
      </w:pPr>
      <w:r w:rsidRPr="00B865D3">
        <w:rPr>
          <w:rStyle w:val="ab"/>
          <w:sz w:val="16"/>
          <w:szCs w:val="16"/>
        </w:rPr>
        <w:footnoteRef/>
      </w:r>
      <w:r w:rsidRPr="00B865D3">
        <w:rPr>
          <w:sz w:val="16"/>
          <w:szCs w:val="16"/>
        </w:rPr>
        <w:t xml:space="preserve"> - утвержден Распоряжением Правительства Чукотского автономного округа от 13</w:t>
      </w:r>
      <w:r>
        <w:rPr>
          <w:sz w:val="16"/>
          <w:szCs w:val="16"/>
        </w:rPr>
        <w:t>.09.</w:t>
      </w:r>
      <w:r w:rsidRPr="00B865D3">
        <w:rPr>
          <w:sz w:val="16"/>
          <w:szCs w:val="16"/>
        </w:rPr>
        <w:t>2013</w:t>
      </w:r>
      <w:r>
        <w:rPr>
          <w:sz w:val="16"/>
          <w:szCs w:val="16"/>
        </w:rPr>
        <w:t>г.</w:t>
      </w:r>
      <w:r w:rsidRPr="00B865D3">
        <w:rPr>
          <w:sz w:val="16"/>
          <w:szCs w:val="16"/>
        </w:rPr>
        <w:t xml:space="preserve"> №338-рп (далее – Распоряжение №338-рп);</w:t>
      </w:r>
    </w:p>
  </w:footnote>
  <w:footnote w:id="84">
    <w:p w:rsidR="00000E53" w:rsidRPr="00B865D3" w:rsidRDefault="00000E53" w:rsidP="00191861">
      <w:pPr>
        <w:pStyle w:val="a9"/>
        <w:tabs>
          <w:tab w:val="left" w:pos="0"/>
        </w:tabs>
        <w:jc w:val="both"/>
        <w:rPr>
          <w:sz w:val="16"/>
          <w:szCs w:val="16"/>
        </w:rPr>
      </w:pPr>
      <w:r w:rsidRPr="00B865D3">
        <w:rPr>
          <w:rStyle w:val="ab"/>
          <w:sz w:val="16"/>
          <w:szCs w:val="16"/>
        </w:rPr>
        <w:footnoteRef/>
      </w:r>
      <w:r w:rsidRPr="00B865D3">
        <w:rPr>
          <w:sz w:val="16"/>
          <w:szCs w:val="16"/>
        </w:rPr>
        <w:t xml:space="preserve"> Постановлением Правительства Чукотского автономного округа от 10 сентября 2013 года №359 «Об утверждении порядка разработки, реализации и оценки эффективности государственных программ Чукотского автономного округа» (далее – Порядок №359);</w:t>
      </w:r>
    </w:p>
  </w:footnote>
  <w:footnote w:id="85">
    <w:p w:rsidR="00000E53" w:rsidRPr="00BB0299" w:rsidRDefault="00000E53" w:rsidP="00191861">
      <w:pPr>
        <w:tabs>
          <w:tab w:val="left" w:pos="0"/>
        </w:tabs>
        <w:jc w:val="both"/>
        <w:rPr>
          <w:rFonts w:eastAsia="Calibri"/>
          <w:bCs/>
          <w:i/>
          <w:iCs/>
          <w:sz w:val="16"/>
          <w:szCs w:val="16"/>
        </w:rPr>
      </w:pPr>
      <w:r w:rsidRPr="00BB0299">
        <w:rPr>
          <w:rStyle w:val="ab"/>
          <w:sz w:val="16"/>
          <w:szCs w:val="16"/>
        </w:rPr>
        <w:footnoteRef/>
      </w:r>
      <w:r w:rsidRPr="00BB0299">
        <w:rPr>
          <w:sz w:val="16"/>
          <w:szCs w:val="16"/>
        </w:rPr>
        <w:t xml:space="preserve"> Отчет Счетной палаты по результатам контрольного мероприятия «Проверка использования бюджетных средств, предоставленных в 2020 году на реализацию Ведомственной целевой программы «Дорожная деятельность в отношении автомобильных дорог общего пользования регионального значения Чукотского автономного округа в части проектирования, содержания, ремонта и капитального ремонта» Государственной программы «Развитие транспортной инфраструктуры Чукотского автономного округа» </w:t>
      </w:r>
      <w:r w:rsidRPr="00BB0299">
        <w:rPr>
          <w:rFonts w:eastAsia="Calibri"/>
          <w:bCs/>
          <w:iCs/>
          <w:sz w:val="16"/>
          <w:szCs w:val="16"/>
        </w:rPr>
        <w:t>(утвержден решением Коллегии Счетной палаты Чукотского автономного округа, протокол от 31 марта 2021 года №5).</w:t>
      </w:r>
    </w:p>
    <w:p w:rsidR="00000E53" w:rsidRPr="000D09CC" w:rsidRDefault="00000E53" w:rsidP="00191861">
      <w:pPr>
        <w:tabs>
          <w:tab w:val="left" w:pos="0"/>
        </w:tabs>
        <w:ind w:firstLine="709"/>
        <w:jc w:val="both"/>
        <w:rPr>
          <w:sz w:val="16"/>
          <w:szCs w:val="16"/>
        </w:rPr>
      </w:pPr>
    </w:p>
    <w:p w:rsidR="00000E53" w:rsidRDefault="00000E53" w:rsidP="00191861">
      <w:pPr>
        <w:pStyle w:val="a9"/>
      </w:pPr>
    </w:p>
  </w:footnote>
  <w:footnote w:id="86">
    <w:p w:rsidR="00000E53" w:rsidRPr="00780AE4" w:rsidRDefault="00000E53" w:rsidP="00191861">
      <w:pPr>
        <w:pStyle w:val="a9"/>
        <w:jc w:val="both"/>
        <w:rPr>
          <w:sz w:val="18"/>
          <w:szCs w:val="18"/>
        </w:rPr>
      </w:pPr>
      <w:r w:rsidRPr="00780AE4">
        <w:rPr>
          <w:rStyle w:val="ab"/>
          <w:sz w:val="18"/>
          <w:szCs w:val="18"/>
        </w:rPr>
        <w:footnoteRef/>
      </w:r>
      <w:r w:rsidRPr="00780AE4">
        <w:rPr>
          <w:sz w:val="18"/>
          <w:szCs w:val="18"/>
        </w:rPr>
        <w:t xml:space="preserve"> </w:t>
      </w:r>
      <w:r w:rsidRPr="00780AE4">
        <w:rPr>
          <w:bCs/>
          <w:color w:val="000000"/>
          <w:sz w:val="18"/>
          <w:szCs w:val="18"/>
        </w:rPr>
        <w:t xml:space="preserve">Закон Чукотского автономного округа от </w:t>
      </w:r>
      <w:r>
        <w:rPr>
          <w:bCs/>
          <w:color w:val="000000"/>
          <w:sz w:val="18"/>
          <w:szCs w:val="18"/>
        </w:rPr>
        <w:t>16</w:t>
      </w:r>
      <w:r w:rsidRPr="00780AE4">
        <w:rPr>
          <w:bCs/>
          <w:color w:val="000000"/>
          <w:sz w:val="18"/>
          <w:szCs w:val="18"/>
        </w:rPr>
        <w:t>.12.20</w:t>
      </w:r>
      <w:r>
        <w:rPr>
          <w:bCs/>
          <w:color w:val="000000"/>
          <w:sz w:val="18"/>
          <w:szCs w:val="18"/>
        </w:rPr>
        <w:t>20</w:t>
      </w:r>
      <w:r w:rsidRPr="00780AE4">
        <w:rPr>
          <w:bCs/>
          <w:color w:val="000000"/>
          <w:sz w:val="18"/>
          <w:szCs w:val="18"/>
        </w:rPr>
        <w:t> №</w:t>
      </w:r>
      <w:r>
        <w:rPr>
          <w:bCs/>
          <w:color w:val="000000"/>
          <w:sz w:val="18"/>
          <w:szCs w:val="18"/>
        </w:rPr>
        <w:t xml:space="preserve"> 74</w:t>
      </w:r>
      <w:r w:rsidRPr="00780AE4">
        <w:rPr>
          <w:bCs/>
          <w:color w:val="000000"/>
          <w:sz w:val="18"/>
          <w:szCs w:val="18"/>
        </w:rPr>
        <w:t>-ОЗ «Об окружном бюджете на 202</w:t>
      </w:r>
      <w:r>
        <w:rPr>
          <w:bCs/>
          <w:color w:val="000000"/>
          <w:sz w:val="18"/>
          <w:szCs w:val="18"/>
        </w:rPr>
        <w:t>1</w:t>
      </w:r>
      <w:r w:rsidRPr="00780AE4">
        <w:rPr>
          <w:bCs/>
          <w:color w:val="000000"/>
          <w:sz w:val="18"/>
          <w:szCs w:val="18"/>
        </w:rPr>
        <w:t xml:space="preserve"> год и на плановый период 202</w:t>
      </w:r>
      <w:r>
        <w:rPr>
          <w:bCs/>
          <w:color w:val="000000"/>
          <w:sz w:val="18"/>
          <w:szCs w:val="18"/>
        </w:rPr>
        <w:t>2</w:t>
      </w:r>
      <w:r w:rsidRPr="00780AE4">
        <w:rPr>
          <w:bCs/>
          <w:color w:val="000000"/>
          <w:sz w:val="18"/>
          <w:szCs w:val="18"/>
        </w:rPr>
        <w:t xml:space="preserve"> и 202</w:t>
      </w:r>
      <w:r>
        <w:rPr>
          <w:bCs/>
          <w:color w:val="000000"/>
          <w:sz w:val="18"/>
          <w:szCs w:val="18"/>
        </w:rPr>
        <w:t>3</w:t>
      </w:r>
      <w:r w:rsidRPr="00780AE4">
        <w:rPr>
          <w:bCs/>
          <w:color w:val="000000"/>
          <w:sz w:val="18"/>
          <w:szCs w:val="18"/>
        </w:rPr>
        <w:t xml:space="preserve"> годов» (далее – Закон №</w:t>
      </w:r>
      <w:r>
        <w:rPr>
          <w:bCs/>
          <w:color w:val="000000"/>
          <w:sz w:val="18"/>
          <w:szCs w:val="18"/>
        </w:rPr>
        <w:t xml:space="preserve"> 74</w:t>
      </w:r>
      <w:r w:rsidRPr="00780AE4">
        <w:rPr>
          <w:bCs/>
          <w:color w:val="000000"/>
          <w:sz w:val="18"/>
          <w:szCs w:val="18"/>
        </w:rPr>
        <w:t>-ОЗ, Закон об окружном бюджете на 202</w:t>
      </w:r>
      <w:r>
        <w:rPr>
          <w:bCs/>
          <w:color w:val="000000"/>
          <w:sz w:val="18"/>
          <w:szCs w:val="18"/>
        </w:rPr>
        <w:t>1</w:t>
      </w:r>
      <w:r w:rsidRPr="00780AE4">
        <w:rPr>
          <w:bCs/>
          <w:color w:val="000000"/>
          <w:sz w:val="18"/>
          <w:szCs w:val="18"/>
        </w:rPr>
        <w:t xml:space="preserve"> год)</w:t>
      </w:r>
    </w:p>
  </w:footnote>
  <w:footnote w:id="87">
    <w:p w:rsidR="00000E53" w:rsidRPr="009E24ED" w:rsidRDefault="00000E53" w:rsidP="00191861">
      <w:pPr>
        <w:pStyle w:val="a9"/>
        <w:rPr>
          <w:sz w:val="18"/>
          <w:szCs w:val="18"/>
        </w:rPr>
      </w:pPr>
      <w:r w:rsidRPr="009E24ED">
        <w:rPr>
          <w:rStyle w:val="ab"/>
          <w:sz w:val="18"/>
          <w:szCs w:val="18"/>
        </w:rPr>
        <w:footnoteRef/>
      </w:r>
      <w:r w:rsidRPr="009E24ED">
        <w:rPr>
          <w:sz w:val="18"/>
          <w:szCs w:val="18"/>
        </w:rPr>
        <w:t xml:space="preserve"> Сумма авансовых платежей по мероприятиям госпрограмм по состоянию на 1 января 2022 года</w:t>
      </w:r>
    </w:p>
  </w:footnote>
  <w:footnote w:id="88">
    <w:p w:rsidR="00000E53" w:rsidRPr="00DE551E" w:rsidRDefault="00000E53" w:rsidP="00191861">
      <w:pPr>
        <w:contextualSpacing/>
        <w:jc w:val="both"/>
        <w:rPr>
          <w:sz w:val="16"/>
          <w:szCs w:val="16"/>
        </w:rPr>
      </w:pPr>
      <w:r w:rsidRPr="00DE551E">
        <w:rPr>
          <w:rStyle w:val="ab"/>
          <w:sz w:val="16"/>
          <w:szCs w:val="16"/>
        </w:rPr>
        <w:footnoteRef/>
      </w:r>
      <w:r w:rsidRPr="00DE551E">
        <w:rPr>
          <w:sz w:val="16"/>
          <w:szCs w:val="16"/>
        </w:rPr>
        <w:t xml:space="preserve"> </w:t>
      </w:r>
      <w:r w:rsidRPr="00DE551E">
        <w:rPr>
          <w:color w:val="000000"/>
          <w:sz w:val="16"/>
          <w:szCs w:val="16"/>
        </w:rPr>
        <w:t>В ходе экспертно-аналитического мероприятия анализировались данные фактического выполнения мероприятий государственных программ, установленные Счетной палатой на основании представленной ответственными исполнителями информации и бюджетной отчетности за 2021 год;</w:t>
      </w:r>
    </w:p>
  </w:footnote>
  <w:footnote w:id="89">
    <w:p w:rsidR="00000E53" w:rsidRPr="00DE551E" w:rsidRDefault="00000E53" w:rsidP="00191861">
      <w:pPr>
        <w:pStyle w:val="a9"/>
        <w:rPr>
          <w:sz w:val="16"/>
          <w:szCs w:val="16"/>
        </w:rPr>
      </w:pPr>
      <w:r w:rsidRPr="00DE551E">
        <w:rPr>
          <w:rStyle w:val="ab"/>
          <w:sz w:val="16"/>
          <w:szCs w:val="16"/>
        </w:rPr>
        <w:footnoteRef/>
      </w:r>
      <w:r w:rsidRPr="00DE551E">
        <w:rPr>
          <w:sz w:val="16"/>
          <w:szCs w:val="16"/>
        </w:rPr>
        <w:t xml:space="preserve"> </w:t>
      </w:r>
      <w:r w:rsidRPr="00DE551E">
        <w:rPr>
          <w:color w:val="000000"/>
          <w:sz w:val="16"/>
          <w:szCs w:val="16"/>
        </w:rPr>
        <w:t>без учета прочих внебюджетных источников финансирования.</w:t>
      </w:r>
    </w:p>
  </w:footnote>
  <w:footnote w:id="90">
    <w:p w:rsidR="00000E53" w:rsidRPr="00CA42B4" w:rsidRDefault="00000E53" w:rsidP="00191861">
      <w:pPr>
        <w:pStyle w:val="a9"/>
        <w:jc w:val="both"/>
        <w:rPr>
          <w:sz w:val="16"/>
          <w:szCs w:val="16"/>
        </w:rPr>
      </w:pPr>
      <w:r w:rsidRPr="00CA42B4">
        <w:rPr>
          <w:rStyle w:val="ab"/>
          <w:sz w:val="16"/>
          <w:szCs w:val="16"/>
        </w:rPr>
        <w:footnoteRef/>
      </w:r>
      <w:r w:rsidRPr="00CA42B4">
        <w:rPr>
          <w:sz w:val="16"/>
          <w:szCs w:val="16"/>
        </w:rPr>
        <w:t xml:space="preserve"> </w:t>
      </w:r>
      <w:r>
        <w:rPr>
          <w:sz w:val="16"/>
          <w:szCs w:val="16"/>
        </w:rPr>
        <w:t>- р</w:t>
      </w:r>
      <w:r w:rsidRPr="00CA42B4">
        <w:rPr>
          <w:sz w:val="16"/>
          <w:szCs w:val="16"/>
        </w:rPr>
        <w:t>егиональные проекты Чукотского автономного округа реализуются в рамках проведения отдельных мероприятий национальных проектов, разработанных на федеральном уровне в соответствии с Указом Президента Российской Федерации от 7 мая 2018 года №204 «О</w:t>
      </w:r>
      <w:r>
        <w:rPr>
          <w:sz w:val="16"/>
          <w:szCs w:val="16"/>
        </w:rPr>
        <w:t> </w:t>
      </w:r>
      <w:r w:rsidRPr="00CA42B4">
        <w:rPr>
          <w:sz w:val="16"/>
          <w:szCs w:val="16"/>
        </w:rPr>
        <w:t>национальных целях и стратегических задачах развития Российской Федерации на период до 2024 года»</w:t>
      </w:r>
    </w:p>
  </w:footnote>
  <w:footnote w:id="91">
    <w:p w:rsidR="00000E53" w:rsidRPr="00875800" w:rsidRDefault="00000E53" w:rsidP="00191861">
      <w:pPr>
        <w:pStyle w:val="a9"/>
        <w:rPr>
          <w:sz w:val="18"/>
          <w:szCs w:val="16"/>
        </w:rPr>
      </w:pPr>
      <w:r>
        <w:rPr>
          <w:rStyle w:val="ab"/>
        </w:rPr>
        <w:footnoteRef/>
      </w:r>
      <w:r>
        <w:t xml:space="preserve"> </w:t>
      </w:r>
      <w:r w:rsidRPr="00875800">
        <w:t xml:space="preserve">- </w:t>
      </w:r>
      <w:r w:rsidRPr="00875800">
        <w:rPr>
          <w:sz w:val="18"/>
          <w:szCs w:val="16"/>
        </w:rPr>
        <w:t xml:space="preserve">утверждена Постановлением </w:t>
      </w:r>
      <w:r w:rsidRPr="00875800">
        <w:rPr>
          <w:sz w:val="18"/>
          <w:szCs w:val="18"/>
        </w:rPr>
        <w:t>Правительства Чукотского автономного округа от 30 марта</w:t>
      </w:r>
      <w:r w:rsidRPr="00875800">
        <w:rPr>
          <w:sz w:val="18"/>
          <w:szCs w:val="16"/>
        </w:rPr>
        <w:t xml:space="preserve"> 2016 года №151</w:t>
      </w:r>
    </w:p>
  </w:footnote>
  <w:footnote w:id="92">
    <w:p w:rsidR="00000E53" w:rsidRPr="005B0A29" w:rsidRDefault="00000E53" w:rsidP="00191861">
      <w:pPr>
        <w:pStyle w:val="a9"/>
        <w:rPr>
          <w:sz w:val="18"/>
          <w:szCs w:val="18"/>
        </w:rPr>
      </w:pPr>
      <w:r w:rsidRPr="005B0A29">
        <w:rPr>
          <w:rStyle w:val="ab"/>
          <w:sz w:val="18"/>
          <w:szCs w:val="18"/>
        </w:rPr>
        <w:footnoteRef/>
      </w:r>
      <w:r w:rsidRPr="005B0A29">
        <w:rPr>
          <w:sz w:val="18"/>
          <w:szCs w:val="18"/>
        </w:rPr>
        <w:t xml:space="preserve"> - далее </w:t>
      </w:r>
      <w:r w:rsidRPr="005B0A29">
        <w:rPr>
          <w:color w:val="000000"/>
          <w:sz w:val="18"/>
          <w:szCs w:val="18"/>
        </w:rPr>
        <w:t>ГКУ «УКС ЧАО»</w:t>
      </w:r>
      <w:r>
        <w:rPr>
          <w:color w:val="000000"/>
          <w:sz w:val="18"/>
          <w:szCs w:val="18"/>
        </w:rPr>
        <w:t>;</w:t>
      </w:r>
    </w:p>
  </w:footnote>
  <w:footnote w:id="93">
    <w:p w:rsidR="00000E53" w:rsidRPr="00935412" w:rsidRDefault="00000E53" w:rsidP="00191861">
      <w:pPr>
        <w:pStyle w:val="a9"/>
        <w:rPr>
          <w:sz w:val="18"/>
          <w:szCs w:val="18"/>
        </w:rPr>
      </w:pPr>
      <w:r w:rsidRPr="00935412">
        <w:rPr>
          <w:rStyle w:val="ab"/>
          <w:sz w:val="18"/>
          <w:szCs w:val="18"/>
        </w:rPr>
        <w:footnoteRef/>
      </w:r>
      <w:r w:rsidRPr="00935412">
        <w:rPr>
          <w:sz w:val="18"/>
          <w:szCs w:val="18"/>
        </w:rPr>
        <w:t xml:space="preserve"> - утверждена Постановлением Правительства Чукотского автономного округа от 21 октября 2013 года №404</w:t>
      </w:r>
      <w:r w:rsidRPr="00585FF6">
        <w:rPr>
          <w:rFonts w:eastAsia="Calibri"/>
          <w:sz w:val="18"/>
          <w:szCs w:val="18"/>
        </w:rPr>
        <w:t>;</w:t>
      </w:r>
    </w:p>
  </w:footnote>
  <w:footnote w:id="94">
    <w:p w:rsidR="00000E53" w:rsidRPr="00585FF6" w:rsidRDefault="00000E53" w:rsidP="00191861">
      <w:pPr>
        <w:pStyle w:val="a9"/>
        <w:rPr>
          <w:sz w:val="18"/>
          <w:szCs w:val="18"/>
        </w:rPr>
      </w:pPr>
      <w:r w:rsidRPr="00585FF6">
        <w:rPr>
          <w:rStyle w:val="ab"/>
          <w:sz w:val="18"/>
          <w:szCs w:val="18"/>
        </w:rPr>
        <w:footnoteRef/>
      </w:r>
      <w:r w:rsidRPr="00585FF6">
        <w:rPr>
          <w:sz w:val="18"/>
          <w:szCs w:val="18"/>
        </w:rPr>
        <w:t xml:space="preserve"> - </w:t>
      </w:r>
      <w:r w:rsidRPr="00585FF6">
        <w:rPr>
          <w:rFonts w:eastAsia="Calibri"/>
          <w:sz w:val="18"/>
          <w:szCs w:val="18"/>
        </w:rPr>
        <w:t xml:space="preserve">утверждена Постановлением Правительства </w:t>
      </w:r>
      <w:r w:rsidRPr="00585FF6">
        <w:rPr>
          <w:sz w:val="18"/>
          <w:szCs w:val="18"/>
        </w:rPr>
        <w:t>Чукотского автономного округа</w:t>
      </w:r>
      <w:r w:rsidRPr="00585FF6">
        <w:rPr>
          <w:rFonts w:eastAsia="Calibri"/>
          <w:sz w:val="18"/>
          <w:szCs w:val="18"/>
        </w:rPr>
        <w:t xml:space="preserve"> от 21 октября 2013 года №410</w:t>
      </w:r>
    </w:p>
  </w:footnote>
  <w:footnote w:id="95">
    <w:p w:rsidR="00000E53" w:rsidRPr="00585FF6" w:rsidRDefault="00000E53" w:rsidP="00191861">
      <w:pPr>
        <w:pStyle w:val="a9"/>
        <w:rPr>
          <w:sz w:val="18"/>
          <w:szCs w:val="18"/>
        </w:rPr>
      </w:pPr>
      <w:r w:rsidRPr="00585FF6">
        <w:rPr>
          <w:rStyle w:val="ab"/>
          <w:sz w:val="18"/>
          <w:szCs w:val="18"/>
        </w:rPr>
        <w:footnoteRef/>
      </w:r>
      <w:r w:rsidRPr="00585FF6">
        <w:rPr>
          <w:sz w:val="18"/>
          <w:szCs w:val="18"/>
        </w:rPr>
        <w:t xml:space="preserve"> - </w:t>
      </w:r>
      <w:r w:rsidRPr="00585FF6">
        <w:rPr>
          <w:rFonts w:eastAsia="Calibri"/>
          <w:sz w:val="18"/>
          <w:szCs w:val="18"/>
        </w:rPr>
        <w:t>утверждена Указом Президента Российской Федерации от 22 июня 2006 года №637</w:t>
      </w:r>
      <w:r>
        <w:rPr>
          <w:rFonts w:eastAsia="Calibri"/>
          <w:sz w:val="18"/>
          <w:szCs w:val="18"/>
        </w:rPr>
        <w:t>;</w:t>
      </w:r>
    </w:p>
  </w:footnote>
  <w:footnote w:id="96">
    <w:p w:rsidR="00000E53" w:rsidRPr="00771606" w:rsidRDefault="00000E53" w:rsidP="00191861">
      <w:pPr>
        <w:pStyle w:val="a9"/>
      </w:pPr>
      <w:r w:rsidRPr="00771606">
        <w:rPr>
          <w:rStyle w:val="ab"/>
        </w:rPr>
        <w:footnoteRef/>
      </w:r>
      <w:r w:rsidRPr="00771606">
        <w:t xml:space="preserve"> - утверждена Постановлением Правительства Чукотского автономного округа от 24 апреля 2019 года №229</w:t>
      </w:r>
    </w:p>
  </w:footnote>
  <w:footnote w:id="97">
    <w:p w:rsidR="00000E53" w:rsidRPr="00C91A56" w:rsidRDefault="00000E53" w:rsidP="00191861">
      <w:pPr>
        <w:pStyle w:val="a9"/>
        <w:rPr>
          <w:color w:val="FF0000"/>
          <w:sz w:val="16"/>
          <w:szCs w:val="16"/>
        </w:rPr>
      </w:pPr>
      <w:r w:rsidRPr="00C91A56">
        <w:rPr>
          <w:rStyle w:val="ab"/>
          <w:sz w:val="16"/>
          <w:szCs w:val="16"/>
        </w:rPr>
        <w:footnoteRef/>
      </w:r>
      <w:r w:rsidRPr="00C91A56">
        <w:rPr>
          <w:sz w:val="16"/>
          <w:szCs w:val="16"/>
        </w:rPr>
        <w:t xml:space="preserve"> - утверждена Постановлением Правительства Чукотского автономного округа от 21 октября 2013 года №411 </w:t>
      </w:r>
    </w:p>
  </w:footnote>
  <w:footnote w:id="98">
    <w:p w:rsidR="00000E53" w:rsidRPr="00366E4E" w:rsidRDefault="00000E53" w:rsidP="00191861">
      <w:pPr>
        <w:pStyle w:val="a9"/>
        <w:rPr>
          <w:sz w:val="16"/>
          <w:szCs w:val="16"/>
        </w:rPr>
      </w:pPr>
      <w:r w:rsidRPr="00366E4E">
        <w:rPr>
          <w:rStyle w:val="ab"/>
          <w:sz w:val="16"/>
          <w:szCs w:val="16"/>
        </w:rPr>
        <w:footnoteRef/>
      </w:r>
      <w:r w:rsidRPr="00366E4E">
        <w:rPr>
          <w:sz w:val="16"/>
          <w:szCs w:val="16"/>
        </w:rPr>
        <w:t xml:space="preserve"> - </w:t>
      </w:r>
      <w:r w:rsidRPr="00366E4E">
        <w:rPr>
          <w:rFonts w:eastAsia="Calibri"/>
          <w:sz w:val="16"/>
          <w:szCs w:val="16"/>
        </w:rPr>
        <w:t>утверждена Постановлением Правительства Чукотского автономного округа от 21.10.2013 г. №402</w:t>
      </w:r>
    </w:p>
  </w:footnote>
  <w:footnote w:id="99">
    <w:p w:rsidR="00000E53" w:rsidRPr="008A692B" w:rsidRDefault="00000E53" w:rsidP="00191861">
      <w:pPr>
        <w:pStyle w:val="a9"/>
        <w:rPr>
          <w:sz w:val="16"/>
          <w:szCs w:val="16"/>
        </w:rPr>
      </w:pPr>
      <w:r w:rsidRPr="008A692B">
        <w:rPr>
          <w:rStyle w:val="ab"/>
          <w:sz w:val="16"/>
          <w:szCs w:val="16"/>
        </w:rPr>
        <w:footnoteRef/>
      </w:r>
      <w:r w:rsidRPr="008A692B">
        <w:rPr>
          <w:sz w:val="16"/>
          <w:szCs w:val="16"/>
        </w:rPr>
        <w:t xml:space="preserve"> - утверждена Постановлением Правительства Чукотского автономного округа от 29 февраля 2016 года №92;</w:t>
      </w:r>
    </w:p>
  </w:footnote>
  <w:footnote w:id="100">
    <w:p w:rsidR="00000E53" w:rsidRPr="008A692B" w:rsidRDefault="00000E53" w:rsidP="00191861">
      <w:pPr>
        <w:pStyle w:val="a9"/>
        <w:rPr>
          <w:sz w:val="16"/>
          <w:szCs w:val="16"/>
        </w:rPr>
      </w:pPr>
      <w:r w:rsidRPr="008A692B">
        <w:rPr>
          <w:rStyle w:val="ab"/>
          <w:sz w:val="16"/>
          <w:szCs w:val="16"/>
        </w:rPr>
        <w:footnoteRef/>
      </w:r>
      <w:r w:rsidRPr="008A692B">
        <w:rPr>
          <w:sz w:val="16"/>
          <w:szCs w:val="16"/>
        </w:rPr>
        <w:t xml:space="preserve"> в том числе по годам: 2019 – 7 994 350,0 тыс. рублей, 2020 – 502 939,0 тыс. рублей; 2021 – 760 692,8 тыс. рублей</w:t>
      </w:r>
    </w:p>
  </w:footnote>
  <w:footnote w:id="101">
    <w:p w:rsidR="00000E53" w:rsidRPr="00BA4286" w:rsidRDefault="00000E53" w:rsidP="00191861">
      <w:pPr>
        <w:pStyle w:val="a9"/>
        <w:rPr>
          <w:sz w:val="18"/>
          <w:szCs w:val="18"/>
        </w:rPr>
      </w:pPr>
      <w:r w:rsidRPr="00BA4286">
        <w:rPr>
          <w:rStyle w:val="ab"/>
          <w:sz w:val="18"/>
          <w:szCs w:val="18"/>
        </w:rPr>
        <w:footnoteRef/>
      </w:r>
      <w:r w:rsidRPr="00BA4286">
        <w:rPr>
          <w:sz w:val="18"/>
          <w:szCs w:val="18"/>
        </w:rPr>
        <w:t xml:space="preserve"> - утверждена Постановлением Правительства Чукотского автономного округа от 8 апреля 2019 года №192</w:t>
      </w:r>
    </w:p>
  </w:footnote>
  <w:footnote w:id="102">
    <w:p w:rsidR="00000E53" w:rsidRPr="00BA4286" w:rsidRDefault="00000E53" w:rsidP="00191861">
      <w:pPr>
        <w:pStyle w:val="a9"/>
        <w:rPr>
          <w:sz w:val="18"/>
          <w:szCs w:val="18"/>
        </w:rPr>
      </w:pPr>
      <w:r w:rsidRPr="00BA4286">
        <w:rPr>
          <w:rStyle w:val="ab"/>
          <w:sz w:val="18"/>
          <w:szCs w:val="18"/>
        </w:rPr>
        <w:footnoteRef/>
      </w:r>
      <w:r w:rsidRPr="00BA4286">
        <w:rPr>
          <w:sz w:val="18"/>
          <w:szCs w:val="18"/>
        </w:rPr>
        <w:t xml:space="preserve"> </w:t>
      </w:r>
      <w:r>
        <w:rPr>
          <w:sz w:val="18"/>
          <w:szCs w:val="18"/>
        </w:rPr>
        <w:t>- п</w:t>
      </w:r>
      <w:r w:rsidRPr="00BA4286">
        <w:rPr>
          <w:sz w:val="18"/>
          <w:szCs w:val="18"/>
        </w:rPr>
        <w:t>о состоянию на 01.01.2022г.</w:t>
      </w:r>
    </w:p>
  </w:footnote>
  <w:footnote w:id="103">
    <w:p w:rsidR="00000E53" w:rsidRPr="00366E4E" w:rsidRDefault="00000E53" w:rsidP="00191861">
      <w:pPr>
        <w:pStyle w:val="a9"/>
        <w:rPr>
          <w:sz w:val="16"/>
          <w:szCs w:val="16"/>
          <w:lang w:val="x-none"/>
        </w:rPr>
      </w:pPr>
      <w:r w:rsidRPr="00366E4E">
        <w:rPr>
          <w:rStyle w:val="ab"/>
          <w:sz w:val="16"/>
          <w:szCs w:val="16"/>
        </w:rPr>
        <w:footnoteRef/>
      </w:r>
      <w:r w:rsidRPr="00366E4E">
        <w:rPr>
          <w:sz w:val="16"/>
          <w:szCs w:val="16"/>
        </w:rPr>
        <w:t xml:space="preserve"> - утверждена Постановлением Правительства Чукотского автономного округа от 21 октября 2013 года №409</w:t>
      </w:r>
    </w:p>
  </w:footnote>
  <w:footnote w:id="104">
    <w:p w:rsidR="00000E53" w:rsidRPr="00366E4E" w:rsidRDefault="00000E53" w:rsidP="00191861">
      <w:pPr>
        <w:pStyle w:val="a9"/>
        <w:rPr>
          <w:sz w:val="16"/>
          <w:szCs w:val="16"/>
        </w:rPr>
      </w:pPr>
      <w:r w:rsidRPr="00366E4E">
        <w:rPr>
          <w:rStyle w:val="ab"/>
          <w:sz w:val="16"/>
          <w:szCs w:val="16"/>
        </w:rPr>
        <w:footnoteRef/>
      </w:r>
      <w:r w:rsidRPr="00366E4E">
        <w:rPr>
          <w:sz w:val="16"/>
          <w:szCs w:val="16"/>
        </w:rPr>
        <w:t xml:space="preserve"> -утверждена Постановлением Правительства Чукотского автономного округа от 21 октября 2013 года №405</w:t>
      </w:r>
    </w:p>
  </w:footnote>
  <w:footnote w:id="105">
    <w:p w:rsidR="00000E53" w:rsidRPr="0037393E" w:rsidRDefault="00000E53" w:rsidP="00191861">
      <w:pPr>
        <w:pStyle w:val="a9"/>
        <w:rPr>
          <w:sz w:val="18"/>
          <w:szCs w:val="18"/>
        </w:rPr>
      </w:pPr>
      <w:r w:rsidRPr="0037393E">
        <w:rPr>
          <w:rStyle w:val="ab"/>
          <w:sz w:val="18"/>
          <w:szCs w:val="18"/>
        </w:rPr>
        <w:footnoteRef/>
      </w:r>
      <w:r w:rsidRPr="0037393E">
        <w:rPr>
          <w:sz w:val="18"/>
          <w:szCs w:val="18"/>
        </w:rPr>
        <w:t xml:space="preserve"> - утверждена Постановлением Правительства Чукотского автономного округа от 28 марта 2014 года №142</w:t>
      </w:r>
    </w:p>
  </w:footnote>
  <w:footnote w:id="106">
    <w:p w:rsidR="00000E53" w:rsidRPr="00C3462C" w:rsidRDefault="00000E53" w:rsidP="00191861">
      <w:pPr>
        <w:pStyle w:val="a9"/>
        <w:rPr>
          <w:sz w:val="16"/>
          <w:szCs w:val="16"/>
        </w:rPr>
      </w:pPr>
      <w:r w:rsidRPr="00C3462C">
        <w:rPr>
          <w:rStyle w:val="ab"/>
          <w:sz w:val="16"/>
          <w:szCs w:val="16"/>
        </w:rPr>
        <w:footnoteRef/>
      </w:r>
      <w:r w:rsidRPr="00C3462C">
        <w:rPr>
          <w:sz w:val="16"/>
          <w:szCs w:val="16"/>
        </w:rPr>
        <w:t xml:space="preserve"> - утверждена Постановлением Правительства Чукотского автономного округа от 16 августа 2017 года №316</w:t>
      </w:r>
    </w:p>
  </w:footnote>
  <w:footnote w:id="107">
    <w:p w:rsidR="00000E53" w:rsidRPr="0037393E" w:rsidRDefault="00000E53" w:rsidP="00191861">
      <w:pPr>
        <w:pStyle w:val="a9"/>
      </w:pPr>
      <w:r w:rsidRPr="0037393E">
        <w:rPr>
          <w:rStyle w:val="ab"/>
        </w:rPr>
        <w:footnoteRef/>
      </w:r>
      <w:r w:rsidRPr="0037393E">
        <w:t xml:space="preserve"> - </w:t>
      </w:r>
      <w:r w:rsidRPr="0037393E">
        <w:rPr>
          <w:rFonts w:eastAsia="Calibri"/>
        </w:rPr>
        <w:t xml:space="preserve">утверждена Постановлением Правительства </w:t>
      </w:r>
      <w:r w:rsidRPr="0037393E">
        <w:rPr>
          <w:rFonts w:eastAsia="Calibri"/>
          <w:bCs/>
        </w:rPr>
        <w:t>Чукотского автономного округа</w:t>
      </w:r>
      <w:r w:rsidRPr="0037393E">
        <w:rPr>
          <w:rFonts w:eastAsia="Calibri"/>
        </w:rPr>
        <w:t xml:space="preserve"> от 21 октября 2014 года №493</w:t>
      </w:r>
      <w:r>
        <w:rPr>
          <w:rFonts w:eastAsia="Calibri"/>
        </w:rPr>
        <w:t>;</w:t>
      </w:r>
    </w:p>
  </w:footnote>
  <w:footnote w:id="108">
    <w:p w:rsidR="00000E53" w:rsidRPr="0037393E" w:rsidRDefault="00000E53" w:rsidP="00191861">
      <w:pPr>
        <w:pStyle w:val="a9"/>
        <w:rPr>
          <w:sz w:val="18"/>
          <w:szCs w:val="18"/>
        </w:rPr>
      </w:pPr>
      <w:r w:rsidRPr="0037393E">
        <w:rPr>
          <w:rStyle w:val="ab"/>
          <w:sz w:val="18"/>
          <w:szCs w:val="18"/>
        </w:rPr>
        <w:footnoteRef/>
      </w:r>
      <w:r w:rsidRPr="0037393E">
        <w:rPr>
          <w:sz w:val="18"/>
          <w:szCs w:val="18"/>
        </w:rPr>
        <w:t xml:space="preserve"> - утверждена Постановлением Правительства</w:t>
      </w:r>
      <w:r w:rsidRPr="0037393E">
        <w:rPr>
          <w:bCs/>
          <w:sz w:val="18"/>
          <w:szCs w:val="18"/>
        </w:rPr>
        <w:t xml:space="preserve"> Чукотского автономного округа</w:t>
      </w:r>
      <w:r w:rsidRPr="0037393E">
        <w:rPr>
          <w:sz w:val="18"/>
          <w:szCs w:val="18"/>
        </w:rPr>
        <w:t xml:space="preserve"> от 15 января 2015 года №20</w:t>
      </w:r>
    </w:p>
  </w:footnote>
  <w:footnote w:id="109">
    <w:p w:rsidR="00000E53" w:rsidRPr="00D10ABD" w:rsidRDefault="00000E53" w:rsidP="00191861">
      <w:pPr>
        <w:pStyle w:val="a9"/>
        <w:rPr>
          <w:sz w:val="18"/>
          <w:szCs w:val="18"/>
        </w:rPr>
      </w:pPr>
      <w:r w:rsidRPr="00D10ABD">
        <w:rPr>
          <w:rStyle w:val="ab"/>
          <w:sz w:val="18"/>
          <w:szCs w:val="18"/>
        </w:rPr>
        <w:footnoteRef/>
      </w:r>
      <w:r w:rsidRPr="00D10ABD">
        <w:rPr>
          <w:sz w:val="18"/>
          <w:szCs w:val="18"/>
        </w:rPr>
        <w:t xml:space="preserve"> - </w:t>
      </w:r>
      <w:r w:rsidRPr="00D10ABD">
        <w:rPr>
          <w:rFonts w:eastAsia="Calibri"/>
          <w:sz w:val="18"/>
          <w:szCs w:val="18"/>
        </w:rPr>
        <w:t>утверждена Постановлением Правительства Чукотского автономного округа от 28 января 2016 года №41</w:t>
      </w:r>
    </w:p>
  </w:footnote>
  <w:footnote w:id="110">
    <w:p w:rsidR="00000E53" w:rsidRPr="00D10ABD" w:rsidRDefault="00000E53" w:rsidP="00191861">
      <w:pPr>
        <w:pStyle w:val="a9"/>
        <w:rPr>
          <w:sz w:val="18"/>
          <w:szCs w:val="18"/>
        </w:rPr>
      </w:pPr>
      <w:r w:rsidRPr="00D10ABD">
        <w:rPr>
          <w:rStyle w:val="ab"/>
          <w:sz w:val="18"/>
          <w:szCs w:val="18"/>
        </w:rPr>
        <w:footnoteRef/>
      </w:r>
      <w:r w:rsidRPr="00D10ABD">
        <w:rPr>
          <w:rStyle w:val="ab"/>
          <w:sz w:val="18"/>
          <w:szCs w:val="18"/>
        </w:rPr>
        <w:t xml:space="preserve"> </w:t>
      </w:r>
      <w:r w:rsidRPr="00D10ABD">
        <w:rPr>
          <w:sz w:val="18"/>
          <w:szCs w:val="18"/>
        </w:rPr>
        <w:t>- утверждена Постановлением Правительства Чукотского автономного округа от 29 июля 2016 года № 417</w:t>
      </w:r>
    </w:p>
  </w:footnote>
  <w:footnote w:id="111">
    <w:p w:rsidR="00000E53" w:rsidRPr="00D10ABD" w:rsidRDefault="00000E53" w:rsidP="00191861">
      <w:pPr>
        <w:pStyle w:val="a9"/>
        <w:rPr>
          <w:sz w:val="18"/>
          <w:szCs w:val="18"/>
        </w:rPr>
      </w:pPr>
      <w:r w:rsidRPr="00D10ABD">
        <w:rPr>
          <w:rStyle w:val="ab"/>
          <w:sz w:val="18"/>
          <w:szCs w:val="18"/>
        </w:rPr>
        <w:footnoteRef/>
      </w:r>
      <w:r w:rsidRPr="00D10ABD">
        <w:rPr>
          <w:sz w:val="18"/>
          <w:szCs w:val="18"/>
        </w:rPr>
        <w:t xml:space="preserve"> - утверждена Постановлением Правительства </w:t>
      </w:r>
      <w:r w:rsidRPr="00D10ABD">
        <w:rPr>
          <w:bCs/>
          <w:sz w:val="18"/>
          <w:szCs w:val="18"/>
        </w:rPr>
        <w:t>Чукотского автономного округа</w:t>
      </w:r>
      <w:r w:rsidRPr="00D10ABD">
        <w:rPr>
          <w:sz w:val="18"/>
          <w:szCs w:val="18"/>
        </w:rPr>
        <w:t xml:space="preserve"> от 31 августа 2017 года №333</w:t>
      </w:r>
    </w:p>
  </w:footnote>
  <w:footnote w:id="112">
    <w:p w:rsidR="00000E53" w:rsidRPr="00D10ABD" w:rsidRDefault="00000E53" w:rsidP="00191861">
      <w:pPr>
        <w:pStyle w:val="a9"/>
        <w:rPr>
          <w:sz w:val="18"/>
          <w:szCs w:val="18"/>
        </w:rPr>
      </w:pPr>
      <w:r w:rsidRPr="00D10ABD">
        <w:rPr>
          <w:rStyle w:val="ab"/>
          <w:sz w:val="18"/>
          <w:szCs w:val="18"/>
        </w:rPr>
        <w:footnoteRef/>
      </w:r>
      <w:r w:rsidRPr="00D10ABD">
        <w:rPr>
          <w:sz w:val="18"/>
          <w:szCs w:val="18"/>
        </w:rPr>
        <w:t xml:space="preserve"> - утверждена </w:t>
      </w:r>
      <w:r w:rsidRPr="00D10ABD">
        <w:rPr>
          <w:bCs/>
          <w:sz w:val="18"/>
          <w:szCs w:val="18"/>
        </w:rPr>
        <w:t>Постановлением Правительства Чукотского автономного округа от 29 марта 2019 года №170</w:t>
      </w:r>
    </w:p>
  </w:footnote>
  <w:footnote w:id="113">
    <w:p w:rsidR="00000E53" w:rsidRPr="00E6257D" w:rsidRDefault="00000E53" w:rsidP="00191861">
      <w:pPr>
        <w:pStyle w:val="a9"/>
        <w:jc w:val="both"/>
        <w:rPr>
          <w:sz w:val="18"/>
          <w:szCs w:val="18"/>
        </w:rPr>
      </w:pPr>
      <w:r w:rsidRPr="00E6257D">
        <w:rPr>
          <w:rStyle w:val="ab"/>
          <w:sz w:val="18"/>
          <w:szCs w:val="18"/>
        </w:rPr>
        <w:footnoteRef/>
      </w:r>
      <w:r w:rsidRPr="00E6257D">
        <w:rPr>
          <w:sz w:val="18"/>
          <w:szCs w:val="18"/>
        </w:rPr>
        <w:t xml:space="preserve"> Постановление Правительства Чукотского автономного округа от 07.09.2018г. №286 «Об утверждении Положения об организации проектной деятельности в Чукотском автономном округе» (далее – Постановление №286)</w:t>
      </w:r>
    </w:p>
  </w:footnote>
  <w:footnote w:id="114">
    <w:p w:rsidR="00000E53" w:rsidRPr="00E6257D" w:rsidRDefault="00000E53" w:rsidP="00191861">
      <w:pPr>
        <w:pStyle w:val="a9"/>
        <w:rPr>
          <w:sz w:val="18"/>
          <w:szCs w:val="18"/>
        </w:rPr>
      </w:pPr>
      <w:r w:rsidRPr="00E6257D">
        <w:rPr>
          <w:rStyle w:val="ab"/>
          <w:sz w:val="18"/>
          <w:szCs w:val="18"/>
        </w:rPr>
        <w:footnoteRef/>
      </w:r>
      <w:r w:rsidRPr="00E6257D">
        <w:rPr>
          <w:sz w:val="18"/>
          <w:szCs w:val="18"/>
        </w:rPr>
        <w:t xml:space="preserve"> Экспертно-аналитические мероприятия «Оценка хода реализации региональных проектов в Чукотском автономном округе за 2020 год» и «Оценка хода реализации региональных проектов в Чукотском автономном округе за 9 месяцев 2021 года»</w:t>
      </w:r>
    </w:p>
  </w:footnote>
  <w:footnote w:id="115">
    <w:p w:rsidR="00000E53" w:rsidRPr="005C30BD" w:rsidRDefault="00000E53" w:rsidP="00191861">
      <w:pPr>
        <w:pStyle w:val="a9"/>
        <w:rPr>
          <w:sz w:val="18"/>
          <w:szCs w:val="18"/>
        </w:rPr>
      </w:pPr>
      <w:r w:rsidRPr="005C30BD">
        <w:rPr>
          <w:rStyle w:val="ab"/>
          <w:sz w:val="18"/>
          <w:szCs w:val="18"/>
        </w:rPr>
        <w:footnoteRef/>
      </w:r>
      <w:r w:rsidRPr="005C30BD">
        <w:rPr>
          <w:sz w:val="18"/>
          <w:szCs w:val="18"/>
        </w:rPr>
        <w:t xml:space="preserve"> По данным паспортов региональных проектов, </w:t>
      </w:r>
      <w:r>
        <w:rPr>
          <w:sz w:val="18"/>
          <w:szCs w:val="18"/>
        </w:rPr>
        <w:t>размещенных в системе ГИИС «электронный бюджет» по состоянию на 01.01.2022г.</w:t>
      </w:r>
    </w:p>
  </w:footnote>
  <w:footnote w:id="116">
    <w:p w:rsidR="00000E53" w:rsidRPr="00E6257D" w:rsidRDefault="00000E53" w:rsidP="00191861">
      <w:pPr>
        <w:pStyle w:val="a9"/>
        <w:jc w:val="both"/>
        <w:rPr>
          <w:sz w:val="18"/>
          <w:szCs w:val="18"/>
        </w:rPr>
      </w:pPr>
      <w:r w:rsidRPr="00E6257D">
        <w:rPr>
          <w:rStyle w:val="ab"/>
          <w:sz w:val="18"/>
          <w:szCs w:val="18"/>
        </w:rPr>
        <w:footnoteRef/>
      </w:r>
      <w:r w:rsidRPr="00E6257D">
        <w:rPr>
          <w:sz w:val="18"/>
          <w:szCs w:val="18"/>
        </w:rPr>
        <w:t xml:space="preserve"> </w:t>
      </w:r>
      <w:r w:rsidRPr="00E6257D">
        <w:rPr>
          <w:color w:val="000000"/>
          <w:sz w:val="18"/>
          <w:szCs w:val="18"/>
        </w:rPr>
        <w:t>Государственная корпорация «Фонд содействия реформированию жилищно-коммунального хозяйства» (далее - ГК «ФСРЖКХ»)</w:t>
      </w:r>
    </w:p>
  </w:footnote>
  <w:footnote w:id="117">
    <w:p w:rsidR="00000E53" w:rsidRPr="00E6257D" w:rsidRDefault="00000E53" w:rsidP="00191861">
      <w:pPr>
        <w:pStyle w:val="a9"/>
        <w:rPr>
          <w:sz w:val="18"/>
          <w:szCs w:val="18"/>
        </w:rPr>
      </w:pPr>
      <w:r w:rsidRPr="00E6257D">
        <w:rPr>
          <w:rStyle w:val="ab"/>
          <w:sz w:val="18"/>
          <w:szCs w:val="18"/>
        </w:rPr>
        <w:footnoteRef/>
      </w:r>
      <w:r w:rsidRPr="00E6257D">
        <w:rPr>
          <w:sz w:val="18"/>
          <w:szCs w:val="18"/>
        </w:rPr>
        <w:t xml:space="preserve"> Действующие региональные проекты на 01.01.2022 года</w:t>
      </w:r>
    </w:p>
  </w:footnote>
  <w:footnote w:id="118">
    <w:p w:rsidR="00000E53" w:rsidRPr="00E6257D" w:rsidRDefault="00000E53" w:rsidP="00191861">
      <w:pPr>
        <w:pStyle w:val="a9"/>
        <w:jc w:val="both"/>
        <w:rPr>
          <w:sz w:val="18"/>
          <w:szCs w:val="18"/>
        </w:rPr>
      </w:pPr>
      <w:r w:rsidRPr="00E6257D">
        <w:rPr>
          <w:rStyle w:val="ab"/>
          <w:sz w:val="18"/>
          <w:szCs w:val="18"/>
        </w:rPr>
        <w:footnoteRef/>
      </w:r>
      <w:r w:rsidRPr="00E6257D">
        <w:rPr>
          <w:sz w:val="18"/>
          <w:szCs w:val="18"/>
        </w:rPr>
        <w:t xml:space="preserve"> </w:t>
      </w:r>
      <w:r w:rsidRPr="00E6257D">
        <w:rPr>
          <w:bCs/>
          <w:color w:val="000000"/>
          <w:sz w:val="18"/>
          <w:szCs w:val="18"/>
        </w:rPr>
        <w:t>Закон Чукотского автономного округа от 16.12.2020 №74-ОЗ «Об окружном бюджете на 2021 год и на плановый период 2022 и 2023 годов» (далее – Закон №74-ОЗ, Закон об окружном бюджете на 2021 год)</w:t>
      </w:r>
    </w:p>
  </w:footnote>
  <w:footnote w:id="119">
    <w:p w:rsidR="00000E53" w:rsidRPr="00E6257D" w:rsidRDefault="00000E53" w:rsidP="00191861">
      <w:pPr>
        <w:pStyle w:val="a9"/>
        <w:rPr>
          <w:sz w:val="18"/>
          <w:szCs w:val="18"/>
        </w:rPr>
      </w:pPr>
      <w:r w:rsidRPr="00E6257D">
        <w:rPr>
          <w:rStyle w:val="ab"/>
          <w:sz w:val="18"/>
          <w:szCs w:val="18"/>
        </w:rPr>
        <w:footnoteRef/>
      </w:r>
      <w:r w:rsidRPr="00E6257D">
        <w:rPr>
          <w:sz w:val="18"/>
          <w:szCs w:val="18"/>
        </w:rPr>
        <w:t xml:space="preserve"> предварительные данные</w:t>
      </w:r>
    </w:p>
  </w:footnote>
  <w:footnote w:id="120">
    <w:p w:rsidR="00000E53" w:rsidRPr="00E6257D" w:rsidRDefault="00000E53" w:rsidP="00191861">
      <w:pPr>
        <w:pStyle w:val="a9"/>
        <w:rPr>
          <w:sz w:val="18"/>
          <w:szCs w:val="18"/>
        </w:rPr>
      </w:pPr>
      <w:r w:rsidRPr="00E6257D">
        <w:rPr>
          <w:rStyle w:val="ab"/>
          <w:sz w:val="18"/>
          <w:szCs w:val="18"/>
        </w:rPr>
        <w:footnoteRef/>
      </w:r>
      <w:r w:rsidRPr="00E6257D">
        <w:rPr>
          <w:sz w:val="18"/>
          <w:szCs w:val="18"/>
        </w:rPr>
        <w:t xml:space="preserve"> информация по результатам мониторинга размещается на официальном сайте Счетной палаты </w:t>
      </w:r>
      <w:r w:rsidRPr="00E6257D">
        <w:rPr>
          <w:sz w:val="18"/>
          <w:szCs w:val="18"/>
          <w:lang w:val="en-US"/>
        </w:rPr>
        <w:t>www</w:t>
      </w:r>
      <w:r w:rsidRPr="00E6257D">
        <w:rPr>
          <w:sz w:val="18"/>
          <w:szCs w:val="18"/>
        </w:rPr>
        <w:t>.</w:t>
      </w:r>
      <w:proofErr w:type="spellStart"/>
      <w:r w:rsidRPr="00E6257D">
        <w:rPr>
          <w:sz w:val="18"/>
          <w:szCs w:val="18"/>
          <w:lang w:val="en-US"/>
        </w:rPr>
        <w:t>schet</w:t>
      </w:r>
      <w:proofErr w:type="spellEnd"/>
      <w:r w:rsidRPr="00E6257D">
        <w:rPr>
          <w:sz w:val="18"/>
          <w:szCs w:val="18"/>
        </w:rPr>
        <w:t>87.</w:t>
      </w:r>
      <w:proofErr w:type="spellStart"/>
      <w:r w:rsidRPr="00E6257D">
        <w:rPr>
          <w:sz w:val="18"/>
          <w:szCs w:val="18"/>
          <w:lang w:val="en-US"/>
        </w:rPr>
        <w:t>ru</w:t>
      </w:r>
      <w:proofErr w:type="spellEnd"/>
      <w:r w:rsidRPr="00E6257D">
        <w:rPr>
          <w:sz w:val="18"/>
          <w:szCs w:val="18"/>
        </w:rPr>
        <w:t xml:space="preserve"> </w:t>
      </w:r>
    </w:p>
  </w:footnote>
  <w:footnote w:id="121">
    <w:p w:rsidR="00000E53" w:rsidRPr="00E6257D" w:rsidRDefault="00000E53" w:rsidP="00191861">
      <w:pPr>
        <w:pStyle w:val="a9"/>
        <w:jc w:val="both"/>
        <w:rPr>
          <w:sz w:val="18"/>
          <w:szCs w:val="18"/>
        </w:rPr>
      </w:pPr>
      <w:r w:rsidRPr="00E6257D">
        <w:rPr>
          <w:rStyle w:val="ab"/>
          <w:sz w:val="18"/>
          <w:szCs w:val="18"/>
        </w:rPr>
        <w:footnoteRef/>
      </w:r>
      <w:r w:rsidRPr="00E6257D">
        <w:rPr>
          <w:sz w:val="18"/>
          <w:szCs w:val="18"/>
        </w:rPr>
        <w:t xml:space="preserve"> Здесь и далее по тексту приводятся данные по фактическому исполнению мероприятий </w:t>
      </w:r>
      <w:proofErr w:type="spellStart"/>
      <w:r w:rsidRPr="00E6257D">
        <w:rPr>
          <w:sz w:val="18"/>
          <w:szCs w:val="18"/>
        </w:rPr>
        <w:t>регпроектов</w:t>
      </w:r>
      <w:proofErr w:type="spellEnd"/>
      <w:r w:rsidRPr="00E6257D">
        <w:rPr>
          <w:sz w:val="18"/>
          <w:szCs w:val="18"/>
        </w:rPr>
        <w:t xml:space="preserve">, предоставленные ответственными исполнителями государственных программ округа </w:t>
      </w:r>
    </w:p>
  </w:footnote>
  <w:footnote w:id="122">
    <w:p w:rsidR="00000E53" w:rsidRPr="00E6257D" w:rsidRDefault="00000E53" w:rsidP="00191861">
      <w:pPr>
        <w:pStyle w:val="a9"/>
        <w:rPr>
          <w:sz w:val="18"/>
          <w:szCs w:val="18"/>
        </w:rPr>
      </w:pPr>
      <w:r w:rsidRPr="00E6257D">
        <w:rPr>
          <w:rStyle w:val="ab"/>
          <w:sz w:val="18"/>
          <w:szCs w:val="18"/>
        </w:rPr>
        <w:footnoteRef/>
      </w:r>
      <w:r w:rsidRPr="00E6257D">
        <w:rPr>
          <w:sz w:val="18"/>
          <w:szCs w:val="18"/>
        </w:rPr>
        <w:t xml:space="preserve"> По информации Регионального проектного офиса по состоянию на 31 декабря 2020 года досрочно завершена реализация федеральных проектов в рамках которых реализовывались региональные проекты: «Поддержка семей, имеющих детей» и «Учитель будущего»</w:t>
      </w:r>
    </w:p>
  </w:footnote>
  <w:footnote w:id="123">
    <w:p w:rsidR="00000E53" w:rsidRPr="00E40ADC" w:rsidRDefault="00000E53" w:rsidP="00191861">
      <w:pPr>
        <w:pStyle w:val="a9"/>
        <w:jc w:val="both"/>
        <w:rPr>
          <w:sz w:val="18"/>
          <w:szCs w:val="18"/>
        </w:rPr>
      </w:pPr>
      <w:r w:rsidRPr="00E40ADC">
        <w:rPr>
          <w:rStyle w:val="ab"/>
          <w:sz w:val="18"/>
          <w:szCs w:val="18"/>
        </w:rPr>
        <w:footnoteRef/>
      </w:r>
      <w:r w:rsidRPr="00E40ADC">
        <w:rPr>
          <w:sz w:val="18"/>
          <w:szCs w:val="18"/>
        </w:rPr>
        <w:t xml:space="preserve"> В 2022 году муниципальными образованиями подтверждена потребность в неиспользованном остатке межбюджетных трансфертов</w:t>
      </w:r>
    </w:p>
  </w:footnote>
  <w:footnote w:id="124">
    <w:p w:rsidR="00000E53" w:rsidRPr="002F2EDB" w:rsidRDefault="00000E53" w:rsidP="00191861">
      <w:pPr>
        <w:pStyle w:val="a9"/>
        <w:rPr>
          <w:sz w:val="18"/>
          <w:szCs w:val="18"/>
        </w:rPr>
      </w:pPr>
      <w:r>
        <w:rPr>
          <w:rStyle w:val="ab"/>
        </w:rPr>
        <w:footnoteRef/>
      </w:r>
      <w:r>
        <w:t xml:space="preserve"> </w:t>
      </w:r>
      <w:r w:rsidRPr="00E97774">
        <w:rPr>
          <w:color w:val="000000"/>
          <w:sz w:val="18"/>
          <w:szCs w:val="18"/>
        </w:rPr>
        <w:t xml:space="preserve">Бюджетные средства, направленные из окружного бюджета, составили 87,97 </w:t>
      </w:r>
      <w:proofErr w:type="spellStart"/>
      <w:r w:rsidRPr="00E97774">
        <w:rPr>
          <w:color w:val="000000"/>
          <w:sz w:val="18"/>
          <w:szCs w:val="18"/>
        </w:rPr>
        <w:t>млн.рублей</w:t>
      </w:r>
      <w:proofErr w:type="spellEnd"/>
      <w:r w:rsidRPr="00E97774">
        <w:rPr>
          <w:color w:val="000000"/>
          <w:sz w:val="18"/>
          <w:szCs w:val="18"/>
        </w:rPr>
        <w:t>.</w:t>
      </w:r>
    </w:p>
  </w:footnote>
  <w:footnote w:id="125">
    <w:p w:rsidR="00000E53" w:rsidRPr="00DF6896" w:rsidRDefault="00000E53" w:rsidP="00191861">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spacing w:before="80"/>
        <w:jc w:val="both"/>
        <w:rPr>
          <w:sz w:val="18"/>
          <w:szCs w:val="18"/>
        </w:rPr>
      </w:pPr>
      <w:r w:rsidRPr="00DF6896">
        <w:rPr>
          <w:rStyle w:val="ab"/>
          <w:sz w:val="18"/>
          <w:szCs w:val="18"/>
        </w:rPr>
        <w:footnoteRef/>
      </w:r>
      <w:r w:rsidRPr="00DF6896">
        <w:rPr>
          <w:sz w:val="18"/>
          <w:szCs w:val="18"/>
        </w:rPr>
        <w:t xml:space="preserve"> Без учета финансового обеспечения по РП «Чистая вода» (</w:t>
      </w:r>
      <w:r w:rsidRPr="00DF6896">
        <w:rPr>
          <w:sz w:val="18"/>
          <w:szCs w:val="18"/>
          <w:lang w:val="en-US"/>
        </w:rPr>
        <w:t>G</w:t>
      </w:r>
      <w:r w:rsidRPr="00DF6896">
        <w:rPr>
          <w:sz w:val="18"/>
          <w:szCs w:val="18"/>
        </w:rPr>
        <w:t xml:space="preserve">5) </w:t>
      </w:r>
    </w:p>
    <w:p w:rsidR="00000E53" w:rsidRDefault="00000E53" w:rsidP="00191861">
      <w:pPr>
        <w:pStyle w:val="a9"/>
      </w:pPr>
    </w:p>
  </w:footnote>
  <w:footnote w:id="126">
    <w:p w:rsidR="00000E53" w:rsidRPr="00A16D31" w:rsidRDefault="00000E53" w:rsidP="00191861">
      <w:pPr>
        <w:pStyle w:val="a9"/>
        <w:rPr>
          <w:sz w:val="18"/>
          <w:szCs w:val="18"/>
        </w:rPr>
      </w:pPr>
      <w:r w:rsidRPr="00A16D31">
        <w:rPr>
          <w:rStyle w:val="ab"/>
          <w:sz w:val="18"/>
          <w:szCs w:val="18"/>
        </w:rPr>
        <w:footnoteRef/>
      </w:r>
      <w:r w:rsidRPr="00A16D31">
        <w:rPr>
          <w:sz w:val="18"/>
          <w:szCs w:val="18"/>
        </w:rPr>
        <w:t xml:space="preserve"> По данным Счетной палаты</w:t>
      </w:r>
    </w:p>
  </w:footnote>
  <w:footnote w:id="127">
    <w:p w:rsidR="00000E53" w:rsidRPr="00B86242" w:rsidRDefault="00000E53" w:rsidP="00191861">
      <w:pPr>
        <w:pStyle w:val="af8"/>
        <w:jc w:val="both"/>
      </w:pPr>
      <w:r w:rsidRPr="003252F4">
        <w:rPr>
          <w:rStyle w:val="ab"/>
        </w:rPr>
        <w:footnoteRef/>
      </w:r>
      <w:r w:rsidRPr="003252F4">
        <w:t xml:space="preserve"> </w:t>
      </w:r>
      <w:r w:rsidRPr="003252F4">
        <w:rPr>
          <w:sz w:val="18"/>
          <w:szCs w:val="18"/>
        </w:rPr>
        <w:t>По информации Регионального проектного офиса по состоянию на 31 декабря 2020 года досрочно завершена реализация федеральн</w:t>
      </w:r>
      <w:r>
        <w:rPr>
          <w:sz w:val="18"/>
          <w:szCs w:val="18"/>
        </w:rPr>
        <w:t>ого</w:t>
      </w:r>
      <w:r w:rsidRPr="003252F4">
        <w:rPr>
          <w:sz w:val="18"/>
          <w:szCs w:val="18"/>
        </w:rPr>
        <w:t xml:space="preserve"> проект</w:t>
      </w:r>
      <w:r>
        <w:rPr>
          <w:sz w:val="18"/>
          <w:szCs w:val="18"/>
        </w:rPr>
        <w:t>а</w:t>
      </w:r>
      <w:r w:rsidRPr="003252F4">
        <w:rPr>
          <w:sz w:val="18"/>
          <w:szCs w:val="18"/>
        </w:rPr>
        <w:t xml:space="preserve"> в рамках котор</w:t>
      </w:r>
      <w:r>
        <w:rPr>
          <w:sz w:val="18"/>
          <w:szCs w:val="18"/>
        </w:rPr>
        <w:t>ого</w:t>
      </w:r>
      <w:r w:rsidRPr="003252F4">
        <w:rPr>
          <w:sz w:val="18"/>
          <w:szCs w:val="18"/>
        </w:rPr>
        <w:t xml:space="preserve"> реализовывал</w:t>
      </w:r>
      <w:r>
        <w:rPr>
          <w:sz w:val="18"/>
          <w:szCs w:val="18"/>
        </w:rPr>
        <w:t>ся</w:t>
      </w:r>
      <w:r w:rsidRPr="003252F4">
        <w:rPr>
          <w:sz w:val="18"/>
          <w:szCs w:val="18"/>
        </w:rPr>
        <w:t xml:space="preserve"> региональны</w:t>
      </w:r>
      <w:r>
        <w:rPr>
          <w:sz w:val="18"/>
          <w:szCs w:val="18"/>
        </w:rPr>
        <w:t>й</w:t>
      </w:r>
      <w:r w:rsidRPr="003252F4">
        <w:rPr>
          <w:sz w:val="18"/>
          <w:szCs w:val="18"/>
        </w:rPr>
        <w:t xml:space="preserve"> проект</w:t>
      </w:r>
      <w:r>
        <w:rPr>
          <w:sz w:val="18"/>
          <w:szCs w:val="18"/>
        </w:rPr>
        <w:t xml:space="preserve"> </w:t>
      </w:r>
      <w:r w:rsidRPr="003252F4">
        <w:rPr>
          <w:sz w:val="18"/>
          <w:szCs w:val="18"/>
        </w:rPr>
        <w:t>«Популяризация предпринимательства»</w:t>
      </w:r>
    </w:p>
  </w:footnote>
  <w:footnote w:id="128">
    <w:p w:rsidR="00000E53" w:rsidRDefault="00000E53" w:rsidP="00191861">
      <w:pPr>
        <w:pStyle w:val="a9"/>
        <w:jc w:val="both"/>
      </w:pPr>
      <w:r>
        <w:rPr>
          <w:rStyle w:val="ab"/>
        </w:rPr>
        <w:footnoteRef/>
      </w:r>
      <w:r>
        <w:t xml:space="preserve"> </w:t>
      </w:r>
      <w:r w:rsidRPr="004E7D17">
        <w:rPr>
          <w:sz w:val="18"/>
          <w:szCs w:val="18"/>
        </w:rPr>
        <w:t>В 2022 году муниципальными образованиями подтверждена потребность в неиспользованном остатке межбюджетных трансфертов</w:t>
      </w:r>
    </w:p>
  </w:footnote>
  <w:footnote w:id="129">
    <w:p w:rsidR="00000E53" w:rsidRPr="007361A2" w:rsidRDefault="00000E53" w:rsidP="00191861">
      <w:pPr>
        <w:pStyle w:val="a9"/>
        <w:ind w:firstLine="284"/>
      </w:pPr>
      <w:r w:rsidRPr="00C610F4">
        <w:rPr>
          <w:rStyle w:val="ab"/>
        </w:rPr>
        <w:footnoteRef/>
      </w:r>
      <w:r w:rsidRPr="00C610F4">
        <w:t> </w:t>
      </w:r>
      <w:r w:rsidRPr="002D7FC2">
        <w:t>Закон Чукотского автономного округа от 1</w:t>
      </w:r>
      <w:r>
        <w:t xml:space="preserve"> декабря </w:t>
      </w:r>
      <w:r w:rsidRPr="002D7FC2">
        <w:t>2021</w:t>
      </w:r>
      <w:r>
        <w:t xml:space="preserve"> года №</w:t>
      </w:r>
      <w:r w:rsidRPr="002D7FC2">
        <w:t xml:space="preserve">67-ОЗ </w:t>
      </w:r>
      <w:r>
        <w:t>«</w:t>
      </w:r>
      <w:r w:rsidRPr="002D7FC2">
        <w:t>Об окружном бюджете на 2022 год и на плановый период 2023 и 2024 годов</w:t>
      </w:r>
      <w:r>
        <w:t>»</w:t>
      </w:r>
      <w:r w:rsidRPr="007361A2">
        <w:t xml:space="preserve"> (далее – Закон об окружном бюджете) </w:t>
      </w:r>
    </w:p>
  </w:footnote>
  <w:footnote w:id="130">
    <w:p w:rsidR="00000E53" w:rsidRPr="007361A2" w:rsidRDefault="00000E53" w:rsidP="00191861">
      <w:pPr>
        <w:pStyle w:val="a9"/>
        <w:ind w:firstLine="284"/>
      </w:pPr>
      <w:r w:rsidRPr="00C610F4">
        <w:rPr>
          <w:rStyle w:val="ab"/>
        </w:rPr>
        <w:footnoteRef/>
      </w:r>
      <w:r w:rsidRPr="00C610F4">
        <w:t> </w:t>
      </w:r>
      <w:r w:rsidRPr="002D7FC2">
        <w:t>Закон Чукотского автономного округа от 1</w:t>
      </w:r>
      <w:r>
        <w:t xml:space="preserve"> декабря </w:t>
      </w:r>
      <w:r w:rsidRPr="002D7FC2">
        <w:t>2021</w:t>
      </w:r>
      <w:r>
        <w:t xml:space="preserve"> года №</w:t>
      </w:r>
      <w:r w:rsidRPr="002D7FC2">
        <w:t xml:space="preserve">67-ОЗ </w:t>
      </w:r>
      <w:r>
        <w:t>«</w:t>
      </w:r>
      <w:r w:rsidRPr="002D7FC2">
        <w:t>Об окружном бюджете на 2022 год и на плановый период 2023 и 2024 годов</w:t>
      </w:r>
      <w:r>
        <w:t>»</w:t>
      </w:r>
      <w:r w:rsidRPr="007361A2">
        <w:t xml:space="preserve"> (далее – Закон об окружном бюджете) </w:t>
      </w:r>
    </w:p>
  </w:footnote>
  <w:footnote w:id="131">
    <w:p w:rsidR="00000E53" w:rsidRPr="007361A2" w:rsidRDefault="00000E53" w:rsidP="00191861">
      <w:pPr>
        <w:pStyle w:val="a9"/>
        <w:ind w:firstLine="284"/>
        <w:jc w:val="both"/>
      </w:pPr>
      <w:r w:rsidRPr="00873415">
        <w:rPr>
          <w:rStyle w:val="ab"/>
        </w:rPr>
        <w:footnoteRef/>
      </w:r>
      <w:r w:rsidRPr="00873415">
        <w:t> Порядок составления и ведения сводной бюджетной росписи окружного бюджета утвержден Приказом Департамента финансов, экономики и имущественных отношений Чукотского автономного круга от 11 ноября 2013 года №73 «Об утверждении Порядка составления и ведения сводной бюджетной росписи окружного бюджета и бюджетных росписей главных распорядителей средств окружного бюджета (главных администраторов источников финансирования дефицита окружного бюджета)»</w:t>
      </w:r>
      <w:r w:rsidRPr="007361A2">
        <w:t xml:space="preserve"> </w:t>
      </w:r>
    </w:p>
  </w:footnote>
  <w:footnote w:id="132">
    <w:p w:rsidR="00000E53" w:rsidRPr="007361A2" w:rsidRDefault="00000E53" w:rsidP="00191861">
      <w:pPr>
        <w:pStyle w:val="a9"/>
        <w:ind w:firstLine="284"/>
        <w:jc w:val="both"/>
      </w:pPr>
      <w:r w:rsidRPr="007361A2">
        <w:rPr>
          <w:rStyle w:val="ab"/>
        </w:rPr>
        <w:footnoteRef/>
      </w:r>
      <w:r w:rsidRPr="007361A2">
        <w:t xml:space="preserve"> Отчет об исполнении </w:t>
      </w:r>
      <w:r w:rsidRPr="00B10D8B">
        <w:t>окружного бюджета за 1</w:t>
      </w:r>
      <w:r>
        <w:t xml:space="preserve"> </w:t>
      </w:r>
      <w:r w:rsidRPr="00B10D8B">
        <w:t>квартал 202</w:t>
      </w:r>
      <w:r>
        <w:t>2</w:t>
      </w:r>
      <w:r w:rsidRPr="00B10D8B">
        <w:t xml:space="preserve"> года утвержден Распоряжением Правительства Чукотского автономного округа от 22 апреля 2022 года №188-рп (далее – Отчет</w:t>
      </w:r>
      <w:r w:rsidRPr="007361A2">
        <w:t xml:space="preserve"> об исполнении окружного бюджета)</w:t>
      </w:r>
    </w:p>
  </w:footnote>
  <w:footnote w:id="133">
    <w:p w:rsidR="00000E53" w:rsidRPr="00C610F4" w:rsidRDefault="00000E53" w:rsidP="00191861">
      <w:pPr>
        <w:autoSpaceDE w:val="0"/>
        <w:autoSpaceDN w:val="0"/>
        <w:adjustRightInd w:val="0"/>
        <w:ind w:firstLine="284"/>
        <w:jc w:val="both"/>
        <w:rPr>
          <w:sz w:val="20"/>
          <w:szCs w:val="20"/>
        </w:rPr>
      </w:pPr>
      <w:r w:rsidRPr="007361A2">
        <w:rPr>
          <w:rStyle w:val="ab"/>
          <w:sz w:val="20"/>
          <w:szCs w:val="20"/>
        </w:rPr>
        <w:footnoteRef/>
      </w:r>
      <w:r w:rsidRPr="007361A2">
        <w:rPr>
          <w:sz w:val="20"/>
          <w:szCs w:val="20"/>
        </w:rPr>
        <w:t xml:space="preserve"> По данным </w:t>
      </w:r>
      <w:r w:rsidRPr="007361A2">
        <w:rPr>
          <w:rFonts w:eastAsiaTheme="minorHAnsi"/>
          <w:sz w:val="20"/>
          <w:szCs w:val="20"/>
          <w:lang w:eastAsia="en-US"/>
        </w:rPr>
        <w:t>Отчета об исполнении бюджета (форма 0503117), утвержденного Приказом</w:t>
      </w:r>
      <w:r w:rsidRPr="00C610F4">
        <w:rPr>
          <w:rFonts w:eastAsiaTheme="minorHAnsi"/>
          <w:sz w:val="20"/>
          <w:szCs w:val="20"/>
          <w:lang w:eastAsia="en-US"/>
        </w:rPr>
        <w:t xml:space="preserve"> Министерства финансов Российской Федерации от 28 декабря 2010 года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footnote>
  <w:footnote w:id="134">
    <w:p w:rsidR="00000E53" w:rsidRDefault="00000E53" w:rsidP="00191861">
      <w:pPr>
        <w:pStyle w:val="a9"/>
        <w:ind w:firstLine="426"/>
        <w:jc w:val="both"/>
      </w:pPr>
      <w:r>
        <w:rPr>
          <w:rStyle w:val="ab"/>
        </w:rPr>
        <w:footnoteRef/>
      </w:r>
      <w:r>
        <w:t> </w:t>
      </w:r>
      <w:r w:rsidRPr="009B653D">
        <w:rPr>
          <w:sz w:val="18"/>
          <w:szCs w:val="18"/>
        </w:rPr>
        <w:t>Постановление Правительства Чукотского автономного округа от 18 декабря 2001 года №187 «Об утверждении Положения о</w:t>
      </w:r>
      <w:r>
        <w:rPr>
          <w:sz w:val="18"/>
          <w:szCs w:val="18"/>
        </w:rPr>
        <w:t> </w:t>
      </w:r>
      <w:r w:rsidRPr="009B653D">
        <w:rPr>
          <w:sz w:val="18"/>
          <w:szCs w:val="18"/>
        </w:rPr>
        <w:t xml:space="preserve">порядке </w:t>
      </w:r>
      <w:r w:rsidRPr="000C013F">
        <w:rPr>
          <w:sz w:val="18"/>
          <w:szCs w:val="18"/>
        </w:rPr>
        <w:t>расходования средств резервного фонда Правительства Чукотского автономного округа на непредвиденные расходы»</w:t>
      </w:r>
    </w:p>
  </w:footnote>
  <w:footnote w:id="135">
    <w:p w:rsidR="00000E53" w:rsidRPr="00F42AD5" w:rsidRDefault="00000E53" w:rsidP="00191861">
      <w:pPr>
        <w:pStyle w:val="a9"/>
        <w:jc w:val="both"/>
        <w:rPr>
          <w:sz w:val="18"/>
          <w:szCs w:val="18"/>
        </w:rPr>
      </w:pPr>
      <w:r w:rsidRPr="00F42AD5">
        <w:rPr>
          <w:rStyle w:val="ab"/>
          <w:sz w:val="18"/>
          <w:szCs w:val="18"/>
        </w:rPr>
        <w:footnoteRef/>
      </w:r>
      <w:r w:rsidRPr="00F42AD5">
        <w:rPr>
          <w:sz w:val="18"/>
          <w:szCs w:val="18"/>
        </w:rPr>
        <w:t xml:space="preserve"> </w:t>
      </w:r>
      <w:r w:rsidRPr="00F42AD5">
        <w:rPr>
          <w:bCs/>
          <w:color w:val="000000"/>
          <w:sz w:val="18"/>
          <w:szCs w:val="18"/>
        </w:rPr>
        <w:t>Закон Чукотского автономного округа от 1 декабря 2021 г. №67-ОЗ "Об окружном бюджете на 2022 год и на плановый период 2023 и 2024 годов" (далее – Закон №67-ОЗ, Закон об окружном бюджете на 2022 год)</w:t>
      </w:r>
    </w:p>
  </w:footnote>
  <w:footnote w:id="136">
    <w:p w:rsidR="00000E53" w:rsidRPr="00F42AD5" w:rsidRDefault="00000E53" w:rsidP="00191861">
      <w:pPr>
        <w:pStyle w:val="a9"/>
        <w:rPr>
          <w:sz w:val="18"/>
          <w:szCs w:val="18"/>
        </w:rPr>
      </w:pPr>
      <w:r w:rsidRPr="00F42AD5">
        <w:rPr>
          <w:rStyle w:val="ab"/>
          <w:sz w:val="18"/>
          <w:szCs w:val="18"/>
        </w:rPr>
        <w:footnoteRef/>
      </w:r>
      <w:r w:rsidRPr="00F42AD5">
        <w:rPr>
          <w:sz w:val="18"/>
          <w:szCs w:val="18"/>
        </w:rPr>
        <w:t xml:space="preserve"> </w:t>
      </w:r>
      <w:r w:rsidRPr="00F42AD5">
        <w:rPr>
          <w:color w:val="000000"/>
          <w:sz w:val="18"/>
          <w:szCs w:val="18"/>
        </w:rPr>
        <w:t>без учета прочих внебюджетных источников финансирования</w:t>
      </w:r>
    </w:p>
  </w:footnote>
  <w:footnote w:id="137">
    <w:p w:rsidR="00000E53" w:rsidRPr="00F42AD5" w:rsidRDefault="00000E53" w:rsidP="00191861">
      <w:pPr>
        <w:pStyle w:val="a9"/>
        <w:jc w:val="both"/>
        <w:rPr>
          <w:sz w:val="18"/>
          <w:szCs w:val="18"/>
        </w:rPr>
      </w:pPr>
      <w:r w:rsidRPr="00F42AD5">
        <w:rPr>
          <w:rStyle w:val="ab"/>
          <w:sz w:val="18"/>
          <w:szCs w:val="18"/>
        </w:rPr>
        <w:footnoteRef/>
      </w:r>
      <w:r w:rsidRPr="00F42AD5">
        <w:rPr>
          <w:sz w:val="18"/>
          <w:szCs w:val="18"/>
        </w:rPr>
        <w:t xml:space="preserve"> - региональные проекты Чукотского автономного округа реализуются в рамках проведения отдельных мероприятий национальных проектов, разработанных на федеральном уровне в соответствии с Указом Президента Российской Федерации от </w:t>
      </w:r>
      <w:r>
        <w:rPr>
          <w:sz w:val="18"/>
          <w:szCs w:val="18"/>
        </w:rPr>
        <w:t>0</w:t>
      </w:r>
      <w:r w:rsidRPr="00F42AD5">
        <w:rPr>
          <w:sz w:val="18"/>
          <w:szCs w:val="18"/>
        </w:rPr>
        <w:t>7</w:t>
      </w:r>
      <w:r>
        <w:rPr>
          <w:sz w:val="18"/>
          <w:szCs w:val="18"/>
        </w:rPr>
        <w:t>.05.</w:t>
      </w:r>
      <w:r w:rsidRPr="00F42AD5">
        <w:rPr>
          <w:sz w:val="18"/>
          <w:szCs w:val="18"/>
        </w:rPr>
        <w:t>2018г</w:t>
      </w:r>
      <w:r>
        <w:rPr>
          <w:sz w:val="18"/>
          <w:szCs w:val="18"/>
        </w:rPr>
        <w:t>.</w:t>
      </w:r>
      <w:r w:rsidRPr="00F42AD5">
        <w:rPr>
          <w:sz w:val="18"/>
          <w:szCs w:val="18"/>
        </w:rPr>
        <w:t>№204 «О национальных целях и стратегических задачах развития Российской Федерации на период до 2024 г</w:t>
      </w:r>
      <w:r>
        <w:rPr>
          <w:sz w:val="18"/>
          <w:szCs w:val="18"/>
        </w:rPr>
        <w:t>.</w:t>
      </w:r>
      <w:r w:rsidRPr="00F42AD5">
        <w:rPr>
          <w:sz w:val="18"/>
          <w:szCs w:val="18"/>
        </w:rPr>
        <w:t>»</w:t>
      </w:r>
    </w:p>
  </w:footnote>
  <w:footnote w:id="138">
    <w:p w:rsidR="00000E53" w:rsidRPr="00FC5EAC" w:rsidRDefault="00000E53" w:rsidP="000B7B23">
      <w:pPr>
        <w:pStyle w:val="a9"/>
        <w:jc w:val="both"/>
      </w:pPr>
      <w:r w:rsidRPr="00FC5EAC">
        <w:rPr>
          <w:rStyle w:val="ab"/>
        </w:rPr>
        <w:footnoteRef/>
      </w:r>
      <w:r w:rsidRPr="00FC5EAC">
        <w:t xml:space="preserve"> Счетная палата Чукотского автономного округа (далее – Счетная палата);</w:t>
      </w:r>
    </w:p>
  </w:footnote>
  <w:footnote w:id="139">
    <w:p w:rsidR="00000E53" w:rsidRPr="00FC5EAC" w:rsidRDefault="00000E53" w:rsidP="000B7B23">
      <w:pPr>
        <w:pStyle w:val="a9"/>
        <w:jc w:val="both"/>
      </w:pPr>
      <w:r w:rsidRPr="00FC5EAC">
        <w:rPr>
          <w:rStyle w:val="ab"/>
        </w:rPr>
        <w:footnoteRef/>
      </w:r>
      <w:r w:rsidRPr="00FC5EAC">
        <w:t xml:space="preserve"> </w:t>
      </w:r>
      <w:r w:rsidRPr="00FC5EAC">
        <w:rPr>
          <w:color w:val="000000"/>
        </w:rPr>
        <w:t>Некоммерческая организация «Фонд поддержки молодежи» (далее – Фонд);</w:t>
      </w:r>
    </w:p>
  </w:footnote>
  <w:footnote w:id="140">
    <w:p w:rsidR="00000E53" w:rsidRPr="004F78BA" w:rsidRDefault="00000E53" w:rsidP="000B7B23">
      <w:pPr>
        <w:pStyle w:val="a9"/>
        <w:jc w:val="both"/>
        <w:rPr>
          <w:sz w:val="18"/>
          <w:szCs w:val="18"/>
        </w:rPr>
      </w:pPr>
      <w:r w:rsidRPr="004F78BA">
        <w:rPr>
          <w:rStyle w:val="ab"/>
          <w:sz w:val="18"/>
          <w:szCs w:val="18"/>
        </w:rPr>
        <w:footnoteRef/>
      </w:r>
      <w:r w:rsidRPr="004F78BA">
        <w:rPr>
          <w:sz w:val="18"/>
          <w:szCs w:val="18"/>
        </w:rPr>
        <w:t xml:space="preserve"> Федеральный закон от 12</w:t>
      </w:r>
      <w:r>
        <w:rPr>
          <w:sz w:val="18"/>
          <w:szCs w:val="18"/>
        </w:rPr>
        <w:t>.01.</w:t>
      </w:r>
      <w:r w:rsidRPr="004F78BA">
        <w:rPr>
          <w:sz w:val="18"/>
          <w:szCs w:val="18"/>
        </w:rPr>
        <w:t>1996г</w:t>
      </w:r>
      <w:r>
        <w:rPr>
          <w:sz w:val="18"/>
          <w:szCs w:val="18"/>
        </w:rPr>
        <w:t>.</w:t>
      </w:r>
      <w:r w:rsidRPr="004F78BA">
        <w:rPr>
          <w:sz w:val="18"/>
          <w:szCs w:val="18"/>
        </w:rPr>
        <w:t xml:space="preserve"> №7-ФЗ «О некоммерческих организациях» (далее – Федеральный закон №7-ФЗ);</w:t>
      </w:r>
    </w:p>
  </w:footnote>
  <w:footnote w:id="141">
    <w:p w:rsidR="00000E53" w:rsidRPr="004F78BA" w:rsidRDefault="00000E53" w:rsidP="000B7B23">
      <w:pPr>
        <w:pStyle w:val="a9"/>
        <w:jc w:val="both"/>
        <w:rPr>
          <w:sz w:val="18"/>
          <w:szCs w:val="18"/>
        </w:rPr>
      </w:pPr>
      <w:r w:rsidRPr="004F78BA">
        <w:rPr>
          <w:rStyle w:val="ab"/>
          <w:sz w:val="18"/>
          <w:szCs w:val="18"/>
        </w:rPr>
        <w:footnoteRef/>
      </w:r>
      <w:r w:rsidRPr="004F78BA">
        <w:rPr>
          <w:sz w:val="18"/>
          <w:szCs w:val="18"/>
        </w:rPr>
        <w:t xml:space="preserve"> Распоряжение Правительства Чукотского автономного округа от 13</w:t>
      </w:r>
      <w:r>
        <w:rPr>
          <w:sz w:val="18"/>
          <w:szCs w:val="18"/>
        </w:rPr>
        <w:t>.12.</w:t>
      </w:r>
      <w:r w:rsidRPr="004F78BA">
        <w:rPr>
          <w:sz w:val="18"/>
          <w:szCs w:val="18"/>
        </w:rPr>
        <w:t>2017г</w:t>
      </w:r>
      <w:r>
        <w:rPr>
          <w:sz w:val="18"/>
          <w:szCs w:val="18"/>
        </w:rPr>
        <w:t>.</w:t>
      </w:r>
      <w:r w:rsidRPr="004F78BA">
        <w:rPr>
          <w:sz w:val="18"/>
          <w:szCs w:val="18"/>
        </w:rPr>
        <w:t xml:space="preserve"> №519-рп «О создании некоммерческой организации </w:t>
      </w:r>
      <w:r w:rsidRPr="004F78BA">
        <w:rPr>
          <w:color w:val="000000"/>
          <w:sz w:val="18"/>
          <w:szCs w:val="18"/>
        </w:rPr>
        <w:t>«Фонд поддержки молодежи»;</w:t>
      </w:r>
    </w:p>
  </w:footnote>
  <w:footnote w:id="142">
    <w:p w:rsidR="00000E53" w:rsidRPr="004F78BA" w:rsidRDefault="00000E53" w:rsidP="000B7B23">
      <w:pPr>
        <w:pStyle w:val="a9"/>
        <w:jc w:val="both"/>
        <w:rPr>
          <w:sz w:val="18"/>
          <w:szCs w:val="18"/>
        </w:rPr>
      </w:pPr>
      <w:r w:rsidRPr="004F78BA">
        <w:rPr>
          <w:rStyle w:val="ab"/>
          <w:sz w:val="18"/>
          <w:szCs w:val="18"/>
        </w:rPr>
        <w:footnoteRef/>
      </w:r>
      <w:r w:rsidRPr="004F78BA">
        <w:rPr>
          <w:sz w:val="18"/>
          <w:szCs w:val="18"/>
        </w:rPr>
        <w:t xml:space="preserve"> </w:t>
      </w:r>
      <w:r w:rsidRPr="004F78BA">
        <w:rPr>
          <w:color w:val="000000"/>
          <w:sz w:val="18"/>
          <w:szCs w:val="18"/>
        </w:rPr>
        <w:t>Аппарат Губернатора и Правительства Чукотского автономного округа (далее – учредитель, Аппарат)</w:t>
      </w:r>
    </w:p>
  </w:footnote>
  <w:footnote w:id="143">
    <w:p w:rsidR="00000E53" w:rsidRPr="0094520F" w:rsidRDefault="00000E53" w:rsidP="000B7B23">
      <w:pPr>
        <w:jc w:val="both"/>
        <w:rPr>
          <w:sz w:val="18"/>
          <w:szCs w:val="18"/>
        </w:rPr>
      </w:pPr>
      <w:r w:rsidRPr="0094520F">
        <w:rPr>
          <w:rStyle w:val="ab"/>
          <w:sz w:val="18"/>
          <w:szCs w:val="18"/>
        </w:rPr>
        <w:footnoteRef/>
      </w:r>
      <w:r w:rsidRPr="0094520F">
        <w:rPr>
          <w:sz w:val="18"/>
          <w:szCs w:val="18"/>
        </w:rPr>
        <w:t xml:space="preserve"> Протокол Совета Фонда №14 от 29 ноября 2019 года;</w:t>
      </w:r>
    </w:p>
  </w:footnote>
  <w:footnote w:id="144">
    <w:p w:rsidR="00000E53" w:rsidRPr="0094520F" w:rsidRDefault="00000E53" w:rsidP="000B7B23">
      <w:pPr>
        <w:pStyle w:val="a9"/>
        <w:jc w:val="both"/>
        <w:rPr>
          <w:sz w:val="18"/>
          <w:szCs w:val="18"/>
        </w:rPr>
      </w:pPr>
      <w:r w:rsidRPr="0094520F">
        <w:rPr>
          <w:rStyle w:val="ab"/>
          <w:sz w:val="18"/>
          <w:szCs w:val="18"/>
        </w:rPr>
        <w:footnoteRef/>
      </w:r>
      <w:r w:rsidRPr="0094520F">
        <w:rPr>
          <w:sz w:val="18"/>
          <w:szCs w:val="18"/>
        </w:rPr>
        <w:t xml:space="preserve"> Учетная политика Фонда, утверждена приказом от 1 сентября 2018 года №4-о;</w:t>
      </w:r>
    </w:p>
  </w:footnote>
  <w:footnote w:id="145">
    <w:p w:rsidR="00000E53" w:rsidRPr="0094520F" w:rsidRDefault="00000E53" w:rsidP="000B7B23">
      <w:pPr>
        <w:pStyle w:val="a9"/>
        <w:jc w:val="both"/>
        <w:rPr>
          <w:sz w:val="18"/>
          <w:szCs w:val="18"/>
        </w:rPr>
      </w:pPr>
      <w:r w:rsidRPr="0094520F">
        <w:rPr>
          <w:rStyle w:val="ab"/>
          <w:sz w:val="18"/>
          <w:szCs w:val="18"/>
        </w:rPr>
        <w:footnoteRef/>
      </w:r>
      <w:r w:rsidRPr="0094520F">
        <w:rPr>
          <w:sz w:val="18"/>
          <w:szCs w:val="18"/>
        </w:rPr>
        <w:t xml:space="preserve"> Правила внутреннего трудового распорядка Фонда, утверждены приказом от 1 сентября 2018 года №5-о;</w:t>
      </w:r>
    </w:p>
  </w:footnote>
  <w:footnote w:id="146">
    <w:p w:rsidR="00000E53" w:rsidRPr="0094520F" w:rsidRDefault="00000E53" w:rsidP="000B7B23">
      <w:pPr>
        <w:jc w:val="both"/>
        <w:rPr>
          <w:sz w:val="18"/>
          <w:szCs w:val="18"/>
        </w:rPr>
      </w:pPr>
      <w:r w:rsidRPr="0094520F">
        <w:rPr>
          <w:rStyle w:val="ab"/>
          <w:sz w:val="18"/>
          <w:szCs w:val="18"/>
        </w:rPr>
        <w:footnoteRef/>
      </w:r>
      <w:r w:rsidRPr="0094520F">
        <w:rPr>
          <w:sz w:val="18"/>
          <w:szCs w:val="18"/>
        </w:rPr>
        <w:t> Порядок и размеры возмещения расходов работникам аппарата Фонда, связанных со служебными командировками, утвержден приказом от 1 сентября 2018 года №9-о</w:t>
      </w:r>
      <w:r>
        <w:rPr>
          <w:sz w:val="18"/>
          <w:szCs w:val="18"/>
        </w:rPr>
        <w:t>.</w:t>
      </w:r>
    </w:p>
    <w:p w:rsidR="00000E53" w:rsidRPr="0094520F" w:rsidRDefault="00000E53" w:rsidP="000B7B23">
      <w:pPr>
        <w:pStyle w:val="a9"/>
        <w:jc w:val="both"/>
        <w:rPr>
          <w:sz w:val="18"/>
          <w:szCs w:val="18"/>
        </w:rPr>
      </w:pPr>
    </w:p>
  </w:footnote>
  <w:footnote w:id="147">
    <w:p w:rsidR="00000E53" w:rsidRPr="00F12C84" w:rsidRDefault="00000E53" w:rsidP="000B7B23">
      <w:pPr>
        <w:pStyle w:val="a9"/>
        <w:jc w:val="both"/>
        <w:rPr>
          <w:sz w:val="18"/>
          <w:szCs w:val="18"/>
        </w:rPr>
      </w:pPr>
      <w:r w:rsidRPr="00F12C84">
        <w:rPr>
          <w:rStyle w:val="ab"/>
          <w:sz w:val="18"/>
          <w:szCs w:val="18"/>
        </w:rPr>
        <w:footnoteRef/>
      </w:r>
      <w:r w:rsidRPr="00F12C84">
        <w:rPr>
          <w:sz w:val="18"/>
          <w:szCs w:val="18"/>
        </w:rPr>
        <w:t> </w:t>
      </w:r>
      <w:bookmarkStart w:id="76" w:name="_Hlk104476135"/>
      <w:r w:rsidRPr="00F12C84">
        <w:rPr>
          <w:sz w:val="18"/>
          <w:szCs w:val="18"/>
        </w:rPr>
        <w:t>Федеральный закон от 6 февраля 2011 года №402-ФЗ «О бухгалтерском учете» (далее – Закон о бухгалтерском учете);</w:t>
      </w:r>
      <w:bookmarkEnd w:id="76"/>
    </w:p>
  </w:footnote>
  <w:footnote w:id="148">
    <w:p w:rsidR="00000E53" w:rsidRPr="00F12C84" w:rsidRDefault="00000E53" w:rsidP="000B7B23">
      <w:pPr>
        <w:autoSpaceDE w:val="0"/>
        <w:autoSpaceDN w:val="0"/>
        <w:adjustRightInd w:val="0"/>
        <w:jc w:val="both"/>
        <w:rPr>
          <w:sz w:val="18"/>
          <w:szCs w:val="18"/>
        </w:rPr>
      </w:pPr>
      <w:r w:rsidRPr="00F12C84">
        <w:rPr>
          <w:rStyle w:val="ab"/>
          <w:sz w:val="18"/>
          <w:szCs w:val="18"/>
        </w:rPr>
        <w:footnoteRef/>
      </w:r>
      <w:r w:rsidRPr="00F12C84">
        <w:rPr>
          <w:sz w:val="18"/>
          <w:szCs w:val="18"/>
        </w:rPr>
        <w:t xml:space="preserve"> </w:t>
      </w:r>
      <w:r w:rsidRPr="00F12C84">
        <w:rPr>
          <w:color w:val="000000"/>
          <w:sz w:val="18"/>
          <w:szCs w:val="18"/>
        </w:rPr>
        <w:t>13 мая 2022 года проверке были представлены следующие документы за 2020 год:</w:t>
      </w:r>
      <w:r w:rsidRPr="00F12C84">
        <w:rPr>
          <w:sz w:val="18"/>
          <w:szCs w:val="18"/>
        </w:rPr>
        <w:t xml:space="preserve"> протоколы Совета Фонда; упрощенная бухгалтерская (финансовая) отчетность; статистическая отчетность;</w:t>
      </w:r>
      <w:r w:rsidRPr="00F12C84">
        <w:rPr>
          <w:color w:val="000000"/>
          <w:sz w:val="18"/>
          <w:szCs w:val="18"/>
        </w:rPr>
        <w:t xml:space="preserve"> первичные учетные </w:t>
      </w:r>
      <w:r w:rsidRPr="00F12C84">
        <w:rPr>
          <w:sz w:val="18"/>
          <w:szCs w:val="18"/>
        </w:rPr>
        <w:t xml:space="preserve">документы, </w:t>
      </w:r>
      <w:r w:rsidRPr="00F12C84">
        <w:rPr>
          <w:color w:val="000000"/>
          <w:sz w:val="18"/>
          <w:szCs w:val="18"/>
        </w:rPr>
        <w:t>частично</w:t>
      </w:r>
      <w:r w:rsidRPr="00F12C84">
        <w:rPr>
          <w:sz w:val="18"/>
          <w:szCs w:val="18"/>
        </w:rPr>
        <w:t xml:space="preserve"> подтверждающие расходы Фонда за 2020 год. </w:t>
      </w:r>
    </w:p>
    <w:p w:rsidR="00000E53" w:rsidRPr="00565E66" w:rsidRDefault="00000E53" w:rsidP="000B7B23">
      <w:pPr>
        <w:pStyle w:val="a9"/>
      </w:pPr>
    </w:p>
  </w:footnote>
  <w:footnote w:id="149">
    <w:p w:rsidR="00000E53" w:rsidRPr="0094520F" w:rsidRDefault="00000E53" w:rsidP="000B7B23">
      <w:pPr>
        <w:pStyle w:val="a9"/>
        <w:jc w:val="both"/>
        <w:rPr>
          <w:sz w:val="18"/>
          <w:szCs w:val="18"/>
        </w:rPr>
      </w:pPr>
      <w:r w:rsidRPr="0094520F">
        <w:rPr>
          <w:rStyle w:val="ab"/>
          <w:sz w:val="18"/>
          <w:szCs w:val="18"/>
        </w:rPr>
        <w:footnoteRef/>
      </w:r>
      <w:r w:rsidRPr="0094520F">
        <w:rPr>
          <w:sz w:val="18"/>
          <w:szCs w:val="18"/>
        </w:rPr>
        <w:t xml:space="preserve"> Порядок определения объема и предоставления субсидии некоммерческой организации «Фонд поддержки молодежи», утвержден Постановлением Правительства Чукотского автономного округа от 31</w:t>
      </w:r>
      <w:r>
        <w:rPr>
          <w:sz w:val="18"/>
          <w:szCs w:val="18"/>
        </w:rPr>
        <w:t>.07.</w:t>
      </w:r>
      <w:r w:rsidRPr="0094520F">
        <w:rPr>
          <w:sz w:val="18"/>
          <w:szCs w:val="18"/>
        </w:rPr>
        <w:t>2018г</w:t>
      </w:r>
      <w:r>
        <w:rPr>
          <w:sz w:val="18"/>
          <w:szCs w:val="18"/>
        </w:rPr>
        <w:t>.</w:t>
      </w:r>
      <w:r w:rsidRPr="0094520F">
        <w:rPr>
          <w:sz w:val="18"/>
          <w:szCs w:val="18"/>
        </w:rPr>
        <w:t xml:space="preserve"> №250 (далее – Порядок №250)</w:t>
      </w:r>
    </w:p>
  </w:footnote>
  <w:footnote w:id="150">
    <w:p w:rsidR="00000E53" w:rsidRPr="004F78BA" w:rsidRDefault="00000E53" w:rsidP="000B7B23">
      <w:pPr>
        <w:autoSpaceDE w:val="0"/>
        <w:autoSpaceDN w:val="0"/>
        <w:adjustRightInd w:val="0"/>
        <w:jc w:val="both"/>
        <w:rPr>
          <w:sz w:val="18"/>
          <w:szCs w:val="18"/>
        </w:rPr>
      </w:pPr>
      <w:r w:rsidRPr="004F78BA">
        <w:rPr>
          <w:rStyle w:val="ab"/>
          <w:sz w:val="18"/>
          <w:szCs w:val="18"/>
        </w:rPr>
        <w:footnoteRef/>
      </w:r>
      <w:r w:rsidRPr="004F78BA">
        <w:rPr>
          <w:sz w:val="18"/>
          <w:szCs w:val="18"/>
        </w:rPr>
        <w:t xml:space="preserve"> документы, подтверждающие расходы Фонда за 2020 год</w:t>
      </w:r>
      <w:r w:rsidRPr="004F78BA">
        <w:rPr>
          <w:b/>
          <w:sz w:val="18"/>
          <w:szCs w:val="18"/>
        </w:rPr>
        <w:t xml:space="preserve"> </w:t>
      </w:r>
      <w:r w:rsidRPr="004F78BA">
        <w:rPr>
          <w:sz w:val="18"/>
          <w:szCs w:val="18"/>
        </w:rPr>
        <w:t>представлены проверке 13</w:t>
      </w:r>
      <w:r>
        <w:rPr>
          <w:sz w:val="18"/>
          <w:szCs w:val="18"/>
        </w:rPr>
        <w:t>.05.</w:t>
      </w:r>
      <w:r w:rsidRPr="004F78BA">
        <w:rPr>
          <w:sz w:val="18"/>
          <w:szCs w:val="18"/>
        </w:rPr>
        <w:t>2022г</w:t>
      </w:r>
      <w:r>
        <w:rPr>
          <w:sz w:val="18"/>
          <w:szCs w:val="18"/>
        </w:rPr>
        <w:t>.</w:t>
      </w:r>
      <w:r w:rsidRPr="004F78BA">
        <w:rPr>
          <w:sz w:val="18"/>
          <w:szCs w:val="18"/>
        </w:rPr>
        <w:t xml:space="preserve"> после проведения аудита бухгалтерской (финансовой) отчетности Фонда за 2020 год согласно договору на проведение аудита бухгалтерской отчетности от 10</w:t>
      </w:r>
      <w:r>
        <w:rPr>
          <w:sz w:val="18"/>
          <w:szCs w:val="18"/>
        </w:rPr>
        <w:t>.03.</w:t>
      </w:r>
      <w:r w:rsidRPr="004F78BA">
        <w:rPr>
          <w:sz w:val="18"/>
          <w:szCs w:val="18"/>
        </w:rPr>
        <w:t>2022г</w:t>
      </w:r>
      <w:r>
        <w:rPr>
          <w:sz w:val="18"/>
          <w:szCs w:val="18"/>
        </w:rPr>
        <w:t>.</w:t>
      </w:r>
      <w:r w:rsidRPr="004F78BA">
        <w:rPr>
          <w:sz w:val="18"/>
          <w:szCs w:val="18"/>
        </w:rPr>
        <w:t xml:space="preserve"> №120, заключенному с ООО «</w:t>
      </w:r>
      <w:proofErr w:type="spellStart"/>
      <w:r w:rsidRPr="004F78BA">
        <w:rPr>
          <w:sz w:val="18"/>
          <w:szCs w:val="18"/>
        </w:rPr>
        <w:t>Бэст</w:t>
      </w:r>
      <w:proofErr w:type="spellEnd"/>
      <w:r w:rsidRPr="004F78BA">
        <w:rPr>
          <w:sz w:val="18"/>
          <w:szCs w:val="18"/>
        </w:rPr>
        <w:t>-Аудит». Проверке представлено аудиторское заключение от 14</w:t>
      </w:r>
      <w:r>
        <w:rPr>
          <w:sz w:val="18"/>
          <w:szCs w:val="18"/>
        </w:rPr>
        <w:t>.03.</w:t>
      </w:r>
      <w:r w:rsidRPr="004F78BA">
        <w:rPr>
          <w:sz w:val="18"/>
          <w:szCs w:val="18"/>
        </w:rPr>
        <w:t>2022г</w:t>
      </w:r>
      <w:r>
        <w:rPr>
          <w:sz w:val="18"/>
          <w:szCs w:val="18"/>
        </w:rPr>
        <w:t>.</w:t>
      </w:r>
      <w:r w:rsidRPr="004F78BA">
        <w:rPr>
          <w:sz w:val="18"/>
          <w:szCs w:val="18"/>
        </w:rPr>
        <w:t>, подготовленное в отсутствии основных регистров бухгалтерского учета, что не дает достоверного представления о финансовом результате деятельности Фонда и движении денежных средств за отчетный период (пункт 1 статьи 13 Закона о бухгалтерском учете).</w:t>
      </w:r>
    </w:p>
    <w:p w:rsidR="00000E53" w:rsidRDefault="00000E53" w:rsidP="000B7B23">
      <w:pPr>
        <w:pStyle w:val="a9"/>
      </w:pPr>
    </w:p>
  </w:footnote>
  <w:footnote w:id="151">
    <w:p w:rsidR="00000E53" w:rsidRPr="009B5D21" w:rsidRDefault="00000E53" w:rsidP="000B7B23">
      <w:pPr>
        <w:pStyle w:val="a9"/>
        <w:jc w:val="both"/>
      </w:pPr>
      <w:r w:rsidRPr="009B5D21">
        <w:rPr>
          <w:rStyle w:val="ab"/>
        </w:rPr>
        <w:footnoteRef/>
      </w:r>
      <w:r w:rsidRPr="009B5D21">
        <w:t xml:space="preserve"> </w:t>
      </w:r>
      <w:hyperlink r:id="rId1" w:history="1">
        <w:r w:rsidRPr="009B5D21">
          <w:t>Положени</w:t>
        </w:r>
      </w:hyperlink>
      <w:r>
        <w:t>е</w:t>
      </w:r>
      <w:r w:rsidRPr="009B5D21">
        <w:t xml:space="preserve"> по бухгалтерскому учету «Учетная политика организации», утвержден</w:t>
      </w:r>
      <w:r>
        <w:t xml:space="preserve">о </w:t>
      </w:r>
      <w:r w:rsidRPr="009B5D21">
        <w:t>приказом Минфина Российской Федерации от 6 октября 2008 года №106н</w:t>
      </w:r>
    </w:p>
  </w:footnote>
  <w:footnote w:id="152">
    <w:p w:rsidR="00000E53" w:rsidRPr="00B809A2" w:rsidRDefault="00000E53" w:rsidP="000B7B23">
      <w:pPr>
        <w:pStyle w:val="a9"/>
        <w:jc w:val="both"/>
      </w:pPr>
      <w:r w:rsidRPr="00B809A2">
        <w:rPr>
          <w:rStyle w:val="ab"/>
        </w:rPr>
        <w:footnoteRef/>
      </w:r>
      <w:r w:rsidRPr="00B809A2">
        <w:t xml:space="preserve"> </w:t>
      </w:r>
      <w:r>
        <w:t>П</w:t>
      </w:r>
      <w:r w:rsidRPr="00B809A2">
        <w:t>ротокол</w:t>
      </w:r>
      <w:r>
        <w:t xml:space="preserve"> Совета Фонда</w:t>
      </w:r>
      <w:r w:rsidRPr="00B809A2">
        <w:t xml:space="preserve"> от </w:t>
      </w:r>
      <w:r>
        <w:t xml:space="preserve">2 декабря </w:t>
      </w:r>
      <w:r w:rsidRPr="00B809A2">
        <w:t>2019 г</w:t>
      </w:r>
      <w:r>
        <w:t>ода</w:t>
      </w:r>
      <w:r w:rsidRPr="00B809A2">
        <w:t xml:space="preserve"> №16</w:t>
      </w:r>
      <w:r>
        <w:t>;</w:t>
      </w:r>
    </w:p>
  </w:footnote>
  <w:footnote w:id="153">
    <w:p w:rsidR="00000E53" w:rsidRPr="003771A3" w:rsidRDefault="00000E53" w:rsidP="000B7B23">
      <w:pPr>
        <w:pStyle w:val="a9"/>
        <w:jc w:val="both"/>
      </w:pPr>
      <w:r w:rsidRPr="003771A3">
        <w:rPr>
          <w:rStyle w:val="ab"/>
        </w:rPr>
        <w:footnoteRef/>
      </w:r>
      <w:r w:rsidRPr="003771A3">
        <w:t xml:space="preserve"> </w:t>
      </w:r>
      <w:r>
        <w:t>П</w:t>
      </w:r>
      <w:r w:rsidRPr="003771A3">
        <w:t xml:space="preserve">ротокол </w:t>
      </w:r>
      <w:r>
        <w:t xml:space="preserve">Совета Фонда </w:t>
      </w:r>
      <w:r w:rsidRPr="003771A3">
        <w:t xml:space="preserve">от </w:t>
      </w:r>
      <w:r>
        <w:t xml:space="preserve">2 марта </w:t>
      </w:r>
      <w:r w:rsidRPr="003771A3">
        <w:t>2020 года б/н</w:t>
      </w:r>
      <w:r>
        <w:t>;</w:t>
      </w:r>
    </w:p>
  </w:footnote>
  <w:footnote w:id="154">
    <w:p w:rsidR="00000E53" w:rsidRPr="003771A3" w:rsidRDefault="00000E53" w:rsidP="000B7B23">
      <w:pPr>
        <w:pStyle w:val="a9"/>
        <w:jc w:val="both"/>
      </w:pPr>
      <w:r w:rsidRPr="003771A3">
        <w:rPr>
          <w:rStyle w:val="ab"/>
        </w:rPr>
        <w:footnoteRef/>
      </w:r>
      <w:r w:rsidRPr="003771A3">
        <w:t xml:space="preserve"> </w:t>
      </w:r>
      <w:r>
        <w:t>П</w:t>
      </w:r>
      <w:r w:rsidRPr="003771A3">
        <w:t xml:space="preserve">ротокол </w:t>
      </w:r>
      <w:r>
        <w:t xml:space="preserve">Совета Фонда </w:t>
      </w:r>
      <w:r w:rsidRPr="003771A3">
        <w:t xml:space="preserve">от </w:t>
      </w:r>
      <w:r>
        <w:t xml:space="preserve">1 июня </w:t>
      </w:r>
      <w:r w:rsidRPr="003771A3">
        <w:t>2021 г</w:t>
      </w:r>
      <w:r>
        <w:t>ода</w:t>
      </w:r>
      <w:r w:rsidRPr="003771A3">
        <w:t xml:space="preserve"> №8</w:t>
      </w:r>
      <w:r>
        <w:t>;</w:t>
      </w:r>
    </w:p>
  </w:footnote>
  <w:footnote w:id="155">
    <w:p w:rsidR="00000E53" w:rsidRPr="009C4EFC" w:rsidRDefault="00000E53" w:rsidP="00231761">
      <w:pPr>
        <w:pStyle w:val="a9"/>
        <w:jc w:val="both"/>
      </w:pPr>
      <w:r w:rsidRPr="009C4EFC">
        <w:rPr>
          <w:rStyle w:val="ab"/>
        </w:rPr>
        <w:footnoteRef/>
      </w:r>
      <w:r w:rsidRPr="009C4EFC">
        <w:t xml:space="preserve"> - Открытое акционерное общество «Шахта «Угольная» (далее – ОАО «Шахта «Угольная»)</w:t>
      </w:r>
      <w:r>
        <w:t>;</w:t>
      </w:r>
    </w:p>
  </w:footnote>
  <w:footnote w:id="156">
    <w:p w:rsidR="00000E53" w:rsidRPr="00E15BD7" w:rsidRDefault="00000E53" w:rsidP="00231761">
      <w:pPr>
        <w:pStyle w:val="a9"/>
        <w:jc w:val="both"/>
      </w:pPr>
      <w:r w:rsidRPr="00E15BD7">
        <w:rPr>
          <w:rStyle w:val="ab"/>
        </w:rPr>
        <w:footnoteRef/>
      </w:r>
      <w:r w:rsidRPr="00E15BD7">
        <w:t xml:space="preserve"> - далее – </w:t>
      </w:r>
      <w:r>
        <w:t>В</w:t>
      </w:r>
      <w:r w:rsidRPr="00E15BD7">
        <w:t>едомость оборудования и материалов</w:t>
      </w:r>
    </w:p>
  </w:footnote>
  <w:footnote w:id="157">
    <w:p w:rsidR="00000E53" w:rsidRPr="00FC15DC" w:rsidRDefault="00000E53" w:rsidP="00231761">
      <w:pPr>
        <w:pStyle w:val="a9"/>
        <w:jc w:val="both"/>
      </w:pPr>
      <w:r w:rsidRPr="00FC15DC">
        <w:rPr>
          <w:rStyle w:val="ab"/>
        </w:rPr>
        <w:footnoteRef/>
      </w:r>
      <w:r w:rsidRPr="00FC15DC">
        <w:t xml:space="preserve"> - далее – Субсидия на возмещение затрат, связанных с техническим перевооружением;</w:t>
      </w:r>
    </w:p>
  </w:footnote>
  <w:footnote w:id="158">
    <w:p w:rsidR="00000E53" w:rsidRPr="00203E23" w:rsidRDefault="00000E53" w:rsidP="00231761">
      <w:pPr>
        <w:pStyle w:val="a9"/>
        <w:jc w:val="both"/>
      </w:pPr>
      <w:r w:rsidRPr="00203E23">
        <w:rPr>
          <w:rStyle w:val="ab"/>
        </w:rPr>
        <w:footnoteRef/>
      </w:r>
      <w:r w:rsidRPr="00203E23">
        <w:t xml:space="preserve"> - далее – Субсидия на </w:t>
      </w:r>
      <w:r>
        <w:t>финансовое обеспечение</w:t>
      </w:r>
      <w:r w:rsidRPr="00203E23">
        <w:t xml:space="preserve"> затрат, связанных с техническим перевооружением;</w:t>
      </w:r>
    </w:p>
  </w:footnote>
  <w:footnote w:id="159">
    <w:p w:rsidR="00000E53" w:rsidRPr="008237AD" w:rsidRDefault="00000E53" w:rsidP="00231761">
      <w:pPr>
        <w:pStyle w:val="a9"/>
        <w:jc w:val="both"/>
      </w:pPr>
      <w:r w:rsidRPr="008237AD">
        <w:rPr>
          <w:rStyle w:val="ab"/>
        </w:rPr>
        <w:footnoteRef/>
      </w:r>
      <w:r w:rsidRPr="008237AD">
        <w:t xml:space="preserve"> </w:t>
      </w:r>
      <w:r>
        <w:t>- Закон Чукотского автономного округа от 2 декабря 2019 года №100-ОЗ «Об окружном бюджете на 2020 год и на плановый период 2021 и 2022 годов» (далее – Закон об окружном бюджете на 2020 год);</w:t>
      </w:r>
    </w:p>
  </w:footnote>
  <w:footnote w:id="160">
    <w:p w:rsidR="00000E53" w:rsidRPr="008237AD" w:rsidRDefault="00000E53" w:rsidP="00231761">
      <w:pPr>
        <w:pStyle w:val="a9"/>
        <w:jc w:val="both"/>
      </w:pPr>
      <w:r w:rsidRPr="008237AD">
        <w:rPr>
          <w:rStyle w:val="ab"/>
        </w:rPr>
        <w:footnoteRef/>
      </w:r>
      <w:r w:rsidRPr="008237AD">
        <w:t xml:space="preserve"> -</w:t>
      </w:r>
      <w:r>
        <w:t> Закон Чукотского автономного округа от 16 декабря 2020 года №74-ОЗ «Об окружном бюджете на 2021 год и на плановый период 2022 и 2023 годов» (далее – Закон об окружном бюджете на 2021 год);</w:t>
      </w:r>
    </w:p>
  </w:footnote>
  <w:footnote w:id="161">
    <w:p w:rsidR="00000E53" w:rsidRPr="002A1659" w:rsidRDefault="00000E53" w:rsidP="00231761">
      <w:pPr>
        <w:pStyle w:val="a9"/>
        <w:jc w:val="both"/>
      </w:pPr>
      <w:r w:rsidRPr="002A1659">
        <w:rPr>
          <w:rStyle w:val="ab"/>
        </w:rPr>
        <w:footnoteRef/>
      </w:r>
      <w:r>
        <w:t> </w:t>
      </w:r>
      <w:r w:rsidRPr="002A1659">
        <w:t>- в соответствии с требованиями Порядка предоставления из окружного бюджета субсидии юридическим лицам – предприятиям угольной промышленности, занимающимся добычей угля подземным способом, на возмещение затрат, связанных с техническим перевооружением», утвержденным Постановлением Правительства Чукотского автономного округа от 17 декабря 2020 года №572</w:t>
      </w:r>
    </w:p>
  </w:footnote>
  <w:footnote w:id="162">
    <w:p w:rsidR="00000E53" w:rsidRPr="0071473D" w:rsidRDefault="00000E53" w:rsidP="00231761">
      <w:pPr>
        <w:pStyle w:val="a9"/>
        <w:jc w:val="both"/>
      </w:pPr>
      <w:r w:rsidRPr="0071473D">
        <w:rPr>
          <w:rStyle w:val="ab"/>
        </w:rPr>
        <w:footnoteRef/>
      </w:r>
      <w:r w:rsidRPr="0071473D">
        <w:t xml:space="preserve"> - в соответствии с требованиями Порядка предоставления субсидии из окружного бюджета юридическим лицам – предприятиям угольной промышленности, занимающихся добычей угля подземным способом, на финансовое обеспечение затрат, связанных с техническим перевооружением, утвержденным Постановлением Правительства Чукотского автономного округа от 20 мая 2021 года №157</w:t>
      </w:r>
    </w:p>
  </w:footnote>
  <w:footnote w:id="163">
    <w:p w:rsidR="00000E53" w:rsidRPr="00C40008" w:rsidRDefault="00000E53" w:rsidP="00C404B9">
      <w:pPr>
        <w:pStyle w:val="a9"/>
        <w:jc w:val="both"/>
      </w:pPr>
      <w:r w:rsidRPr="00C40008">
        <w:rPr>
          <w:rStyle w:val="ab"/>
        </w:rPr>
        <w:footnoteRef/>
      </w:r>
      <w:r>
        <w:t xml:space="preserve"> - </w:t>
      </w:r>
      <w:r w:rsidRPr="00C40008">
        <w:t>далее – Подпрограмма, подпрограмма «Развитие жилищного строительства»</w:t>
      </w:r>
    </w:p>
  </w:footnote>
  <w:footnote w:id="164">
    <w:p w:rsidR="00000E53" w:rsidRPr="00DD3796" w:rsidRDefault="00000E53" w:rsidP="00C404B9">
      <w:pPr>
        <w:pStyle w:val="a9"/>
        <w:jc w:val="both"/>
        <w:rPr>
          <w:sz w:val="18"/>
          <w:szCs w:val="18"/>
        </w:rPr>
      </w:pPr>
      <w:r w:rsidRPr="00DD3796">
        <w:rPr>
          <w:rStyle w:val="ab"/>
          <w:sz w:val="18"/>
          <w:szCs w:val="18"/>
        </w:rPr>
        <w:footnoteRef/>
      </w:r>
      <w:r w:rsidRPr="00DD3796">
        <w:rPr>
          <w:sz w:val="18"/>
          <w:szCs w:val="18"/>
        </w:rPr>
        <w:t xml:space="preserve"> - Постановление Правительства Чукотского автономного округа от 16 августа 2017 года №316 (далее – Государственная программа №316, Государственная программа)</w:t>
      </w:r>
      <w:r w:rsidRPr="00DD3796">
        <w:rPr>
          <w:rFonts w:eastAsia="Calibri"/>
          <w:sz w:val="18"/>
          <w:szCs w:val="18"/>
        </w:rPr>
        <w:t>;</w:t>
      </w:r>
    </w:p>
  </w:footnote>
  <w:footnote w:id="165">
    <w:p w:rsidR="00000E53" w:rsidRPr="00DD3796" w:rsidRDefault="00000E53" w:rsidP="00C404B9">
      <w:pPr>
        <w:pStyle w:val="a9"/>
        <w:jc w:val="both"/>
        <w:rPr>
          <w:sz w:val="18"/>
          <w:szCs w:val="18"/>
        </w:rPr>
      </w:pPr>
      <w:r w:rsidRPr="00DD3796">
        <w:rPr>
          <w:rStyle w:val="ab"/>
          <w:sz w:val="18"/>
          <w:szCs w:val="18"/>
        </w:rPr>
        <w:footnoteRef/>
      </w:r>
      <w:r w:rsidRPr="00DD3796">
        <w:rPr>
          <w:sz w:val="18"/>
          <w:szCs w:val="18"/>
        </w:rPr>
        <w:t xml:space="preserve"> - </w:t>
      </w:r>
      <w:r w:rsidRPr="00DD3796">
        <w:rPr>
          <w:rFonts w:eastAsia="Calibri"/>
          <w:sz w:val="18"/>
          <w:szCs w:val="18"/>
        </w:rPr>
        <w:t>Закон Чукотского автономного округа от 2 декабря 2019 года   №100-ОЗ «Об окружном бюджете на 2020 год и на плановый период 2021 и 2022 годов» (далее – Закон об окружном бюджете на 2020 год)</w:t>
      </w:r>
    </w:p>
  </w:footnote>
  <w:footnote w:id="166">
    <w:p w:rsidR="00000E53" w:rsidRPr="00DD3796" w:rsidRDefault="00000E53" w:rsidP="00C404B9">
      <w:pPr>
        <w:pStyle w:val="a9"/>
        <w:jc w:val="both"/>
        <w:rPr>
          <w:sz w:val="18"/>
          <w:szCs w:val="18"/>
        </w:rPr>
      </w:pPr>
      <w:r w:rsidRPr="00DD3796">
        <w:rPr>
          <w:rStyle w:val="ab"/>
          <w:sz w:val="18"/>
          <w:szCs w:val="18"/>
        </w:rPr>
        <w:footnoteRef/>
      </w:r>
      <w:r w:rsidRPr="00DD3796">
        <w:rPr>
          <w:sz w:val="18"/>
          <w:szCs w:val="18"/>
        </w:rPr>
        <w:t xml:space="preserve"> - </w:t>
      </w:r>
      <w:r w:rsidRPr="00DD3796">
        <w:rPr>
          <w:rFonts w:eastAsia="Calibri"/>
          <w:sz w:val="18"/>
          <w:szCs w:val="18"/>
        </w:rPr>
        <w:t>Закон Чукотского автономного округа от 16 декабря 2020 года №74-ОЗ «Об окружном бюджете на 2021 год и на плановый период 2022 и 2023 годов» (далее – Закон об окружном бюджете на 2021 год);</w:t>
      </w:r>
    </w:p>
  </w:footnote>
  <w:footnote w:id="167">
    <w:p w:rsidR="00000E53" w:rsidRPr="00DD3796" w:rsidRDefault="00000E53" w:rsidP="00C404B9">
      <w:pPr>
        <w:pStyle w:val="a9"/>
        <w:jc w:val="both"/>
        <w:rPr>
          <w:sz w:val="18"/>
          <w:szCs w:val="18"/>
        </w:rPr>
      </w:pPr>
      <w:r w:rsidRPr="00DD3796">
        <w:rPr>
          <w:rStyle w:val="ab"/>
          <w:sz w:val="18"/>
          <w:szCs w:val="18"/>
        </w:rPr>
        <w:footnoteRef/>
      </w:r>
      <w:r w:rsidRPr="00DD3796">
        <w:rPr>
          <w:sz w:val="18"/>
          <w:szCs w:val="18"/>
        </w:rPr>
        <w:t xml:space="preserve"> - </w:t>
      </w:r>
      <w:r w:rsidRPr="00DD3796">
        <w:rPr>
          <w:rFonts w:eastAsia="Calibri"/>
          <w:sz w:val="18"/>
          <w:szCs w:val="18"/>
        </w:rPr>
        <w:t>Закон Чукотского автономного округа от 1 декабря 2021 года №67-ОЗ «Об окружном бюджете на 2022 год и на плановый период 2022 и 2024 годов» (далее – Закон об окружном бюджете на 2022 год);</w:t>
      </w:r>
    </w:p>
  </w:footnote>
  <w:footnote w:id="168">
    <w:p w:rsidR="00000E53" w:rsidRPr="00DD3796" w:rsidRDefault="00000E53" w:rsidP="00C404B9">
      <w:pPr>
        <w:pStyle w:val="a9"/>
        <w:jc w:val="both"/>
        <w:rPr>
          <w:sz w:val="18"/>
          <w:szCs w:val="18"/>
        </w:rPr>
      </w:pPr>
      <w:r w:rsidRPr="00DD3796">
        <w:rPr>
          <w:rStyle w:val="ab"/>
          <w:sz w:val="18"/>
          <w:szCs w:val="18"/>
        </w:rPr>
        <w:footnoteRef/>
      </w:r>
      <w:r w:rsidRPr="00DD3796">
        <w:rPr>
          <w:sz w:val="18"/>
          <w:szCs w:val="18"/>
        </w:rPr>
        <w:t xml:space="preserve"> - в 2020 году мероприятие реализовывалось в рамках Основного мероприятия </w:t>
      </w:r>
      <w:r w:rsidRPr="00DD3796">
        <w:rPr>
          <w:color w:val="000000"/>
          <w:sz w:val="18"/>
          <w:szCs w:val="18"/>
        </w:rPr>
        <w:t>«Обеспечение жителей доступным и комфортным жильем», в 2021 и 2022 годах – в рамках Регионального проекта «Жилье» федерального проекта «Жилье»;</w:t>
      </w:r>
    </w:p>
  </w:footnote>
  <w:footnote w:id="169">
    <w:p w:rsidR="00000E53" w:rsidRPr="00DD3796" w:rsidRDefault="00000E53" w:rsidP="00C404B9">
      <w:pPr>
        <w:pStyle w:val="a9"/>
        <w:rPr>
          <w:sz w:val="18"/>
          <w:szCs w:val="18"/>
        </w:rPr>
      </w:pPr>
      <w:r w:rsidRPr="00DD3796">
        <w:rPr>
          <w:rStyle w:val="ab"/>
          <w:sz w:val="18"/>
          <w:szCs w:val="18"/>
        </w:rPr>
        <w:footnoteRef/>
      </w:r>
      <w:r w:rsidRPr="00DD3796">
        <w:rPr>
          <w:sz w:val="18"/>
          <w:szCs w:val="18"/>
        </w:rPr>
        <w:t xml:space="preserve"> - далее – Субсидия на развитие жилищного строительства;</w:t>
      </w:r>
    </w:p>
  </w:footnote>
  <w:footnote w:id="170">
    <w:p w:rsidR="00000E53" w:rsidRPr="00DD3796" w:rsidRDefault="00000E53" w:rsidP="00C404B9">
      <w:pPr>
        <w:pStyle w:val="a9"/>
        <w:rPr>
          <w:sz w:val="18"/>
          <w:szCs w:val="18"/>
        </w:rPr>
      </w:pPr>
      <w:r w:rsidRPr="00DD3796">
        <w:rPr>
          <w:rStyle w:val="ab"/>
          <w:sz w:val="18"/>
          <w:szCs w:val="18"/>
        </w:rPr>
        <w:footnoteRef/>
      </w:r>
      <w:r w:rsidRPr="00DD3796">
        <w:rPr>
          <w:sz w:val="18"/>
          <w:szCs w:val="18"/>
        </w:rPr>
        <w:t xml:space="preserve"> - далее – Субсидия застройщику</w:t>
      </w:r>
    </w:p>
  </w:footnote>
  <w:footnote w:id="171">
    <w:p w:rsidR="00000E53" w:rsidRPr="00B23239" w:rsidRDefault="00000E53" w:rsidP="00C404B9">
      <w:pPr>
        <w:pStyle w:val="a9"/>
        <w:jc w:val="both"/>
      </w:pPr>
      <w:r w:rsidRPr="00D74AC3">
        <w:rPr>
          <w:rStyle w:val="ab"/>
        </w:rPr>
        <w:footnoteRef/>
      </w:r>
      <w:r w:rsidRPr="00D74AC3">
        <w:t xml:space="preserve"> - Порядок предоставления субсидий застройщикам на возмещение недополученных доходов, возникающих при реализации квартир гражданам утвержден Постановлением Правительства Чукотского автономного округа от 26 мая 2021 года №173 (далее – Порядок №173)</w:t>
      </w:r>
      <w:r>
        <w:t>;</w:t>
      </w:r>
    </w:p>
  </w:footnote>
  <w:footnote w:id="172">
    <w:p w:rsidR="00000E53" w:rsidRPr="00B23239" w:rsidRDefault="00000E53" w:rsidP="00C404B9">
      <w:pPr>
        <w:pStyle w:val="a9"/>
      </w:pPr>
      <w:r w:rsidRPr="00B23239">
        <w:rPr>
          <w:rStyle w:val="ab"/>
        </w:rPr>
        <w:footnoteRef/>
      </w:r>
      <w:r w:rsidRPr="00B23239">
        <w:t xml:space="preserve"> - 8 июня 2021 года и 11 марта 2022 года</w:t>
      </w:r>
      <w:r>
        <w:t>;</w:t>
      </w:r>
    </w:p>
  </w:footnote>
  <w:footnote w:id="173">
    <w:p w:rsidR="00000E53" w:rsidRPr="00FD4AFD" w:rsidRDefault="00000E53" w:rsidP="00C404B9">
      <w:pPr>
        <w:pStyle w:val="a9"/>
        <w:rPr>
          <w:sz w:val="18"/>
          <w:szCs w:val="18"/>
        </w:rPr>
      </w:pPr>
      <w:r w:rsidRPr="00FD4AFD">
        <w:rPr>
          <w:rStyle w:val="ab"/>
          <w:sz w:val="18"/>
          <w:szCs w:val="18"/>
        </w:rPr>
        <w:footnoteRef/>
      </w:r>
      <w:r w:rsidRPr="00FD4AFD">
        <w:rPr>
          <w:sz w:val="18"/>
          <w:szCs w:val="18"/>
        </w:rPr>
        <w:t xml:space="preserve"> - пункт 1.1. Порядка №173;</w:t>
      </w:r>
    </w:p>
  </w:footnote>
  <w:footnote w:id="174">
    <w:p w:rsidR="00000E53" w:rsidRPr="00FD4AFD" w:rsidRDefault="00000E53" w:rsidP="00C404B9">
      <w:pPr>
        <w:pStyle w:val="a9"/>
        <w:jc w:val="both"/>
        <w:rPr>
          <w:sz w:val="18"/>
          <w:szCs w:val="18"/>
        </w:rPr>
      </w:pPr>
      <w:r w:rsidRPr="00FD4AFD">
        <w:rPr>
          <w:rStyle w:val="ab"/>
          <w:sz w:val="18"/>
          <w:szCs w:val="18"/>
        </w:rPr>
        <w:footnoteRef/>
      </w:r>
      <w:r w:rsidRPr="00FD4AFD">
        <w:rPr>
          <w:sz w:val="18"/>
          <w:szCs w:val="18"/>
        </w:rPr>
        <w:t xml:space="preserve"> - от 19 июля 2021 года №72 (</w:t>
      </w:r>
      <w:bookmarkStart w:id="90" w:name="_Hlk72433779"/>
      <w:r w:rsidRPr="00FD4AFD">
        <w:rPr>
          <w:sz w:val="18"/>
          <w:szCs w:val="18"/>
        </w:rPr>
        <w:t>далее –</w:t>
      </w:r>
      <w:bookmarkEnd w:id="90"/>
      <w:r w:rsidRPr="00FD4AFD">
        <w:rPr>
          <w:sz w:val="18"/>
          <w:szCs w:val="18"/>
        </w:rPr>
        <w:t xml:space="preserve"> </w:t>
      </w:r>
      <w:bookmarkStart w:id="91" w:name="_Hlk72750695"/>
      <w:r w:rsidRPr="00FD4AFD">
        <w:rPr>
          <w:sz w:val="18"/>
          <w:szCs w:val="18"/>
        </w:rPr>
        <w:t>Соглашение №</w:t>
      </w:r>
      <w:bookmarkEnd w:id="91"/>
      <w:r w:rsidRPr="00FD4AFD">
        <w:rPr>
          <w:sz w:val="18"/>
          <w:szCs w:val="18"/>
        </w:rPr>
        <w:t>72)</w:t>
      </w:r>
    </w:p>
  </w:footnote>
  <w:footnote w:id="175">
    <w:p w:rsidR="00000E53" w:rsidRPr="00902EB6" w:rsidRDefault="00000E53" w:rsidP="00C404B9">
      <w:pPr>
        <w:pStyle w:val="a9"/>
        <w:jc w:val="both"/>
      </w:pPr>
      <w:r w:rsidRPr="00902EB6">
        <w:rPr>
          <w:rStyle w:val="ab"/>
        </w:rPr>
        <w:footnoteRef/>
      </w:r>
      <w:r w:rsidRPr="00902EB6">
        <w:t xml:space="preserve"> </w:t>
      </w:r>
      <w:r w:rsidRPr="00191613">
        <w:t>- приложение №12 к Государственной программе №316</w:t>
      </w:r>
      <w:r>
        <w:t>, (</w:t>
      </w:r>
      <w:r w:rsidRPr="00902EB6">
        <w:t xml:space="preserve">далее </w:t>
      </w:r>
      <w:r>
        <w:t xml:space="preserve">– </w:t>
      </w:r>
      <w:r w:rsidRPr="0071374C">
        <w:t>Порядок №12</w:t>
      </w:r>
      <w:r>
        <w:t>);</w:t>
      </w:r>
    </w:p>
  </w:footnote>
  <w:footnote w:id="176">
    <w:p w:rsidR="00000E53" w:rsidRPr="002734EF" w:rsidRDefault="00000E53" w:rsidP="00C404B9">
      <w:pPr>
        <w:autoSpaceDE w:val="0"/>
        <w:autoSpaceDN w:val="0"/>
        <w:adjustRightInd w:val="0"/>
        <w:jc w:val="both"/>
        <w:rPr>
          <w:sz w:val="18"/>
          <w:szCs w:val="18"/>
        </w:rPr>
      </w:pPr>
      <w:r w:rsidRPr="002734EF">
        <w:rPr>
          <w:rStyle w:val="ab"/>
          <w:sz w:val="18"/>
          <w:szCs w:val="18"/>
        </w:rPr>
        <w:footnoteRef/>
      </w:r>
      <w:r w:rsidRPr="002734EF">
        <w:rPr>
          <w:sz w:val="18"/>
          <w:szCs w:val="18"/>
        </w:rPr>
        <w:t xml:space="preserve"> </w:t>
      </w:r>
      <w:r w:rsidRPr="002734EF">
        <w:rPr>
          <w:b/>
          <w:sz w:val="18"/>
          <w:szCs w:val="18"/>
        </w:rPr>
        <w:t>-</w:t>
      </w:r>
      <w:r w:rsidRPr="002734EF">
        <w:rPr>
          <w:sz w:val="18"/>
          <w:szCs w:val="18"/>
        </w:rPr>
        <w:t xml:space="preserve"> </w:t>
      </w:r>
      <w:r w:rsidRPr="002734EF">
        <w:rPr>
          <w:rFonts w:eastAsia="Calibri"/>
          <w:sz w:val="18"/>
          <w:szCs w:val="18"/>
          <w:lang w:eastAsia="en-US"/>
        </w:rPr>
        <w:t>Бюджетный кодекс Российской Федерации от 31 июля 1998 года №145-ФЗ (далее - Бюджетный кодекс РФ);</w:t>
      </w:r>
    </w:p>
  </w:footnote>
  <w:footnote w:id="177">
    <w:p w:rsidR="00000E53" w:rsidRPr="002734EF" w:rsidRDefault="00000E53" w:rsidP="00C404B9">
      <w:pPr>
        <w:pStyle w:val="a9"/>
        <w:jc w:val="both"/>
        <w:rPr>
          <w:sz w:val="18"/>
          <w:szCs w:val="18"/>
        </w:rPr>
      </w:pPr>
      <w:r w:rsidRPr="002734EF">
        <w:rPr>
          <w:rStyle w:val="ab"/>
          <w:sz w:val="18"/>
          <w:szCs w:val="18"/>
        </w:rPr>
        <w:footnoteRef/>
      </w:r>
      <w:r w:rsidRPr="002734EF">
        <w:rPr>
          <w:sz w:val="18"/>
          <w:szCs w:val="18"/>
        </w:rPr>
        <w:t xml:space="preserve"> - утверждена </w:t>
      </w:r>
      <w:r w:rsidRPr="002734EF">
        <w:rPr>
          <w:rFonts w:eastAsia="Calibri"/>
          <w:sz w:val="18"/>
          <w:szCs w:val="18"/>
          <w:lang w:eastAsia="en-US"/>
        </w:rPr>
        <w:t xml:space="preserve">Постановлением Администрации от 28 июля 2020 года №208 </w:t>
      </w:r>
      <w:r w:rsidRPr="002734EF">
        <w:rPr>
          <w:sz w:val="18"/>
          <w:szCs w:val="18"/>
        </w:rPr>
        <w:t>(далее – Муниципальная программа №208)</w:t>
      </w:r>
      <w:r w:rsidRPr="002734EF">
        <w:rPr>
          <w:rFonts w:eastAsia="Calibri"/>
          <w:sz w:val="18"/>
          <w:szCs w:val="18"/>
          <w:lang w:eastAsia="en-US"/>
        </w:rPr>
        <w:t>;</w:t>
      </w:r>
    </w:p>
  </w:footnote>
  <w:footnote w:id="178">
    <w:p w:rsidR="00000E53" w:rsidRPr="002734EF" w:rsidRDefault="00000E53" w:rsidP="00C404B9">
      <w:pPr>
        <w:autoSpaceDE w:val="0"/>
        <w:autoSpaceDN w:val="0"/>
        <w:adjustRightInd w:val="0"/>
        <w:jc w:val="both"/>
        <w:rPr>
          <w:sz w:val="18"/>
          <w:szCs w:val="18"/>
        </w:rPr>
      </w:pPr>
      <w:r w:rsidRPr="002734EF">
        <w:rPr>
          <w:rStyle w:val="ab"/>
          <w:sz w:val="18"/>
          <w:szCs w:val="18"/>
        </w:rPr>
        <w:footnoteRef/>
      </w:r>
      <w:r w:rsidRPr="002734EF">
        <w:rPr>
          <w:sz w:val="18"/>
          <w:szCs w:val="18"/>
        </w:rPr>
        <w:t xml:space="preserve"> </w:t>
      </w:r>
      <w:r w:rsidRPr="002734EF">
        <w:rPr>
          <w:b/>
          <w:sz w:val="18"/>
          <w:szCs w:val="18"/>
        </w:rPr>
        <w:t>-</w:t>
      </w:r>
      <w:r w:rsidRPr="002734EF">
        <w:rPr>
          <w:sz w:val="18"/>
          <w:szCs w:val="18"/>
        </w:rPr>
        <w:t xml:space="preserve"> </w:t>
      </w:r>
      <w:r w:rsidRPr="002734EF">
        <w:rPr>
          <w:rFonts w:eastAsia="Calibri"/>
          <w:sz w:val="18"/>
          <w:szCs w:val="18"/>
          <w:lang w:eastAsia="en-US"/>
        </w:rPr>
        <w:t>приказ Минфина России от 6 июня 2019 года №85н «О Порядке формирования и применения кодов бюджетной классификации Российской Федерации, их структуре и принципах назначения», (далее – Инструкция №85н);</w:t>
      </w:r>
    </w:p>
  </w:footnote>
  <w:footnote w:id="179">
    <w:p w:rsidR="00000E53" w:rsidRPr="002734EF" w:rsidRDefault="00000E53" w:rsidP="00C404B9">
      <w:pPr>
        <w:pStyle w:val="a9"/>
        <w:jc w:val="both"/>
        <w:rPr>
          <w:sz w:val="18"/>
          <w:szCs w:val="18"/>
        </w:rPr>
      </w:pPr>
      <w:r w:rsidRPr="002734EF">
        <w:rPr>
          <w:rStyle w:val="ab"/>
          <w:sz w:val="18"/>
          <w:szCs w:val="18"/>
        </w:rPr>
        <w:footnoteRef/>
      </w:r>
      <w:r w:rsidRPr="002734EF">
        <w:rPr>
          <w:sz w:val="18"/>
          <w:szCs w:val="18"/>
        </w:rPr>
        <w:t xml:space="preserve"> - утверждена </w:t>
      </w:r>
      <w:r w:rsidRPr="002734EF">
        <w:rPr>
          <w:rFonts w:eastAsia="Calibri"/>
          <w:sz w:val="18"/>
          <w:szCs w:val="18"/>
          <w:lang w:eastAsia="en-US"/>
        </w:rPr>
        <w:t xml:space="preserve">Постановлением Администрации </w:t>
      </w:r>
      <w:proofErr w:type="spellStart"/>
      <w:r w:rsidRPr="002734EF">
        <w:rPr>
          <w:rFonts w:eastAsia="Calibri"/>
          <w:sz w:val="18"/>
          <w:szCs w:val="18"/>
          <w:lang w:eastAsia="en-US"/>
        </w:rPr>
        <w:t>Иультинского</w:t>
      </w:r>
      <w:proofErr w:type="spellEnd"/>
      <w:r w:rsidRPr="002734EF">
        <w:rPr>
          <w:rFonts w:eastAsia="Calibri"/>
          <w:sz w:val="18"/>
          <w:szCs w:val="18"/>
          <w:lang w:eastAsia="en-US"/>
        </w:rPr>
        <w:t xml:space="preserve"> муниципального района от 25 ноября 2015 года №131-па </w:t>
      </w:r>
      <w:r w:rsidRPr="002734EF">
        <w:rPr>
          <w:sz w:val="18"/>
          <w:szCs w:val="18"/>
        </w:rPr>
        <w:t>(далее – Муниципальная программа №</w:t>
      </w:r>
      <w:r w:rsidRPr="002734EF">
        <w:rPr>
          <w:rFonts w:eastAsia="Calibri"/>
          <w:sz w:val="18"/>
          <w:szCs w:val="18"/>
          <w:lang w:eastAsia="en-US"/>
        </w:rPr>
        <w:t>131-па</w:t>
      </w:r>
      <w:r w:rsidRPr="002734EF">
        <w:rPr>
          <w:sz w:val="18"/>
          <w:szCs w:val="18"/>
        </w:rPr>
        <w:t>)</w:t>
      </w:r>
      <w:r w:rsidRPr="002734EF">
        <w:rPr>
          <w:rFonts w:eastAsia="Calibri"/>
          <w:sz w:val="18"/>
          <w:szCs w:val="18"/>
          <w:lang w:eastAsia="en-US"/>
        </w:rPr>
        <w:t>;</w:t>
      </w:r>
    </w:p>
  </w:footnote>
  <w:footnote w:id="180">
    <w:p w:rsidR="00000E53" w:rsidRPr="002734EF" w:rsidRDefault="00000E53" w:rsidP="00C404B9">
      <w:pPr>
        <w:pStyle w:val="a9"/>
        <w:jc w:val="both"/>
        <w:rPr>
          <w:sz w:val="18"/>
          <w:szCs w:val="18"/>
        </w:rPr>
      </w:pPr>
      <w:r w:rsidRPr="002734EF">
        <w:rPr>
          <w:rStyle w:val="ab"/>
          <w:sz w:val="18"/>
          <w:szCs w:val="18"/>
        </w:rPr>
        <w:footnoteRef/>
      </w:r>
      <w:r w:rsidRPr="002734EF">
        <w:rPr>
          <w:sz w:val="18"/>
          <w:szCs w:val="18"/>
        </w:rPr>
        <w:t xml:space="preserve"> - утверждена </w:t>
      </w:r>
      <w:r w:rsidRPr="002734EF">
        <w:rPr>
          <w:rFonts w:eastAsia="Calibri"/>
          <w:sz w:val="18"/>
          <w:szCs w:val="18"/>
          <w:lang w:eastAsia="en-US"/>
        </w:rPr>
        <w:t xml:space="preserve">Постановлением Администрации от 29 декабря 2021 года №661-па </w:t>
      </w:r>
      <w:r w:rsidRPr="002734EF">
        <w:rPr>
          <w:sz w:val="18"/>
          <w:szCs w:val="18"/>
        </w:rPr>
        <w:t>(далее – Муниципальная программа №66</w:t>
      </w:r>
      <w:r w:rsidRPr="002734EF">
        <w:rPr>
          <w:rFonts w:eastAsia="Calibri"/>
          <w:sz w:val="18"/>
          <w:szCs w:val="18"/>
          <w:lang w:eastAsia="en-US"/>
        </w:rPr>
        <w:t>1-па</w:t>
      </w:r>
      <w:r w:rsidRPr="002734EF">
        <w:rPr>
          <w:sz w:val="18"/>
          <w:szCs w:val="18"/>
        </w:rPr>
        <w:t>)</w:t>
      </w:r>
    </w:p>
  </w:footnote>
  <w:footnote w:id="181">
    <w:p w:rsidR="00000E53" w:rsidRPr="002869A6" w:rsidRDefault="00000E53" w:rsidP="00C404B9">
      <w:pPr>
        <w:pStyle w:val="a9"/>
        <w:jc w:val="both"/>
        <w:rPr>
          <w:sz w:val="18"/>
          <w:szCs w:val="18"/>
        </w:rPr>
      </w:pPr>
      <w:r w:rsidRPr="002869A6">
        <w:rPr>
          <w:rStyle w:val="ab"/>
          <w:sz w:val="18"/>
          <w:szCs w:val="18"/>
        </w:rPr>
        <w:footnoteRef/>
      </w:r>
      <w:r w:rsidRPr="002869A6">
        <w:rPr>
          <w:sz w:val="18"/>
          <w:szCs w:val="18"/>
        </w:rPr>
        <w:t xml:space="preserve"> </w:t>
      </w:r>
      <w:hyperlink r:id="rId2" w:history="1">
        <w:r w:rsidRPr="002869A6">
          <w:rPr>
            <w:sz w:val="18"/>
            <w:szCs w:val="18"/>
          </w:rPr>
          <w:t>Закон</w:t>
        </w:r>
      </w:hyperlink>
      <w:r w:rsidRPr="002869A6">
        <w:rPr>
          <w:sz w:val="18"/>
          <w:szCs w:val="18"/>
        </w:rPr>
        <w:t xml:space="preserve"> Чукотского автономного округа от 17 февраля 2005 года №15-ОЗ «О порядке ведения органами местного самоуправления Чукотского автономного округа учета граждан, нуждающихся в жилых помещениях, предоставляемых по договорам социального найма» (далее - </w:t>
      </w:r>
      <w:r w:rsidRPr="002869A6">
        <w:rPr>
          <w:rFonts w:eastAsia="Calibri"/>
          <w:sz w:val="18"/>
          <w:szCs w:val="18"/>
          <w:lang w:eastAsia="en-US"/>
        </w:rPr>
        <w:t>Закон №15-ОЗ)</w:t>
      </w:r>
      <w:r>
        <w:rPr>
          <w:rFonts w:eastAsia="Calibri"/>
          <w:sz w:val="18"/>
          <w:szCs w:val="18"/>
          <w:lang w:eastAsia="en-US"/>
        </w:rPr>
        <w:t>;</w:t>
      </w:r>
    </w:p>
  </w:footnote>
  <w:footnote w:id="182">
    <w:p w:rsidR="00000E53" w:rsidRPr="002869A6" w:rsidRDefault="00000E53" w:rsidP="00C404B9">
      <w:pPr>
        <w:pStyle w:val="a9"/>
        <w:jc w:val="both"/>
        <w:rPr>
          <w:sz w:val="18"/>
          <w:szCs w:val="18"/>
        </w:rPr>
      </w:pPr>
      <w:r w:rsidRPr="002869A6">
        <w:rPr>
          <w:rStyle w:val="ab"/>
          <w:sz w:val="18"/>
          <w:szCs w:val="18"/>
        </w:rPr>
        <w:footnoteRef/>
      </w:r>
      <w:r w:rsidRPr="002869A6">
        <w:rPr>
          <w:sz w:val="18"/>
          <w:szCs w:val="18"/>
        </w:rPr>
        <w:t> - приказ Департамента финансов, экономики и имущественных отношений Чукотского автономного округа от 28 января 2020 года №9 «Об утверждении Типовой формы соглашения о предоставлении субсидии из окружного бюджета бюджету муниципального образования Чукотского автономного округа» (далее – Приказ №9, Типовая форма соглашения);</w:t>
      </w:r>
    </w:p>
  </w:footnote>
  <w:footnote w:id="183">
    <w:p w:rsidR="00000E53" w:rsidRPr="002869A6" w:rsidRDefault="00000E53" w:rsidP="00C404B9">
      <w:pPr>
        <w:autoSpaceDE w:val="0"/>
        <w:autoSpaceDN w:val="0"/>
        <w:adjustRightInd w:val="0"/>
        <w:jc w:val="both"/>
        <w:outlineLvl w:val="0"/>
        <w:rPr>
          <w:sz w:val="18"/>
          <w:szCs w:val="18"/>
        </w:rPr>
      </w:pPr>
      <w:r w:rsidRPr="002869A6">
        <w:rPr>
          <w:rStyle w:val="ab"/>
          <w:sz w:val="18"/>
          <w:szCs w:val="18"/>
        </w:rPr>
        <w:footnoteRef/>
      </w:r>
      <w:r w:rsidRPr="002869A6">
        <w:rPr>
          <w:sz w:val="18"/>
          <w:szCs w:val="18"/>
        </w:rPr>
        <w:t xml:space="preserve"> - нарушение подпункта 2 пункта 1 статьи 162 и пункта 3 статьи 219 Бюджетного кодекса Российской Федерации является административным правонарушением, ответственность за которое предусмотрена статьей </w:t>
      </w:r>
      <w:r w:rsidRPr="002869A6">
        <w:rPr>
          <w:bCs/>
          <w:sz w:val="18"/>
          <w:szCs w:val="18"/>
        </w:rPr>
        <w:t xml:space="preserve">15.15.10. «Нарушение порядка </w:t>
      </w:r>
      <w:r w:rsidRPr="00477633">
        <w:rPr>
          <w:bCs/>
          <w:sz w:val="18"/>
          <w:szCs w:val="18"/>
        </w:rPr>
        <w:t xml:space="preserve">принятия бюджетных обязательств» </w:t>
      </w:r>
      <w:r w:rsidRPr="00477633">
        <w:rPr>
          <w:sz w:val="18"/>
          <w:szCs w:val="18"/>
        </w:rPr>
        <w:t xml:space="preserve">Кодекса Российской Федерации об административных правонарушениях. </w:t>
      </w:r>
      <w:r w:rsidRPr="00477633">
        <w:rPr>
          <w:rFonts w:eastAsia="Calibri"/>
          <w:sz w:val="18"/>
          <w:szCs w:val="18"/>
        </w:rPr>
        <w:t>В отношении должностного лица Департамента промышленности составлен протокол об административном правонарушении, материалы административного производства направлены в суд для принятия решения о привлечении виновного лица к административной ответственности;</w:t>
      </w:r>
    </w:p>
  </w:footnote>
  <w:footnote w:id="184">
    <w:p w:rsidR="00000E53" w:rsidRPr="002869A6" w:rsidRDefault="00000E53" w:rsidP="00C404B9">
      <w:pPr>
        <w:pStyle w:val="Style2"/>
        <w:widowControl/>
        <w:tabs>
          <w:tab w:val="left" w:pos="0"/>
        </w:tabs>
        <w:spacing w:line="240" w:lineRule="auto"/>
        <w:ind w:firstLine="0"/>
        <w:rPr>
          <w:sz w:val="18"/>
          <w:szCs w:val="18"/>
        </w:rPr>
      </w:pPr>
      <w:r w:rsidRPr="002869A6">
        <w:rPr>
          <w:rStyle w:val="ab"/>
          <w:sz w:val="18"/>
          <w:szCs w:val="18"/>
        </w:rPr>
        <w:footnoteRef/>
      </w:r>
      <w:r w:rsidRPr="002869A6">
        <w:rPr>
          <w:sz w:val="18"/>
          <w:szCs w:val="18"/>
        </w:rPr>
        <w:t xml:space="preserve"> - в</w:t>
      </w:r>
      <w:r w:rsidRPr="002869A6">
        <w:rPr>
          <w:rFonts w:eastAsia="Calibri"/>
          <w:sz w:val="18"/>
          <w:szCs w:val="18"/>
          <w:lang w:eastAsia="en-US"/>
        </w:rPr>
        <w:t xml:space="preserve"> рамках контрольного мероприятия Счетной палатой осуществлена проверка </w:t>
      </w:r>
      <w:r w:rsidRPr="002869A6">
        <w:rPr>
          <w:color w:val="000000"/>
          <w:sz w:val="18"/>
          <w:szCs w:val="18"/>
        </w:rPr>
        <w:t>использования бюджетных средств, направленных в 2020, 2021 годах и 1 квартале 2022 года на реализацию Регионального проекта «Жилье» получателями субсидии, результаты оформлены соответствующими актами;</w:t>
      </w:r>
    </w:p>
  </w:footnote>
  <w:footnote w:id="185">
    <w:p w:rsidR="00000E53" w:rsidRPr="002869A6" w:rsidRDefault="00000E53" w:rsidP="00C404B9">
      <w:pPr>
        <w:autoSpaceDE w:val="0"/>
        <w:autoSpaceDN w:val="0"/>
        <w:adjustRightInd w:val="0"/>
        <w:jc w:val="both"/>
        <w:outlineLvl w:val="0"/>
        <w:rPr>
          <w:sz w:val="18"/>
          <w:szCs w:val="18"/>
        </w:rPr>
      </w:pPr>
      <w:r w:rsidRPr="002869A6">
        <w:rPr>
          <w:rStyle w:val="ab"/>
          <w:sz w:val="18"/>
          <w:szCs w:val="18"/>
        </w:rPr>
        <w:footnoteRef/>
      </w:r>
      <w:r w:rsidRPr="002869A6">
        <w:rPr>
          <w:sz w:val="18"/>
          <w:szCs w:val="18"/>
        </w:rPr>
        <w:t xml:space="preserve"> - нарушение подпункта 2 пункта 1 статьи 162 и пункта 3 статьи 219 Бюджетного кодекса является административным правонарушением, ответственность за которое предусмотрена статьей </w:t>
      </w:r>
      <w:r w:rsidRPr="002869A6">
        <w:rPr>
          <w:bCs/>
          <w:sz w:val="18"/>
          <w:szCs w:val="18"/>
        </w:rPr>
        <w:t xml:space="preserve">15.15.10. «Нарушение порядка принятия бюджетных обязательств» </w:t>
      </w:r>
      <w:r w:rsidRPr="002869A6">
        <w:rPr>
          <w:sz w:val="18"/>
          <w:szCs w:val="18"/>
        </w:rPr>
        <w:t>Кодекса Российской Федерации об административных правонарушениях</w:t>
      </w:r>
      <w:r>
        <w:rPr>
          <w:sz w:val="18"/>
          <w:szCs w:val="18"/>
        </w:rPr>
        <w:t>;</w:t>
      </w:r>
    </w:p>
  </w:footnote>
  <w:footnote w:id="186">
    <w:p w:rsidR="00000E53" w:rsidRPr="002869A6" w:rsidRDefault="00000E53" w:rsidP="00C404B9">
      <w:pPr>
        <w:pBdr>
          <w:top w:val="none" w:sz="4" w:space="0" w:color="000000"/>
          <w:left w:val="none" w:sz="4" w:space="0" w:color="000000"/>
          <w:bottom w:val="none" w:sz="4" w:space="0" w:color="000000"/>
          <w:right w:val="none" w:sz="4" w:space="0" w:color="000000"/>
        </w:pBdr>
        <w:jc w:val="both"/>
        <w:rPr>
          <w:sz w:val="18"/>
          <w:szCs w:val="18"/>
        </w:rPr>
      </w:pPr>
      <w:r w:rsidRPr="00477633">
        <w:rPr>
          <w:rStyle w:val="ab"/>
          <w:sz w:val="18"/>
          <w:szCs w:val="18"/>
        </w:rPr>
        <w:footnoteRef/>
      </w:r>
      <w:r w:rsidRPr="00477633">
        <w:rPr>
          <w:sz w:val="18"/>
          <w:szCs w:val="18"/>
        </w:rPr>
        <w:t xml:space="preserve"> - п</w:t>
      </w:r>
      <w:r w:rsidRPr="00477633">
        <w:rPr>
          <w:rFonts w:eastAsia="Calibri"/>
          <w:sz w:val="18"/>
          <w:szCs w:val="18"/>
        </w:rPr>
        <w:t>о факту административного правонарушения возбуждено административное производство с целью установления виновного должностного лица Администрации сельского поселения Уэлен в целях составления протокола об административном правонарушении;</w:t>
      </w:r>
      <w:r w:rsidRPr="002869A6">
        <w:rPr>
          <w:rFonts w:eastAsia="Calibri"/>
          <w:sz w:val="18"/>
          <w:szCs w:val="18"/>
        </w:rPr>
        <w:t xml:space="preserve"> </w:t>
      </w:r>
    </w:p>
  </w:footnote>
  <w:footnote w:id="187">
    <w:p w:rsidR="00000E53" w:rsidRPr="002869A6" w:rsidRDefault="00000E53" w:rsidP="00C404B9">
      <w:pPr>
        <w:pStyle w:val="a9"/>
        <w:jc w:val="both"/>
        <w:rPr>
          <w:sz w:val="18"/>
          <w:szCs w:val="18"/>
        </w:rPr>
      </w:pPr>
      <w:r w:rsidRPr="002869A6">
        <w:rPr>
          <w:rStyle w:val="ab"/>
          <w:sz w:val="18"/>
          <w:szCs w:val="18"/>
        </w:rPr>
        <w:footnoteRef/>
      </w:r>
      <w:r w:rsidRPr="002869A6">
        <w:rPr>
          <w:sz w:val="18"/>
          <w:szCs w:val="18"/>
        </w:rPr>
        <w:t xml:space="preserve"> - расторгнут 29 октября 2021 года;</w:t>
      </w:r>
    </w:p>
  </w:footnote>
  <w:footnote w:id="188">
    <w:p w:rsidR="00000E53" w:rsidRPr="002869A6" w:rsidRDefault="00000E53" w:rsidP="00C404B9">
      <w:pPr>
        <w:pStyle w:val="a9"/>
        <w:jc w:val="both"/>
        <w:rPr>
          <w:sz w:val="18"/>
          <w:szCs w:val="18"/>
        </w:rPr>
      </w:pPr>
      <w:r w:rsidRPr="002869A6">
        <w:rPr>
          <w:rStyle w:val="ab"/>
          <w:sz w:val="18"/>
          <w:szCs w:val="18"/>
        </w:rPr>
        <w:footnoteRef/>
      </w:r>
      <w:r w:rsidRPr="002869A6">
        <w:rPr>
          <w:sz w:val="18"/>
          <w:szCs w:val="18"/>
        </w:rPr>
        <w:t xml:space="preserve"> - расторгнут 29 октября 2021 года</w:t>
      </w:r>
    </w:p>
  </w:footnote>
  <w:footnote w:id="189">
    <w:p w:rsidR="00000E53" w:rsidRPr="00A20DA6" w:rsidRDefault="00000E53" w:rsidP="00C404B9">
      <w:pPr>
        <w:pStyle w:val="a9"/>
        <w:rPr>
          <w:sz w:val="18"/>
          <w:szCs w:val="18"/>
        </w:rPr>
      </w:pPr>
      <w:r w:rsidRPr="00A20DA6">
        <w:rPr>
          <w:rStyle w:val="ab"/>
          <w:sz w:val="18"/>
          <w:szCs w:val="18"/>
        </w:rPr>
        <w:footnoteRef/>
      </w:r>
      <w:r w:rsidRPr="00A20DA6">
        <w:rPr>
          <w:sz w:val="18"/>
          <w:szCs w:val="18"/>
        </w:rPr>
        <w:t xml:space="preserve"> - без учета членов их семей;</w:t>
      </w:r>
    </w:p>
  </w:footnote>
  <w:footnote w:id="190">
    <w:p w:rsidR="00000E53" w:rsidRPr="00A20DA6" w:rsidRDefault="00000E53" w:rsidP="00C404B9">
      <w:pPr>
        <w:jc w:val="both"/>
        <w:rPr>
          <w:sz w:val="18"/>
          <w:szCs w:val="18"/>
        </w:rPr>
      </w:pPr>
      <w:r w:rsidRPr="00A20DA6">
        <w:rPr>
          <w:rStyle w:val="ab"/>
          <w:sz w:val="18"/>
          <w:szCs w:val="18"/>
        </w:rPr>
        <w:footnoteRef/>
      </w:r>
      <w:r w:rsidRPr="00A20DA6">
        <w:rPr>
          <w:sz w:val="18"/>
          <w:szCs w:val="18"/>
        </w:rPr>
        <w:t>-</w:t>
      </w:r>
      <w:r>
        <w:rPr>
          <w:sz w:val="18"/>
          <w:szCs w:val="18"/>
        </w:rPr>
        <w:t> </w:t>
      </w:r>
      <w:r w:rsidRPr="00A20DA6">
        <w:rPr>
          <w:sz w:val="18"/>
          <w:szCs w:val="18"/>
        </w:rPr>
        <w:t>согласно пояснениям Администрации, расселение граждан, подлежащих расселению в рамках расторгнутых Муниципальных контрактов от 21.12.2020 и 19.02.2021 и не вошедшие в актуальные списки заключенного Муниципального контракта от 24.03.2021 будут расселены до 1 января 2024 года в рамках действующих Государственных программ Чукотского автономного округа: «Развитие жилищного строительства в Чукотском автономном округе» и «Обеспечение устойчивого сокращения непригодного для проживания жилищного фонда в Чукотском автономном округе»;</w:t>
      </w:r>
    </w:p>
  </w:footnote>
  <w:footnote w:id="191">
    <w:p w:rsidR="00000E53" w:rsidRPr="00501D62" w:rsidRDefault="00000E53" w:rsidP="00C404B9">
      <w:pPr>
        <w:pStyle w:val="a9"/>
        <w:jc w:val="both"/>
      </w:pPr>
      <w:r w:rsidRPr="00501D62">
        <w:rPr>
          <w:rStyle w:val="ab"/>
        </w:rPr>
        <w:footnoteRef/>
      </w:r>
      <w:r w:rsidRPr="00501D62">
        <w:t xml:space="preserve"> </w:t>
      </w:r>
      <w:r>
        <w:t xml:space="preserve">- </w:t>
      </w:r>
      <w:r w:rsidRPr="00501D62">
        <w:t xml:space="preserve">Приказ Росстата от 18.01.2021 </w:t>
      </w:r>
      <w:r>
        <w:t>№</w:t>
      </w:r>
      <w:r w:rsidRPr="00501D62">
        <w:t xml:space="preserve">5 </w:t>
      </w:r>
      <w:r>
        <w:t>«</w:t>
      </w:r>
      <w:r w:rsidRPr="00501D62">
        <w:t xml:space="preserve">Об утверждении методик расчета показателей </w:t>
      </w:r>
      <w:r>
        <w:t>«</w:t>
      </w:r>
      <w:r w:rsidRPr="00501D62">
        <w:t>Объем жилищного строительства</w:t>
      </w:r>
      <w:r>
        <w:t>»</w:t>
      </w:r>
      <w:r w:rsidRPr="00501D62">
        <w:t xml:space="preserve"> и </w:t>
      </w:r>
      <w:r>
        <w:t>«</w:t>
      </w:r>
      <w:r w:rsidRPr="00501D62">
        <w:t>Ввод жилья в многоквартирных домах</w:t>
      </w:r>
      <w:r>
        <w:t>»</w:t>
      </w:r>
    </w:p>
  </w:footnote>
  <w:footnote w:id="192">
    <w:p w:rsidR="00000E53" w:rsidRPr="00F50C9E" w:rsidRDefault="00000E53" w:rsidP="00C404B9">
      <w:pPr>
        <w:pStyle w:val="a9"/>
      </w:pPr>
      <w:r w:rsidRPr="00F50C9E">
        <w:rPr>
          <w:rStyle w:val="ab"/>
        </w:rPr>
        <w:footnoteRef/>
      </w:r>
      <w:r w:rsidRPr="00F50C9E">
        <w:t xml:space="preserve"> </w:t>
      </w:r>
      <w:r>
        <w:t>- два контракта на расселение общей площади 323,4 кв. м расторгнуты в 2021 году;</w:t>
      </w:r>
    </w:p>
  </w:footnote>
  <w:footnote w:id="193">
    <w:p w:rsidR="00000E53" w:rsidRPr="00117D19" w:rsidRDefault="00000E53" w:rsidP="00C404B9">
      <w:pPr>
        <w:pStyle w:val="a9"/>
        <w:jc w:val="both"/>
      </w:pPr>
      <w:r w:rsidRPr="00117D19">
        <w:rPr>
          <w:rStyle w:val="ab"/>
        </w:rPr>
        <w:footnoteRef/>
      </w:r>
      <w:r>
        <w:t> </w:t>
      </w:r>
      <w:r w:rsidRPr="00117D19">
        <w:t>-</w:t>
      </w:r>
      <w:r>
        <w:t> на момент проверки</w:t>
      </w:r>
      <w:r w:rsidRPr="00117D19">
        <w:t xml:space="preserve"> </w:t>
      </w:r>
      <w:r>
        <w:t xml:space="preserve">с нарушением статьи 89 Жилищного кодекса РФ расселяемая площадь меньше на 155,0 кв. м в рамках действующего соглашения и муниципального контракта на приобретение 27 жилых помещений в с. </w:t>
      </w:r>
      <w:proofErr w:type="spellStart"/>
      <w:r>
        <w:t>Сиреники</w:t>
      </w:r>
      <w:proofErr w:type="spellEnd"/>
      <w:r>
        <w:t xml:space="preserve"> (без учета двух расторгнутых соглашений и муниципальных контрактов в 2021 году расселяемой площади 323,4 кв. м)</w:t>
      </w:r>
    </w:p>
  </w:footnote>
  <w:footnote w:id="194">
    <w:p w:rsidR="00000E53" w:rsidRPr="00BC4334" w:rsidRDefault="00000E53" w:rsidP="00000E53">
      <w:pPr>
        <w:pStyle w:val="a9"/>
        <w:ind w:firstLine="284"/>
        <w:jc w:val="both"/>
        <w:rPr>
          <w:sz w:val="22"/>
          <w:szCs w:val="22"/>
        </w:rPr>
      </w:pPr>
      <w:r w:rsidRPr="00BC4334">
        <w:rPr>
          <w:rStyle w:val="ab"/>
          <w:sz w:val="22"/>
          <w:szCs w:val="22"/>
        </w:rPr>
        <w:footnoteRef/>
      </w:r>
      <w:r w:rsidRPr="00BC4334">
        <w:rPr>
          <w:sz w:val="22"/>
          <w:szCs w:val="22"/>
        </w:rPr>
        <w:t> Законом Чукотского автономного округа от 28 ноября 1997 года №26-ОЗ утвержден Устав Чукотского автономного округа (далее – Устав)</w:t>
      </w:r>
    </w:p>
  </w:footnote>
  <w:footnote w:id="195">
    <w:p w:rsidR="00000E53" w:rsidRPr="00345C75" w:rsidRDefault="00000E53" w:rsidP="00000E53">
      <w:pPr>
        <w:autoSpaceDE w:val="0"/>
        <w:autoSpaceDN w:val="0"/>
        <w:adjustRightInd w:val="0"/>
        <w:ind w:firstLine="284"/>
        <w:jc w:val="both"/>
        <w:outlineLvl w:val="0"/>
      </w:pPr>
      <w:r w:rsidRPr="00BC4334">
        <w:rPr>
          <w:rStyle w:val="ab"/>
        </w:rPr>
        <w:footnoteRef/>
      </w:r>
      <w:r>
        <w:t> </w:t>
      </w:r>
      <w:r w:rsidRPr="00BC4334">
        <w:t>Федеральный закон от</w:t>
      </w:r>
      <w:r>
        <w:t xml:space="preserve"> 6 октября 2003 года №</w:t>
      </w:r>
      <w:r w:rsidRPr="00BC4334">
        <w:t xml:space="preserve">131-ФЗ </w:t>
      </w:r>
      <w:r>
        <w:t>«</w:t>
      </w:r>
      <w:r w:rsidRPr="00BC4334">
        <w:t xml:space="preserve">Об общих </w:t>
      </w:r>
      <w:r w:rsidRPr="00345C75">
        <w:t xml:space="preserve">принципах организации местного самоуправления в Российской Федерации» (статья </w:t>
      </w:r>
      <w:r w:rsidRPr="00345C75">
        <w:rPr>
          <w:rFonts w:eastAsiaTheme="minorHAnsi"/>
          <w:bCs/>
        </w:rPr>
        <w:t>10 Территории муниципальных образований)</w:t>
      </w:r>
    </w:p>
  </w:footnote>
  <w:footnote w:id="196">
    <w:p w:rsidR="00000E53" w:rsidRPr="009E0FDB" w:rsidRDefault="00000E53" w:rsidP="00000E53">
      <w:pPr>
        <w:ind w:firstLine="284"/>
        <w:jc w:val="both"/>
      </w:pPr>
      <w:r w:rsidRPr="00345C75">
        <w:rPr>
          <w:rStyle w:val="ab"/>
        </w:rPr>
        <w:footnoteRef/>
      </w:r>
      <w:r w:rsidRPr="00345C75">
        <w:t> </w:t>
      </w:r>
      <w:r w:rsidRPr="00345C75">
        <w:rPr>
          <w:shd w:val="clear" w:color="auto" w:fill="FFFFFF"/>
        </w:rPr>
        <w:t>Закон Чукотского автономного округа от 29 ноября 2004 года №52</w:t>
      </w:r>
      <w:r w:rsidRPr="003A2245">
        <w:rPr>
          <w:shd w:val="clear" w:color="auto" w:fill="FFFFFF"/>
        </w:rPr>
        <w:t xml:space="preserve">-ОЗ «О наименованиях муниципальных образований в Чукотском </w:t>
      </w:r>
      <w:r w:rsidRPr="009E0FDB">
        <w:rPr>
          <w:shd w:val="clear" w:color="auto" w:fill="FFFFFF"/>
        </w:rPr>
        <w:t xml:space="preserve">автономном округе» </w:t>
      </w:r>
    </w:p>
  </w:footnote>
  <w:footnote w:id="197">
    <w:p w:rsidR="00000E53" w:rsidRPr="00D06981" w:rsidRDefault="00000E53" w:rsidP="00000E53">
      <w:pPr>
        <w:autoSpaceDE w:val="0"/>
        <w:autoSpaceDN w:val="0"/>
        <w:adjustRightInd w:val="0"/>
        <w:ind w:firstLine="284"/>
        <w:jc w:val="both"/>
        <w:rPr>
          <w:rFonts w:eastAsiaTheme="minorHAnsi"/>
          <w:bCs/>
        </w:rPr>
      </w:pPr>
      <w:r w:rsidRPr="009E0FDB">
        <w:rPr>
          <w:rStyle w:val="ab"/>
        </w:rPr>
        <w:footnoteRef/>
      </w:r>
      <w:r>
        <w:t> </w:t>
      </w:r>
      <w:r w:rsidRPr="00D06981">
        <w:rPr>
          <w:rFonts w:eastAsiaTheme="minorHAnsi"/>
          <w:bCs/>
        </w:rPr>
        <w:t>на территории Анадырск</w:t>
      </w:r>
      <w:r>
        <w:rPr>
          <w:rFonts w:eastAsiaTheme="minorHAnsi"/>
          <w:bCs/>
        </w:rPr>
        <w:t>ого</w:t>
      </w:r>
      <w:r w:rsidRPr="00D06981">
        <w:rPr>
          <w:rFonts w:eastAsiaTheme="minorHAnsi"/>
          <w:bCs/>
        </w:rPr>
        <w:t xml:space="preserve"> муниципальн</w:t>
      </w:r>
      <w:r>
        <w:rPr>
          <w:rFonts w:eastAsiaTheme="minorHAnsi"/>
          <w:bCs/>
        </w:rPr>
        <w:t>ого</w:t>
      </w:r>
      <w:r w:rsidRPr="00D06981">
        <w:rPr>
          <w:rFonts w:eastAsiaTheme="minorHAnsi"/>
          <w:bCs/>
        </w:rPr>
        <w:t xml:space="preserve"> район</w:t>
      </w:r>
      <w:r>
        <w:rPr>
          <w:rFonts w:eastAsiaTheme="minorHAnsi"/>
          <w:bCs/>
        </w:rPr>
        <w:t>а</w:t>
      </w:r>
      <w:r w:rsidRPr="00D06981">
        <w:rPr>
          <w:rFonts w:eastAsiaTheme="minorHAnsi"/>
          <w:bCs/>
        </w:rPr>
        <w:t xml:space="preserve">: 2 городских поселения Угольные Копи и </w:t>
      </w:r>
      <w:proofErr w:type="spellStart"/>
      <w:r w:rsidRPr="00D06981">
        <w:rPr>
          <w:rFonts w:eastAsiaTheme="minorHAnsi"/>
          <w:bCs/>
        </w:rPr>
        <w:t>Беринговский</w:t>
      </w:r>
      <w:proofErr w:type="spellEnd"/>
      <w:r w:rsidRPr="00D06981">
        <w:rPr>
          <w:rFonts w:eastAsiaTheme="minorHAnsi"/>
          <w:bCs/>
        </w:rPr>
        <w:t xml:space="preserve">, 10 сельских поселений </w:t>
      </w:r>
      <w:proofErr w:type="spellStart"/>
      <w:r w:rsidRPr="00D06981">
        <w:rPr>
          <w:rFonts w:eastAsiaTheme="minorHAnsi"/>
          <w:bCs/>
        </w:rPr>
        <w:t>Ваеги</w:t>
      </w:r>
      <w:proofErr w:type="spellEnd"/>
      <w:r w:rsidRPr="00D06981">
        <w:rPr>
          <w:rFonts w:eastAsiaTheme="minorHAnsi"/>
          <w:bCs/>
        </w:rPr>
        <w:t xml:space="preserve">, </w:t>
      </w:r>
      <w:proofErr w:type="spellStart"/>
      <w:r w:rsidRPr="00D06981">
        <w:rPr>
          <w:rFonts w:eastAsiaTheme="minorHAnsi"/>
          <w:bCs/>
        </w:rPr>
        <w:t>Канчалан</w:t>
      </w:r>
      <w:proofErr w:type="spellEnd"/>
      <w:r w:rsidRPr="00D06981">
        <w:rPr>
          <w:rFonts w:eastAsiaTheme="minorHAnsi"/>
          <w:bCs/>
        </w:rPr>
        <w:t xml:space="preserve">, Ламутское, </w:t>
      </w:r>
      <w:proofErr w:type="spellStart"/>
      <w:r w:rsidRPr="00D06981">
        <w:rPr>
          <w:rFonts w:eastAsiaTheme="minorHAnsi"/>
          <w:bCs/>
        </w:rPr>
        <w:t>Марково</w:t>
      </w:r>
      <w:proofErr w:type="spellEnd"/>
      <w:r w:rsidRPr="00D06981">
        <w:rPr>
          <w:rFonts w:eastAsiaTheme="minorHAnsi"/>
          <w:bCs/>
        </w:rPr>
        <w:t xml:space="preserve">, Снежное, </w:t>
      </w:r>
      <w:proofErr w:type="spellStart"/>
      <w:r w:rsidRPr="00D06981">
        <w:rPr>
          <w:rFonts w:eastAsiaTheme="minorHAnsi"/>
          <w:bCs/>
        </w:rPr>
        <w:t>Усть</w:t>
      </w:r>
      <w:proofErr w:type="spellEnd"/>
      <w:r w:rsidRPr="00D06981">
        <w:rPr>
          <w:rFonts w:eastAsiaTheme="minorHAnsi"/>
          <w:bCs/>
        </w:rPr>
        <w:t xml:space="preserve">-Белая, Чуванское, </w:t>
      </w:r>
      <w:proofErr w:type="spellStart"/>
      <w:r w:rsidRPr="00D06981">
        <w:rPr>
          <w:rFonts w:eastAsiaTheme="minorHAnsi"/>
          <w:bCs/>
        </w:rPr>
        <w:t>Алькатваам</w:t>
      </w:r>
      <w:proofErr w:type="spellEnd"/>
      <w:r w:rsidRPr="00D06981">
        <w:rPr>
          <w:rFonts w:eastAsiaTheme="minorHAnsi"/>
          <w:bCs/>
        </w:rPr>
        <w:t xml:space="preserve">, </w:t>
      </w:r>
      <w:proofErr w:type="spellStart"/>
      <w:r w:rsidRPr="00D06981">
        <w:rPr>
          <w:rFonts w:eastAsiaTheme="minorHAnsi"/>
          <w:bCs/>
        </w:rPr>
        <w:t>Мейныпильгыно</w:t>
      </w:r>
      <w:proofErr w:type="spellEnd"/>
      <w:r w:rsidRPr="00D06981">
        <w:rPr>
          <w:rFonts w:eastAsiaTheme="minorHAnsi"/>
          <w:bCs/>
        </w:rPr>
        <w:t xml:space="preserve">, </w:t>
      </w:r>
      <w:proofErr w:type="spellStart"/>
      <w:r w:rsidRPr="00D06981">
        <w:rPr>
          <w:rFonts w:eastAsiaTheme="minorHAnsi"/>
          <w:bCs/>
        </w:rPr>
        <w:t>Хатырка</w:t>
      </w:r>
      <w:proofErr w:type="spellEnd"/>
      <w:r w:rsidRPr="00D06981">
        <w:rPr>
          <w:rFonts w:eastAsiaTheme="minorHAnsi"/>
          <w:bCs/>
        </w:rPr>
        <w:t>;</w:t>
      </w:r>
      <w:r>
        <w:rPr>
          <w:rFonts w:eastAsiaTheme="minorHAnsi"/>
          <w:bCs/>
        </w:rPr>
        <w:t xml:space="preserve"> </w:t>
      </w:r>
    </w:p>
    <w:p w:rsidR="00000E53" w:rsidRPr="00D06981" w:rsidRDefault="00000E53" w:rsidP="00000E53">
      <w:pPr>
        <w:autoSpaceDE w:val="0"/>
        <w:autoSpaceDN w:val="0"/>
        <w:adjustRightInd w:val="0"/>
        <w:ind w:firstLine="284"/>
        <w:jc w:val="both"/>
        <w:rPr>
          <w:rFonts w:eastAsiaTheme="minorHAnsi"/>
        </w:rPr>
      </w:pPr>
      <w:r w:rsidRPr="00D06981">
        <w:rPr>
          <w:rFonts w:eastAsiaTheme="minorHAnsi"/>
        </w:rPr>
        <w:t xml:space="preserve">на территории </w:t>
      </w:r>
      <w:proofErr w:type="spellStart"/>
      <w:r w:rsidRPr="00D06981">
        <w:rPr>
          <w:rFonts w:eastAsiaTheme="minorHAnsi"/>
        </w:rPr>
        <w:t>Билибинского</w:t>
      </w:r>
      <w:proofErr w:type="spellEnd"/>
      <w:r w:rsidRPr="00D06981">
        <w:rPr>
          <w:rFonts w:eastAsiaTheme="minorHAnsi"/>
        </w:rPr>
        <w:t xml:space="preserve"> муниципального района: городское поселение </w:t>
      </w:r>
      <w:proofErr w:type="spellStart"/>
      <w:r w:rsidRPr="00D06981">
        <w:rPr>
          <w:rFonts w:eastAsiaTheme="minorHAnsi"/>
        </w:rPr>
        <w:t>Билибино</w:t>
      </w:r>
      <w:proofErr w:type="spellEnd"/>
      <w:r w:rsidRPr="00D06981">
        <w:rPr>
          <w:rFonts w:eastAsiaTheme="minorHAnsi"/>
        </w:rPr>
        <w:t xml:space="preserve">, 4 сельских поселения </w:t>
      </w:r>
      <w:proofErr w:type="spellStart"/>
      <w:r w:rsidRPr="00D06981">
        <w:rPr>
          <w:rFonts w:eastAsiaTheme="minorHAnsi"/>
        </w:rPr>
        <w:t>Анюйск</w:t>
      </w:r>
      <w:proofErr w:type="spellEnd"/>
      <w:r w:rsidRPr="00D06981">
        <w:rPr>
          <w:rFonts w:eastAsiaTheme="minorHAnsi"/>
        </w:rPr>
        <w:t xml:space="preserve">, </w:t>
      </w:r>
      <w:proofErr w:type="spellStart"/>
      <w:r w:rsidRPr="00D06981">
        <w:rPr>
          <w:rFonts w:eastAsiaTheme="minorHAnsi"/>
        </w:rPr>
        <w:t>Илирней</w:t>
      </w:r>
      <w:proofErr w:type="spellEnd"/>
      <w:r w:rsidRPr="00D06981">
        <w:rPr>
          <w:rFonts w:eastAsiaTheme="minorHAnsi"/>
        </w:rPr>
        <w:t xml:space="preserve">, </w:t>
      </w:r>
      <w:proofErr w:type="spellStart"/>
      <w:r w:rsidRPr="00D06981">
        <w:rPr>
          <w:rFonts w:eastAsiaTheme="minorHAnsi"/>
        </w:rPr>
        <w:t>Омолон</w:t>
      </w:r>
      <w:proofErr w:type="spellEnd"/>
      <w:r w:rsidRPr="00D06981">
        <w:rPr>
          <w:rFonts w:eastAsiaTheme="minorHAnsi"/>
        </w:rPr>
        <w:t>, Островное;</w:t>
      </w:r>
    </w:p>
    <w:p w:rsidR="00000E53" w:rsidRPr="009E0FDB" w:rsidRDefault="00000E53" w:rsidP="00000E53">
      <w:pPr>
        <w:autoSpaceDE w:val="0"/>
        <w:autoSpaceDN w:val="0"/>
        <w:adjustRightInd w:val="0"/>
        <w:ind w:firstLine="284"/>
        <w:jc w:val="both"/>
      </w:pPr>
      <w:r w:rsidRPr="00D06981">
        <w:rPr>
          <w:rFonts w:eastAsiaTheme="minorHAnsi"/>
        </w:rPr>
        <w:t xml:space="preserve">на территории Чукотского муниципального района: 6 сельских поселения </w:t>
      </w:r>
      <w:proofErr w:type="spellStart"/>
      <w:r w:rsidRPr="00D06981">
        <w:rPr>
          <w:rFonts w:eastAsiaTheme="minorHAnsi"/>
        </w:rPr>
        <w:t>Инчоун</w:t>
      </w:r>
      <w:proofErr w:type="spellEnd"/>
      <w:r w:rsidRPr="00D06981">
        <w:rPr>
          <w:rFonts w:eastAsiaTheme="minorHAnsi"/>
        </w:rPr>
        <w:t xml:space="preserve">, Лаврентия, </w:t>
      </w:r>
      <w:proofErr w:type="spellStart"/>
      <w:r w:rsidRPr="00D06981">
        <w:rPr>
          <w:rFonts w:eastAsiaTheme="minorHAnsi"/>
        </w:rPr>
        <w:t>Лорино</w:t>
      </w:r>
      <w:proofErr w:type="spellEnd"/>
      <w:r w:rsidRPr="00D06981">
        <w:rPr>
          <w:rFonts w:eastAsiaTheme="minorHAnsi"/>
        </w:rPr>
        <w:t xml:space="preserve">, </w:t>
      </w:r>
      <w:proofErr w:type="spellStart"/>
      <w:r w:rsidRPr="00D06981">
        <w:rPr>
          <w:rFonts w:eastAsiaTheme="minorHAnsi"/>
        </w:rPr>
        <w:t>Нешкан</w:t>
      </w:r>
      <w:proofErr w:type="spellEnd"/>
      <w:r w:rsidRPr="00D06981">
        <w:rPr>
          <w:rFonts w:eastAsiaTheme="minorHAnsi"/>
        </w:rPr>
        <w:t xml:space="preserve">, Уэлен, </w:t>
      </w:r>
      <w:proofErr w:type="spellStart"/>
      <w:r w:rsidRPr="00D06981">
        <w:rPr>
          <w:rFonts w:eastAsiaTheme="minorHAnsi"/>
        </w:rPr>
        <w:t>Энурмино</w:t>
      </w:r>
      <w:proofErr w:type="spellEnd"/>
      <w:r w:rsidRPr="00D06981">
        <w:rPr>
          <w:rFonts w:eastAsiaTheme="minorHAnsi"/>
        </w:rPr>
        <w:t>.</w:t>
      </w:r>
    </w:p>
  </w:footnote>
  <w:footnote w:id="198">
    <w:p w:rsidR="00000E53" w:rsidRPr="00B226A1" w:rsidRDefault="00000E53" w:rsidP="00000E53">
      <w:pPr>
        <w:pStyle w:val="a9"/>
        <w:ind w:firstLine="284"/>
        <w:jc w:val="both"/>
        <w:rPr>
          <w:sz w:val="22"/>
          <w:szCs w:val="22"/>
        </w:rPr>
      </w:pPr>
      <w:r w:rsidRPr="00B226A1">
        <w:rPr>
          <w:rStyle w:val="ab"/>
          <w:sz w:val="22"/>
          <w:szCs w:val="22"/>
        </w:rPr>
        <w:footnoteRef/>
      </w:r>
      <w:r w:rsidRPr="00B226A1">
        <w:rPr>
          <w:sz w:val="22"/>
          <w:szCs w:val="22"/>
        </w:rPr>
        <w:t xml:space="preserve"> Бюджетный кодекс Российской Федерации (далее – Бюджетный кодекс) </w:t>
      </w:r>
    </w:p>
  </w:footnote>
  <w:footnote w:id="199">
    <w:p w:rsidR="00000E53" w:rsidRPr="00B226A1" w:rsidRDefault="00000E53" w:rsidP="00000E53">
      <w:pPr>
        <w:ind w:firstLine="284"/>
        <w:jc w:val="both"/>
      </w:pPr>
      <w:r w:rsidRPr="00B226A1">
        <w:rPr>
          <w:rStyle w:val="ab"/>
        </w:rPr>
        <w:footnoteRef/>
      </w:r>
      <w:r w:rsidRPr="00B226A1">
        <w:t> Закон Чукотского автономного округа от 24 мая 2002 года №31-ОЗ «О бюджетном процессе в Чукотском автономном округе»</w:t>
      </w:r>
    </w:p>
  </w:footnote>
  <w:footnote w:id="200">
    <w:p w:rsidR="00000E53" w:rsidRPr="004D352D" w:rsidRDefault="00000E53" w:rsidP="00000E53">
      <w:pPr>
        <w:pStyle w:val="a9"/>
        <w:ind w:firstLine="284"/>
        <w:jc w:val="both"/>
        <w:rPr>
          <w:sz w:val="22"/>
          <w:szCs w:val="22"/>
        </w:rPr>
      </w:pPr>
      <w:r w:rsidRPr="004D352D">
        <w:rPr>
          <w:rStyle w:val="ab"/>
          <w:sz w:val="22"/>
          <w:szCs w:val="22"/>
        </w:rPr>
        <w:footnoteRef/>
      </w:r>
      <w:r w:rsidRPr="004D352D">
        <w:rPr>
          <w:sz w:val="22"/>
          <w:szCs w:val="22"/>
        </w:rPr>
        <w:t> Показатели представлены по данным отчетов об исполнении окружного бюджета</w:t>
      </w:r>
    </w:p>
  </w:footnote>
  <w:footnote w:id="201">
    <w:p w:rsidR="00000E53" w:rsidRPr="004D352D" w:rsidRDefault="00000E53" w:rsidP="00000E53">
      <w:pPr>
        <w:pStyle w:val="a9"/>
        <w:ind w:firstLine="284"/>
        <w:rPr>
          <w:sz w:val="22"/>
          <w:szCs w:val="22"/>
        </w:rPr>
      </w:pPr>
      <w:r w:rsidRPr="004D352D">
        <w:rPr>
          <w:rStyle w:val="ab"/>
          <w:sz w:val="22"/>
          <w:szCs w:val="22"/>
        </w:rPr>
        <w:footnoteRef/>
      </w:r>
      <w:r>
        <w:rPr>
          <w:sz w:val="22"/>
          <w:szCs w:val="22"/>
        </w:rPr>
        <w:t> Межбюджетные трансферты муниципальным образованиям (далее – МБТ МО)</w:t>
      </w:r>
      <w:r w:rsidRPr="004D352D">
        <w:rPr>
          <w:sz w:val="22"/>
          <w:szCs w:val="22"/>
        </w:rPr>
        <w:t xml:space="preserve"> </w:t>
      </w:r>
    </w:p>
  </w:footnote>
  <w:footnote w:id="202">
    <w:p w:rsidR="00000E53" w:rsidRPr="004B0AFF" w:rsidRDefault="00000E53" w:rsidP="00000E53">
      <w:pPr>
        <w:pStyle w:val="a9"/>
        <w:ind w:firstLine="284"/>
        <w:jc w:val="both"/>
        <w:rPr>
          <w:sz w:val="22"/>
          <w:szCs w:val="22"/>
        </w:rPr>
      </w:pPr>
      <w:r w:rsidRPr="004B0AFF">
        <w:rPr>
          <w:rStyle w:val="ab"/>
          <w:sz w:val="22"/>
          <w:szCs w:val="22"/>
        </w:rPr>
        <w:footnoteRef/>
      </w:r>
      <w:r>
        <w:rPr>
          <w:sz w:val="22"/>
          <w:szCs w:val="22"/>
        </w:rPr>
        <w:t> </w:t>
      </w:r>
      <w:r w:rsidRPr="004B0AFF">
        <w:rPr>
          <w:sz w:val="22"/>
          <w:szCs w:val="22"/>
        </w:rPr>
        <w:t>Государственн</w:t>
      </w:r>
      <w:r>
        <w:rPr>
          <w:sz w:val="22"/>
          <w:szCs w:val="22"/>
        </w:rPr>
        <w:t>ая</w:t>
      </w:r>
      <w:r w:rsidRPr="004B0AFF">
        <w:rPr>
          <w:sz w:val="22"/>
          <w:szCs w:val="22"/>
        </w:rPr>
        <w:t xml:space="preserve"> программ</w:t>
      </w:r>
      <w:r>
        <w:rPr>
          <w:sz w:val="22"/>
          <w:szCs w:val="22"/>
        </w:rPr>
        <w:t xml:space="preserve">а </w:t>
      </w:r>
      <w:r w:rsidRPr="004B0AFF">
        <w:rPr>
          <w:sz w:val="22"/>
          <w:szCs w:val="22"/>
        </w:rPr>
        <w:t>Чукотского автономного округа</w:t>
      </w:r>
      <w:r>
        <w:rPr>
          <w:sz w:val="22"/>
          <w:szCs w:val="22"/>
        </w:rPr>
        <w:t xml:space="preserve"> «</w:t>
      </w:r>
      <w:r w:rsidRPr="004B0AFF">
        <w:rPr>
          <w:sz w:val="22"/>
          <w:szCs w:val="22"/>
        </w:rPr>
        <w:t>Управление региональными финансами и имуществом Чукотского автономного округа</w:t>
      </w:r>
      <w:r>
        <w:rPr>
          <w:sz w:val="22"/>
          <w:szCs w:val="22"/>
        </w:rPr>
        <w:t xml:space="preserve">» утверждена </w:t>
      </w:r>
      <w:r w:rsidRPr="004B0AFF">
        <w:rPr>
          <w:sz w:val="22"/>
          <w:szCs w:val="22"/>
        </w:rPr>
        <w:t>Постановление</w:t>
      </w:r>
      <w:r>
        <w:rPr>
          <w:sz w:val="22"/>
          <w:szCs w:val="22"/>
        </w:rPr>
        <w:t>м</w:t>
      </w:r>
      <w:r w:rsidRPr="004B0AFF">
        <w:rPr>
          <w:sz w:val="22"/>
          <w:szCs w:val="22"/>
        </w:rPr>
        <w:t xml:space="preserve"> Правительства Чукотского автономного округа от</w:t>
      </w:r>
      <w:r>
        <w:rPr>
          <w:sz w:val="22"/>
          <w:szCs w:val="22"/>
        </w:rPr>
        <w:t> </w:t>
      </w:r>
      <w:r w:rsidRPr="004B0AFF">
        <w:rPr>
          <w:sz w:val="22"/>
          <w:szCs w:val="22"/>
        </w:rPr>
        <w:t>28</w:t>
      </w:r>
      <w:r>
        <w:rPr>
          <w:sz w:val="22"/>
          <w:szCs w:val="22"/>
        </w:rPr>
        <w:t xml:space="preserve"> марта </w:t>
      </w:r>
      <w:r w:rsidRPr="004B0AFF">
        <w:rPr>
          <w:sz w:val="22"/>
          <w:szCs w:val="22"/>
        </w:rPr>
        <w:t xml:space="preserve">2014 </w:t>
      </w:r>
      <w:r>
        <w:rPr>
          <w:sz w:val="22"/>
          <w:szCs w:val="22"/>
        </w:rPr>
        <w:t>года №</w:t>
      </w:r>
      <w:r w:rsidRPr="004B0AFF">
        <w:rPr>
          <w:sz w:val="22"/>
          <w:szCs w:val="22"/>
        </w:rPr>
        <w:t>142</w:t>
      </w:r>
    </w:p>
  </w:footnote>
  <w:footnote w:id="203">
    <w:p w:rsidR="00000E53" w:rsidRDefault="00000E53" w:rsidP="00000E53">
      <w:pPr>
        <w:pStyle w:val="a9"/>
        <w:ind w:firstLine="284"/>
        <w:jc w:val="both"/>
        <w:rPr>
          <w:sz w:val="22"/>
          <w:szCs w:val="22"/>
        </w:rPr>
      </w:pPr>
      <w:r w:rsidRPr="00441C35">
        <w:rPr>
          <w:rStyle w:val="ab"/>
          <w:sz w:val="22"/>
          <w:szCs w:val="22"/>
        </w:rPr>
        <w:footnoteRef/>
      </w:r>
      <w:r>
        <w:rPr>
          <w:sz w:val="22"/>
          <w:szCs w:val="22"/>
        </w:rPr>
        <w:t xml:space="preserve"> 2019 год – </w:t>
      </w:r>
      <w:r w:rsidRPr="00441C35">
        <w:rPr>
          <w:sz w:val="22"/>
          <w:szCs w:val="22"/>
        </w:rPr>
        <w:t>Постановление Правительства Чукотского автономного округа от 15 января 2019 года №13 (в редакции от 26 декабря 2019 года №609)</w:t>
      </w:r>
      <w:r>
        <w:rPr>
          <w:sz w:val="22"/>
          <w:szCs w:val="22"/>
        </w:rPr>
        <w:t>;</w:t>
      </w:r>
    </w:p>
    <w:p w:rsidR="00000E53" w:rsidRPr="00DF46D0" w:rsidRDefault="00000E53" w:rsidP="00000E53">
      <w:pPr>
        <w:pStyle w:val="a9"/>
        <w:ind w:firstLine="284"/>
        <w:jc w:val="both"/>
        <w:rPr>
          <w:sz w:val="22"/>
          <w:szCs w:val="22"/>
        </w:rPr>
      </w:pPr>
      <w:r w:rsidRPr="00DF46D0">
        <w:rPr>
          <w:sz w:val="22"/>
          <w:szCs w:val="22"/>
        </w:rPr>
        <w:t>2020 год – Постановление Правительства Чукотского автономного округа от 5 марта 2020 года №87 (в</w:t>
      </w:r>
      <w:r>
        <w:rPr>
          <w:sz w:val="22"/>
          <w:szCs w:val="22"/>
        </w:rPr>
        <w:t> </w:t>
      </w:r>
      <w:r w:rsidRPr="00DF46D0">
        <w:rPr>
          <w:sz w:val="22"/>
          <w:szCs w:val="22"/>
        </w:rPr>
        <w:t>редакции от 30 декабря 2020 года №607)</w:t>
      </w:r>
    </w:p>
  </w:footnote>
  <w:footnote w:id="204">
    <w:p w:rsidR="00000E53" w:rsidRPr="00DF46D0" w:rsidRDefault="00000E53" w:rsidP="00000E53">
      <w:pPr>
        <w:pStyle w:val="a9"/>
        <w:ind w:firstLine="284"/>
        <w:jc w:val="both"/>
        <w:rPr>
          <w:sz w:val="22"/>
          <w:szCs w:val="22"/>
        </w:rPr>
      </w:pPr>
      <w:r w:rsidRPr="00DF46D0">
        <w:rPr>
          <w:rStyle w:val="ab"/>
          <w:sz w:val="22"/>
          <w:szCs w:val="22"/>
        </w:rPr>
        <w:footnoteRef/>
      </w:r>
      <w:r>
        <w:rPr>
          <w:sz w:val="22"/>
          <w:szCs w:val="22"/>
        </w:rPr>
        <w:t> </w:t>
      </w:r>
      <w:r w:rsidRPr="00DF46D0">
        <w:rPr>
          <w:sz w:val="22"/>
          <w:szCs w:val="22"/>
        </w:rPr>
        <w:t>Снижение штатной численности в отчетном периоде на 63,2% обусловлено созданием, в целях оптимизации функционирования Администрации и ее структурных подразделений за счет сосредоточения их усилий на ведении основной деятельности, двух муниципальных казенных учреждений «Обеспечение деятельности Управления социальной политики Администрации муниципального образования Чукотский муниципальный район» и «Управление делами и архивами Администрации муниципального образования Чукотский муниципальный район», и передаче им непрофильных функций в порядке и на условиях, установленных договорами</w:t>
      </w:r>
    </w:p>
  </w:footnote>
  <w:footnote w:id="205">
    <w:p w:rsidR="00000E53" w:rsidRPr="00F14159" w:rsidRDefault="00000E53" w:rsidP="00000E53">
      <w:pPr>
        <w:pStyle w:val="a9"/>
        <w:ind w:firstLine="284"/>
        <w:jc w:val="both"/>
        <w:rPr>
          <w:sz w:val="22"/>
          <w:szCs w:val="22"/>
        </w:rPr>
      </w:pPr>
      <w:r w:rsidRPr="00F14159">
        <w:rPr>
          <w:rStyle w:val="ab"/>
          <w:sz w:val="22"/>
          <w:szCs w:val="22"/>
        </w:rPr>
        <w:footnoteRef/>
      </w:r>
      <w:r w:rsidRPr="00F14159">
        <w:rPr>
          <w:sz w:val="22"/>
          <w:szCs w:val="22"/>
        </w:rPr>
        <w:t> Государственная программа Чукотского автономного округа «Стимулирование экономической активности населения Чукотского автономного округа» утверждена Постановлением Правительства Чукотского автономного округа от 21 октября 2013 года №410</w:t>
      </w:r>
    </w:p>
  </w:footnote>
  <w:footnote w:id="206">
    <w:p w:rsidR="00000E53" w:rsidRPr="004D7720" w:rsidRDefault="00000E53" w:rsidP="00000E53">
      <w:pPr>
        <w:widowControl w:val="0"/>
        <w:autoSpaceDE w:val="0"/>
        <w:autoSpaceDN w:val="0"/>
        <w:adjustRightInd w:val="0"/>
        <w:ind w:firstLine="284"/>
        <w:jc w:val="both"/>
      </w:pPr>
      <w:r w:rsidRPr="00F14159">
        <w:rPr>
          <w:rStyle w:val="ab"/>
        </w:rPr>
        <w:footnoteRef/>
      </w:r>
      <w:r w:rsidRPr="00F14159">
        <w:t> Государственная программа Чукотского автономного округа «</w:t>
      </w:r>
      <w:r w:rsidRPr="00F14159">
        <w:rPr>
          <w:rFonts w:eastAsiaTheme="minorHAnsi"/>
        </w:rPr>
        <w:t xml:space="preserve">Развитие агропромышленного </w:t>
      </w:r>
      <w:r w:rsidRPr="004D7720">
        <w:rPr>
          <w:rFonts w:eastAsiaTheme="minorHAnsi"/>
        </w:rPr>
        <w:t xml:space="preserve">комплекса Чукотского автономного округа» утверждена Постановлением Правительства Чукотского автономного округа от 21 октября 2013 года №411 </w:t>
      </w:r>
    </w:p>
  </w:footnote>
  <w:footnote w:id="207">
    <w:p w:rsidR="00000E53" w:rsidRPr="004D7720" w:rsidRDefault="00000E53" w:rsidP="00000E53">
      <w:pPr>
        <w:pStyle w:val="a9"/>
        <w:ind w:firstLine="284"/>
        <w:jc w:val="both"/>
        <w:rPr>
          <w:sz w:val="22"/>
          <w:szCs w:val="22"/>
        </w:rPr>
      </w:pPr>
      <w:r w:rsidRPr="004D7720">
        <w:rPr>
          <w:rStyle w:val="ab"/>
          <w:sz w:val="22"/>
          <w:szCs w:val="22"/>
        </w:rPr>
        <w:footnoteRef/>
      </w:r>
      <w:r w:rsidRPr="004D7720">
        <w:rPr>
          <w:sz w:val="22"/>
          <w:szCs w:val="22"/>
        </w:rPr>
        <w:t> </w:t>
      </w:r>
      <w:r w:rsidRPr="004D7720">
        <w:rPr>
          <w:rFonts w:eastAsiaTheme="minorHAnsi"/>
          <w:sz w:val="22"/>
          <w:szCs w:val="22"/>
        </w:rPr>
        <w:t>Перечень социально значимых продовольственных товаров приведен приложением 1 к Порядку предоставления из окружного бюджета бюджетам муниципальных районов и городских округов Чукотского автономного округа субсидий на обеспечение жителей округа социально значимыми продовольственными товарами утвержденному Приложением 10 к Государственной программе «Развитие агропромышленного комплекса Чукотского автономного округа»</w:t>
      </w:r>
    </w:p>
  </w:footnote>
  <w:footnote w:id="208">
    <w:p w:rsidR="00000E53" w:rsidRPr="00B519C8" w:rsidRDefault="00000E53" w:rsidP="00000E53">
      <w:pPr>
        <w:pStyle w:val="a9"/>
        <w:ind w:firstLine="284"/>
        <w:jc w:val="both"/>
        <w:rPr>
          <w:sz w:val="22"/>
          <w:szCs w:val="22"/>
        </w:rPr>
      </w:pPr>
      <w:r w:rsidRPr="00B519C8">
        <w:rPr>
          <w:rStyle w:val="ab"/>
          <w:sz w:val="22"/>
          <w:szCs w:val="22"/>
        </w:rPr>
        <w:footnoteRef/>
      </w:r>
      <w:r w:rsidRPr="00B519C8">
        <w:rPr>
          <w:sz w:val="22"/>
          <w:szCs w:val="22"/>
        </w:rPr>
        <w:t> Государственная программа Чукотского автономного округа «Развитие жилищно-коммунального хозяйства и водохозяйственного комплекса Чукотского автономного округа» утверждена Постановлением Правительства Чукотского автономного округа от 29 февраля 2016 года №92</w:t>
      </w:r>
    </w:p>
  </w:footnote>
  <w:footnote w:id="209">
    <w:p w:rsidR="00000E53" w:rsidRPr="0025017E" w:rsidRDefault="00000E53" w:rsidP="00000E53">
      <w:pPr>
        <w:pStyle w:val="a9"/>
        <w:ind w:firstLine="284"/>
        <w:jc w:val="both"/>
        <w:rPr>
          <w:sz w:val="22"/>
          <w:szCs w:val="22"/>
        </w:rPr>
      </w:pPr>
      <w:r w:rsidRPr="0025017E">
        <w:rPr>
          <w:rStyle w:val="ab"/>
          <w:sz w:val="22"/>
          <w:szCs w:val="22"/>
        </w:rPr>
        <w:footnoteRef/>
      </w:r>
      <w:r w:rsidRPr="0025017E">
        <w:rPr>
          <w:sz w:val="22"/>
          <w:szCs w:val="22"/>
        </w:rPr>
        <w:t> Государственная программа Чукотского автономного округа «</w:t>
      </w:r>
      <w:r w:rsidRPr="0025017E">
        <w:rPr>
          <w:bCs/>
          <w:sz w:val="22"/>
          <w:szCs w:val="22"/>
        </w:rPr>
        <w:t>Развитие образования, культуры, спорта, туризма и молодежной политики Чукотского автономного округа</w:t>
      </w:r>
      <w:r w:rsidRPr="0025017E">
        <w:rPr>
          <w:sz w:val="22"/>
          <w:szCs w:val="22"/>
        </w:rPr>
        <w:t>» утверждена Постановлением Правительства Чукотского автономного округа от 29 декабря 2015 года №658</w:t>
      </w:r>
    </w:p>
  </w:footnote>
  <w:footnote w:id="210">
    <w:p w:rsidR="00000E53" w:rsidRPr="00D572EE" w:rsidRDefault="00000E53" w:rsidP="00000E53">
      <w:pPr>
        <w:pStyle w:val="a9"/>
        <w:ind w:firstLine="284"/>
        <w:jc w:val="both"/>
        <w:rPr>
          <w:sz w:val="22"/>
          <w:szCs w:val="22"/>
        </w:rPr>
      </w:pPr>
      <w:r w:rsidRPr="0025017E">
        <w:rPr>
          <w:rStyle w:val="ab"/>
          <w:sz w:val="22"/>
          <w:szCs w:val="22"/>
        </w:rPr>
        <w:footnoteRef/>
      </w:r>
      <w:r>
        <w:rPr>
          <w:sz w:val="22"/>
          <w:szCs w:val="22"/>
        </w:rPr>
        <w:t> </w:t>
      </w:r>
      <w:r w:rsidRPr="0025017E">
        <w:rPr>
          <w:sz w:val="22"/>
          <w:szCs w:val="22"/>
        </w:rPr>
        <w:t>Государственная программа Чукотского автономного округа «</w:t>
      </w:r>
      <w:r w:rsidRPr="0025017E">
        <w:rPr>
          <w:bCs/>
          <w:sz w:val="22"/>
          <w:szCs w:val="22"/>
        </w:rPr>
        <w:t>Развитие образования</w:t>
      </w:r>
      <w:r>
        <w:rPr>
          <w:bCs/>
          <w:sz w:val="22"/>
          <w:szCs w:val="22"/>
        </w:rPr>
        <w:t xml:space="preserve"> и науки</w:t>
      </w:r>
      <w:r w:rsidRPr="0025017E">
        <w:rPr>
          <w:bCs/>
          <w:sz w:val="22"/>
          <w:szCs w:val="22"/>
        </w:rPr>
        <w:t xml:space="preserve"> Чукотского автономного округа</w:t>
      </w:r>
      <w:r w:rsidRPr="0025017E">
        <w:rPr>
          <w:sz w:val="22"/>
          <w:szCs w:val="22"/>
        </w:rPr>
        <w:t xml:space="preserve">» утверждена Постановлением Правительства Чукотского автономного округа от </w:t>
      </w:r>
      <w:r>
        <w:rPr>
          <w:sz w:val="22"/>
          <w:szCs w:val="22"/>
        </w:rPr>
        <w:t xml:space="preserve">8 апреля 2019 года </w:t>
      </w:r>
      <w:r w:rsidRPr="0025017E">
        <w:rPr>
          <w:sz w:val="22"/>
          <w:szCs w:val="22"/>
        </w:rPr>
        <w:t>№</w:t>
      </w:r>
      <w:r>
        <w:rPr>
          <w:sz w:val="22"/>
          <w:szCs w:val="22"/>
        </w:rPr>
        <w:t>192</w:t>
      </w:r>
    </w:p>
  </w:footnote>
  <w:footnote w:id="211">
    <w:p w:rsidR="00000E53" w:rsidRDefault="00000E53" w:rsidP="00000E53">
      <w:pPr>
        <w:pStyle w:val="a9"/>
        <w:ind w:firstLine="284"/>
        <w:jc w:val="both"/>
      </w:pPr>
      <w:r w:rsidRPr="00D572EE">
        <w:rPr>
          <w:rStyle w:val="ab"/>
          <w:sz w:val="22"/>
          <w:szCs w:val="22"/>
        </w:rPr>
        <w:footnoteRef/>
      </w:r>
      <w:r w:rsidRPr="00D572EE">
        <w:rPr>
          <w:sz w:val="22"/>
          <w:szCs w:val="22"/>
        </w:rPr>
        <w:t xml:space="preserve"> Государственная программа Чукотского автономного округа «Социальная поддержка населения Чукотского автономного округа» утверждена Постановлением Правительства Чукотского автономного округа от </w:t>
      </w:r>
      <w:r>
        <w:rPr>
          <w:sz w:val="22"/>
          <w:szCs w:val="22"/>
        </w:rPr>
        <w:t xml:space="preserve">21 октября </w:t>
      </w:r>
      <w:r w:rsidRPr="00D572EE">
        <w:rPr>
          <w:sz w:val="22"/>
          <w:szCs w:val="22"/>
        </w:rPr>
        <w:t>201</w:t>
      </w:r>
      <w:r>
        <w:rPr>
          <w:sz w:val="22"/>
          <w:szCs w:val="22"/>
        </w:rPr>
        <w:t>3 года</w:t>
      </w:r>
      <w:r w:rsidRPr="00D572EE">
        <w:rPr>
          <w:sz w:val="22"/>
          <w:szCs w:val="22"/>
        </w:rPr>
        <w:t xml:space="preserve"> №</w:t>
      </w:r>
      <w:r>
        <w:rPr>
          <w:sz w:val="22"/>
          <w:szCs w:val="22"/>
        </w:rPr>
        <w:t>404</w:t>
      </w:r>
    </w:p>
  </w:footnote>
  <w:footnote w:id="212">
    <w:p w:rsidR="00000E53" w:rsidRPr="008A6663" w:rsidRDefault="00000E53" w:rsidP="00000E53">
      <w:pPr>
        <w:autoSpaceDE w:val="0"/>
        <w:autoSpaceDN w:val="0"/>
        <w:adjustRightInd w:val="0"/>
        <w:ind w:firstLine="284"/>
        <w:jc w:val="both"/>
      </w:pPr>
      <w:r w:rsidRPr="008A6663">
        <w:rPr>
          <w:rStyle w:val="ab"/>
        </w:rPr>
        <w:footnoteRef/>
      </w:r>
      <w:r w:rsidRPr="008A6663">
        <w:t> Федеральн</w:t>
      </w:r>
      <w:r>
        <w:t>ый</w:t>
      </w:r>
      <w:r w:rsidRPr="008A6663">
        <w:t xml:space="preserve"> стандарт бухгалтерского учета для организаций государственного сектора «Основные средства» утвержден Приказом Министерства Финансов России от 31 декабря 2016 года №257н</w:t>
      </w:r>
    </w:p>
  </w:footnote>
  <w:footnote w:id="213">
    <w:p w:rsidR="00000E53" w:rsidRPr="000918ED" w:rsidRDefault="00000E53" w:rsidP="00000E53">
      <w:pPr>
        <w:pStyle w:val="a9"/>
        <w:ind w:firstLine="284"/>
        <w:rPr>
          <w:sz w:val="22"/>
          <w:szCs w:val="22"/>
        </w:rPr>
      </w:pPr>
      <w:r w:rsidRPr="000918ED">
        <w:rPr>
          <w:rStyle w:val="ab"/>
          <w:sz w:val="22"/>
          <w:szCs w:val="22"/>
        </w:rPr>
        <w:footnoteRef/>
      </w:r>
      <w:r>
        <w:rPr>
          <w:sz w:val="22"/>
          <w:szCs w:val="22"/>
        </w:rPr>
        <w:t> </w:t>
      </w:r>
      <w:r w:rsidRPr="000918ED">
        <w:rPr>
          <w:sz w:val="22"/>
          <w:szCs w:val="22"/>
        </w:rPr>
        <w:t xml:space="preserve">Кодекс Российской Федерации об административных правонарушениях (далее – </w:t>
      </w:r>
      <w:r w:rsidRPr="000918ED">
        <w:rPr>
          <w:bCs/>
          <w:sz w:val="22"/>
          <w:szCs w:val="22"/>
        </w:rPr>
        <w:t>КоАП)</w:t>
      </w:r>
    </w:p>
  </w:footnote>
  <w:footnote w:id="214">
    <w:p w:rsidR="00000E53" w:rsidRDefault="00000E53" w:rsidP="00000E53">
      <w:pPr>
        <w:pStyle w:val="a9"/>
        <w:ind w:firstLine="284"/>
        <w:jc w:val="both"/>
        <w:rPr>
          <w:sz w:val="22"/>
          <w:szCs w:val="22"/>
        </w:rPr>
      </w:pPr>
      <w:r w:rsidRPr="00C677B3">
        <w:rPr>
          <w:rStyle w:val="ab"/>
          <w:sz w:val="22"/>
          <w:szCs w:val="22"/>
        </w:rPr>
        <w:footnoteRef/>
      </w:r>
      <w:r w:rsidRPr="00C677B3">
        <w:rPr>
          <w:sz w:val="22"/>
          <w:szCs w:val="22"/>
          <w:lang w:val="en-US"/>
        </w:rPr>
        <w:t> </w:t>
      </w:r>
      <w:r>
        <w:rPr>
          <w:sz w:val="22"/>
          <w:szCs w:val="22"/>
        </w:rPr>
        <w:t xml:space="preserve">Представления направлены в адрес </w:t>
      </w:r>
    </w:p>
    <w:p w:rsidR="00000E53" w:rsidRPr="00C677B3" w:rsidRDefault="00000E53" w:rsidP="00000E53">
      <w:pPr>
        <w:pStyle w:val="a9"/>
        <w:ind w:firstLine="284"/>
        <w:jc w:val="both"/>
        <w:rPr>
          <w:sz w:val="22"/>
          <w:szCs w:val="22"/>
        </w:rPr>
      </w:pPr>
      <w:r>
        <w:rPr>
          <w:sz w:val="22"/>
          <w:szCs w:val="22"/>
        </w:rPr>
        <w:t xml:space="preserve">- руководителей Департаментов промышленной политики, социальной политики, сельского хозяйства </w:t>
      </w:r>
      <w:r w:rsidRPr="00C677B3">
        <w:rPr>
          <w:sz w:val="22"/>
          <w:szCs w:val="22"/>
        </w:rPr>
        <w:t>и продовольствия Чукотского автономного округа;</w:t>
      </w:r>
    </w:p>
    <w:p w:rsidR="00000E53" w:rsidRPr="00C677B3" w:rsidRDefault="00000E53" w:rsidP="00000E53">
      <w:pPr>
        <w:pStyle w:val="a9"/>
        <w:ind w:firstLine="284"/>
        <w:jc w:val="both"/>
        <w:rPr>
          <w:sz w:val="22"/>
          <w:szCs w:val="22"/>
        </w:rPr>
      </w:pPr>
      <w:r>
        <w:rPr>
          <w:sz w:val="22"/>
          <w:szCs w:val="22"/>
        </w:rPr>
        <w:t>- </w:t>
      </w:r>
      <w:r w:rsidRPr="00C677B3">
        <w:rPr>
          <w:sz w:val="22"/>
          <w:szCs w:val="22"/>
        </w:rPr>
        <w:t xml:space="preserve">Глав муниципальных районов Анадырского, </w:t>
      </w:r>
      <w:proofErr w:type="spellStart"/>
      <w:r w:rsidRPr="00C677B3">
        <w:rPr>
          <w:sz w:val="22"/>
          <w:szCs w:val="22"/>
        </w:rPr>
        <w:t>Билибинского</w:t>
      </w:r>
      <w:proofErr w:type="spellEnd"/>
      <w:r w:rsidRPr="00C677B3">
        <w:rPr>
          <w:sz w:val="22"/>
          <w:szCs w:val="22"/>
        </w:rPr>
        <w:t xml:space="preserve"> и Чукотского, городских округов </w:t>
      </w:r>
      <w:proofErr w:type="spellStart"/>
      <w:r w:rsidRPr="00C677B3">
        <w:rPr>
          <w:sz w:val="22"/>
          <w:szCs w:val="22"/>
        </w:rPr>
        <w:t>Певек</w:t>
      </w:r>
      <w:proofErr w:type="spellEnd"/>
      <w:r w:rsidRPr="00C677B3">
        <w:rPr>
          <w:sz w:val="22"/>
          <w:szCs w:val="22"/>
        </w:rPr>
        <w:t xml:space="preserve"> и </w:t>
      </w:r>
      <w:proofErr w:type="spellStart"/>
      <w:r w:rsidRPr="00C677B3">
        <w:rPr>
          <w:sz w:val="22"/>
          <w:szCs w:val="22"/>
        </w:rPr>
        <w:t>Провиденского</w:t>
      </w:r>
      <w:proofErr w:type="spellEnd"/>
      <w:r w:rsidRPr="00C677B3">
        <w:rPr>
          <w:sz w:val="22"/>
          <w:szCs w:val="22"/>
        </w:rPr>
        <w:t>;</w:t>
      </w:r>
    </w:p>
    <w:p w:rsidR="00000E53" w:rsidRPr="00C677B3" w:rsidRDefault="00000E53" w:rsidP="00000E53">
      <w:pPr>
        <w:ind w:firstLine="284"/>
        <w:jc w:val="both"/>
      </w:pPr>
      <w:r>
        <w:t>- </w:t>
      </w:r>
      <w:r w:rsidRPr="00C677B3">
        <w:t>начальников Управления финансов, экономики и имущественных отношений</w:t>
      </w:r>
      <w:r>
        <w:t xml:space="preserve">, и </w:t>
      </w:r>
      <w:r w:rsidRPr="00C677B3">
        <w:t xml:space="preserve">Управления социальной политики Администрации </w:t>
      </w:r>
      <w:r w:rsidRPr="00C677B3">
        <w:rPr>
          <w:color w:val="000000"/>
        </w:rPr>
        <w:t xml:space="preserve">муниципального образования </w:t>
      </w:r>
      <w:proofErr w:type="spellStart"/>
      <w:r w:rsidRPr="00C677B3">
        <w:rPr>
          <w:color w:val="000000"/>
        </w:rPr>
        <w:t>Билибинский</w:t>
      </w:r>
      <w:proofErr w:type="spellEnd"/>
      <w:r w:rsidRPr="00C677B3">
        <w:rPr>
          <w:color w:val="000000"/>
        </w:rPr>
        <w:t xml:space="preserve"> муниципальный район</w:t>
      </w:r>
      <w:r>
        <w:rPr>
          <w:color w:val="000000"/>
        </w:rPr>
        <w:t>;</w:t>
      </w:r>
    </w:p>
    <w:p w:rsidR="00000E53" w:rsidRPr="00C677B3" w:rsidRDefault="00000E53" w:rsidP="00000E53">
      <w:pPr>
        <w:ind w:firstLine="284"/>
        <w:jc w:val="both"/>
      </w:pPr>
      <w:r>
        <w:t>- </w:t>
      </w:r>
      <w:r w:rsidRPr="00C677B3">
        <w:t xml:space="preserve">руководителей учреждений – </w:t>
      </w:r>
      <w:r>
        <w:t>м</w:t>
      </w:r>
      <w:r w:rsidRPr="00C677B3">
        <w:rPr>
          <w:rStyle w:val="aff6"/>
        </w:rPr>
        <w:t>униципального бюджетного до</w:t>
      </w:r>
      <w:r w:rsidRPr="00C677B3">
        <w:t xml:space="preserve">школьного образовательного учреждения «Детский сад «Кораблик» поселка Провидения», </w:t>
      </w:r>
      <w:r>
        <w:t>м</w:t>
      </w:r>
      <w:r w:rsidRPr="00C677B3">
        <w:rPr>
          <w:rStyle w:val="aff6"/>
        </w:rPr>
        <w:t xml:space="preserve">униципального бюджетного </w:t>
      </w:r>
      <w:r w:rsidRPr="00C677B3">
        <w:t xml:space="preserve">общеобразовательного учреждения «Школа-интернат среднего общего образования поселка Провидения». </w:t>
      </w:r>
    </w:p>
  </w:footnote>
  <w:footnote w:id="215">
    <w:p w:rsidR="00000E53" w:rsidRPr="004C4EDA" w:rsidRDefault="00000E53" w:rsidP="00000E53">
      <w:pPr>
        <w:pStyle w:val="a9"/>
        <w:ind w:firstLine="284"/>
        <w:jc w:val="both"/>
        <w:rPr>
          <w:sz w:val="22"/>
          <w:szCs w:val="22"/>
        </w:rPr>
      </w:pPr>
      <w:r w:rsidRPr="00C677B3">
        <w:rPr>
          <w:rStyle w:val="ab"/>
          <w:sz w:val="22"/>
          <w:szCs w:val="22"/>
        </w:rPr>
        <w:footnoteRef/>
      </w:r>
      <w:r w:rsidRPr="00C677B3">
        <w:rPr>
          <w:sz w:val="22"/>
          <w:szCs w:val="22"/>
          <w:lang w:val="en-US"/>
        </w:rPr>
        <w:t> </w:t>
      </w:r>
      <w:r>
        <w:rPr>
          <w:sz w:val="22"/>
          <w:szCs w:val="22"/>
        </w:rPr>
        <w:t>Информационные письма направлены в адрес руководителей Департаментов промышленной политики и Департамента образования и науки Чукотского автономного округа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E53" w:rsidRDefault="00000E53">
    <w:pPr>
      <w:pStyle w:val="af1"/>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end"/>
    </w:r>
  </w:p>
  <w:p w:rsidR="00000E53" w:rsidRDefault="00000E53">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140172"/>
      <w:docPartObj>
        <w:docPartGallery w:val="Page Numbers (Top of Page)"/>
        <w:docPartUnique/>
      </w:docPartObj>
    </w:sdtPr>
    <w:sdtContent>
      <w:p w:rsidR="00000E53" w:rsidRPr="00C63FBA" w:rsidRDefault="00000E53">
        <w:pPr>
          <w:pStyle w:val="af1"/>
          <w:jc w:val="center"/>
        </w:pPr>
        <w:r w:rsidRPr="00C63FBA">
          <w:rPr>
            <w:noProof/>
          </w:rPr>
          <w:fldChar w:fldCharType="begin"/>
        </w:r>
        <w:r w:rsidRPr="00C63FBA">
          <w:rPr>
            <w:noProof/>
          </w:rPr>
          <w:instrText xml:space="preserve"> PAGE   \* MERGEFORMAT </w:instrText>
        </w:r>
        <w:r w:rsidRPr="00C63FBA">
          <w:rPr>
            <w:noProof/>
          </w:rPr>
          <w:fldChar w:fldCharType="separate"/>
        </w:r>
        <w:r w:rsidR="00EE4ACF">
          <w:rPr>
            <w:noProof/>
          </w:rPr>
          <w:t>3</w:t>
        </w:r>
        <w:r w:rsidRPr="00C63FBA">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9317"/>
      <w:docPartObj>
        <w:docPartGallery w:val="Page Numbers (Top of Page)"/>
        <w:docPartUnique/>
      </w:docPartObj>
    </w:sdtPr>
    <w:sdtContent>
      <w:p w:rsidR="00000E53" w:rsidRDefault="00000E53">
        <w:pPr>
          <w:pStyle w:val="af1"/>
          <w:jc w:val="center"/>
        </w:pPr>
        <w:r>
          <w:fldChar w:fldCharType="begin"/>
        </w:r>
        <w:r>
          <w:instrText xml:space="preserve"> PAGE   \* MERGEFORMAT </w:instrText>
        </w:r>
        <w:r>
          <w:fldChar w:fldCharType="separate"/>
        </w:r>
        <w:r w:rsidR="00EE4ACF">
          <w:rPr>
            <w:noProof/>
          </w:rPr>
          <w:t>157</w:t>
        </w:r>
        <w:r>
          <w:rPr>
            <w:noProof/>
          </w:rPr>
          <w:fldChar w:fldCharType="end"/>
        </w:r>
      </w:p>
    </w:sdtContent>
  </w:sdt>
  <w:p w:rsidR="00000E53" w:rsidRDefault="00000E53">
    <w:pPr>
      <w:pStyle w:val="af1"/>
    </w:pPr>
  </w:p>
  <w:p w:rsidR="00000E53" w:rsidRDefault="00000E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13B7"/>
    <w:multiLevelType w:val="hybridMultilevel"/>
    <w:tmpl w:val="23C211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466ED3"/>
    <w:multiLevelType w:val="hybridMultilevel"/>
    <w:tmpl w:val="E59083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5B5A9C"/>
    <w:multiLevelType w:val="hybridMultilevel"/>
    <w:tmpl w:val="A1DE2F7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15:restartNumberingAfterBreak="0">
    <w:nsid w:val="0CBD724F"/>
    <w:multiLevelType w:val="hybridMultilevel"/>
    <w:tmpl w:val="027CB78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15:restartNumberingAfterBreak="0">
    <w:nsid w:val="0F893614"/>
    <w:multiLevelType w:val="hybridMultilevel"/>
    <w:tmpl w:val="D8886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685E13"/>
    <w:multiLevelType w:val="hybridMultilevel"/>
    <w:tmpl w:val="C94AD0DC"/>
    <w:lvl w:ilvl="0" w:tplc="1840B03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AA77AB"/>
    <w:multiLevelType w:val="hybridMultilevel"/>
    <w:tmpl w:val="5EFAFF8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C5776B4"/>
    <w:multiLevelType w:val="multilevel"/>
    <w:tmpl w:val="F08EFE28"/>
    <w:lvl w:ilvl="0">
      <w:start w:val="1"/>
      <w:numFmt w:val="decimal"/>
      <w:pStyle w:val="2"/>
      <w:lvlText w:val="%1."/>
      <w:lvlJc w:val="left"/>
      <w:pPr>
        <w:ind w:left="720" w:hanging="360"/>
      </w:pPr>
      <w:rPr>
        <w:b/>
      </w:rPr>
    </w:lvl>
    <w:lvl w:ilvl="1">
      <w:start w:val="1"/>
      <w:numFmt w:val="decimal"/>
      <w:isLgl/>
      <w:lvlText w:val="%1.%2."/>
      <w:lvlJc w:val="left"/>
      <w:pPr>
        <w:ind w:left="480"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1D987757"/>
    <w:multiLevelType w:val="hybridMultilevel"/>
    <w:tmpl w:val="3188BEB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FE41F68"/>
    <w:multiLevelType w:val="hybridMultilevel"/>
    <w:tmpl w:val="701A1E6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32A4239"/>
    <w:multiLevelType w:val="hybridMultilevel"/>
    <w:tmpl w:val="7034FCB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3E9506B"/>
    <w:multiLevelType w:val="hybridMultilevel"/>
    <w:tmpl w:val="CC927BF8"/>
    <w:lvl w:ilvl="0" w:tplc="0936D966">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BE111CA"/>
    <w:multiLevelType w:val="hybridMultilevel"/>
    <w:tmpl w:val="FCB2F138"/>
    <w:lvl w:ilvl="0" w:tplc="B2ACE7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0FA25D0"/>
    <w:multiLevelType w:val="hybridMultilevel"/>
    <w:tmpl w:val="226A9034"/>
    <w:lvl w:ilvl="0" w:tplc="2CDEB3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0FF6095"/>
    <w:multiLevelType w:val="hybridMultilevel"/>
    <w:tmpl w:val="E1B0AF30"/>
    <w:lvl w:ilvl="0" w:tplc="7D58342C">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9E66FA1"/>
    <w:multiLevelType w:val="hybridMultilevel"/>
    <w:tmpl w:val="A15A8CF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15:restartNumberingAfterBreak="0">
    <w:nsid w:val="42A16DFE"/>
    <w:multiLevelType w:val="hybridMultilevel"/>
    <w:tmpl w:val="DA241DCA"/>
    <w:lvl w:ilvl="0" w:tplc="0F1859C2">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4175BE4"/>
    <w:multiLevelType w:val="hybridMultilevel"/>
    <w:tmpl w:val="020A965E"/>
    <w:lvl w:ilvl="0" w:tplc="04190005">
      <w:start w:val="1"/>
      <w:numFmt w:val="bullet"/>
      <w:lvlText w:val=""/>
      <w:lvlJc w:val="left"/>
      <w:pPr>
        <w:ind w:left="1491" w:hanging="360"/>
      </w:pPr>
      <w:rPr>
        <w:rFonts w:ascii="Wingdings" w:hAnsi="Wingdings" w:hint="default"/>
      </w:rPr>
    </w:lvl>
    <w:lvl w:ilvl="1" w:tplc="04190003" w:tentative="1">
      <w:start w:val="1"/>
      <w:numFmt w:val="bullet"/>
      <w:lvlText w:val="o"/>
      <w:lvlJc w:val="left"/>
      <w:pPr>
        <w:ind w:left="2211" w:hanging="360"/>
      </w:pPr>
      <w:rPr>
        <w:rFonts w:ascii="Courier New" w:hAnsi="Courier New" w:cs="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cs="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cs="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18" w15:restartNumberingAfterBreak="0">
    <w:nsid w:val="44B6409A"/>
    <w:multiLevelType w:val="hybridMultilevel"/>
    <w:tmpl w:val="394EDC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8150217"/>
    <w:multiLevelType w:val="hybridMultilevel"/>
    <w:tmpl w:val="90FEE058"/>
    <w:lvl w:ilvl="0" w:tplc="04190001">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20" w15:restartNumberingAfterBreak="0">
    <w:nsid w:val="4A085327"/>
    <w:multiLevelType w:val="hybridMultilevel"/>
    <w:tmpl w:val="A2D697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F484F11"/>
    <w:multiLevelType w:val="hybridMultilevel"/>
    <w:tmpl w:val="F0FEFC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6000B07"/>
    <w:multiLevelType w:val="hybridMultilevel"/>
    <w:tmpl w:val="9E96917E"/>
    <w:lvl w:ilvl="0" w:tplc="F1446E0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56D16A86"/>
    <w:multiLevelType w:val="hybridMultilevel"/>
    <w:tmpl w:val="D00E5FEC"/>
    <w:lvl w:ilvl="0" w:tplc="0419000F">
      <w:start w:val="1"/>
      <w:numFmt w:val="decimal"/>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4" w15:restartNumberingAfterBreak="0">
    <w:nsid w:val="5A5A724E"/>
    <w:multiLevelType w:val="hybridMultilevel"/>
    <w:tmpl w:val="BAD4F10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C60104D"/>
    <w:multiLevelType w:val="hybridMultilevel"/>
    <w:tmpl w:val="F9E801AC"/>
    <w:lvl w:ilvl="0" w:tplc="A8D225F8">
      <w:start w:val="1"/>
      <w:numFmt w:val="decimal"/>
      <w:lvlText w:val="%1."/>
      <w:lvlJc w:val="left"/>
      <w:pPr>
        <w:ind w:left="1061" w:hanging="36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26" w15:restartNumberingAfterBreak="0">
    <w:nsid w:val="5EB91EA7"/>
    <w:multiLevelType w:val="hybridMultilevel"/>
    <w:tmpl w:val="6D5E1CD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F76313"/>
    <w:multiLevelType w:val="hybridMultilevel"/>
    <w:tmpl w:val="35E6208C"/>
    <w:lvl w:ilvl="0" w:tplc="10BC4A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4C64965"/>
    <w:multiLevelType w:val="hybridMultilevel"/>
    <w:tmpl w:val="E5FA5DB6"/>
    <w:lvl w:ilvl="0" w:tplc="04190005">
      <w:start w:val="1"/>
      <w:numFmt w:val="bullet"/>
      <w:lvlText w:val=""/>
      <w:lvlJc w:val="left"/>
      <w:pPr>
        <w:ind w:left="1389" w:hanging="360"/>
      </w:pPr>
      <w:rPr>
        <w:rFonts w:ascii="Wingdings" w:hAnsi="Wingdings" w:hint="default"/>
      </w:rPr>
    </w:lvl>
    <w:lvl w:ilvl="1" w:tplc="04190003" w:tentative="1">
      <w:start w:val="1"/>
      <w:numFmt w:val="bullet"/>
      <w:lvlText w:val="o"/>
      <w:lvlJc w:val="left"/>
      <w:pPr>
        <w:ind w:left="2109" w:hanging="360"/>
      </w:pPr>
      <w:rPr>
        <w:rFonts w:ascii="Courier New" w:hAnsi="Courier New" w:cs="Courier New" w:hint="default"/>
      </w:rPr>
    </w:lvl>
    <w:lvl w:ilvl="2" w:tplc="04190005" w:tentative="1">
      <w:start w:val="1"/>
      <w:numFmt w:val="bullet"/>
      <w:lvlText w:val=""/>
      <w:lvlJc w:val="left"/>
      <w:pPr>
        <w:ind w:left="2829" w:hanging="360"/>
      </w:pPr>
      <w:rPr>
        <w:rFonts w:ascii="Wingdings" w:hAnsi="Wingdings" w:hint="default"/>
      </w:rPr>
    </w:lvl>
    <w:lvl w:ilvl="3" w:tplc="04190001" w:tentative="1">
      <w:start w:val="1"/>
      <w:numFmt w:val="bullet"/>
      <w:lvlText w:val=""/>
      <w:lvlJc w:val="left"/>
      <w:pPr>
        <w:ind w:left="3549" w:hanging="360"/>
      </w:pPr>
      <w:rPr>
        <w:rFonts w:ascii="Symbol" w:hAnsi="Symbol" w:hint="default"/>
      </w:rPr>
    </w:lvl>
    <w:lvl w:ilvl="4" w:tplc="04190003" w:tentative="1">
      <w:start w:val="1"/>
      <w:numFmt w:val="bullet"/>
      <w:lvlText w:val="o"/>
      <w:lvlJc w:val="left"/>
      <w:pPr>
        <w:ind w:left="4269" w:hanging="360"/>
      </w:pPr>
      <w:rPr>
        <w:rFonts w:ascii="Courier New" w:hAnsi="Courier New" w:cs="Courier New" w:hint="default"/>
      </w:rPr>
    </w:lvl>
    <w:lvl w:ilvl="5" w:tplc="04190005" w:tentative="1">
      <w:start w:val="1"/>
      <w:numFmt w:val="bullet"/>
      <w:lvlText w:val=""/>
      <w:lvlJc w:val="left"/>
      <w:pPr>
        <w:ind w:left="4989" w:hanging="360"/>
      </w:pPr>
      <w:rPr>
        <w:rFonts w:ascii="Wingdings" w:hAnsi="Wingdings" w:hint="default"/>
      </w:rPr>
    </w:lvl>
    <w:lvl w:ilvl="6" w:tplc="04190001" w:tentative="1">
      <w:start w:val="1"/>
      <w:numFmt w:val="bullet"/>
      <w:lvlText w:val=""/>
      <w:lvlJc w:val="left"/>
      <w:pPr>
        <w:ind w:left="5709" w:hanging="360"/>
      </w:pPr>
      <w:rPr>
        <w:rFonts w:ascii="Symbol" w:hAnsi="Symbol" w:hint="default"/>
      </w:rPr>
    </w:lvl>
    <w:lvl w:ilvl="7" w:tplc="04190003" w:tentative="1">
      <w:start w:val="1"/>
      <w:numFmt w:val="bullet"/>
      <w:lvlText w:val="o"/>
      <w:lvlJc w:val="left"/>
      <w:pPr>
        <w:ind w:left="6429" w:hanging="360"/>
      </w:pPr>
      <w:rPr>
        <w:rFonts w:ascii="Courier New" w:hAnsi="Courier New" w:cs="Courier New" w:hint="default"/>
      </w:rPr>
    </w:lvl>
    <w:lvl w:ilvl="8" w:tplc="04190005" w:tentative="1">
      <w:start w:val="1"/>
      <w:numFmt w:val="bullet"/>
      <w:lvlText w:val=""/>
      <w:lvlJc w:val="left"/>
      <w:pPr>
        <w:ind w:left="7149" w:hanging="360"/>
      </w:pPr>
      <w:rPr>
        <w:rFonts w:ascii="Wingdings" w:hAnsi="Wingdings" w:hint="default"/>
      </w:rPr>
    </w:lvl>
  </w:abstractNum>
  <w:abstractNum w:abstractNumId="29" w15:restartNumberingAfterBreak="0">
    <w:nsid w:val="65EA14B7"/>
    <w:multiLevelType w:val="hybridMultilevel"/>
    <w:tmpl w:val="C3C03240"/>
    <w:lvl w:ilvl="0" w:tplc="EECA60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705004B"/>
    <w:multiLevelType w:val="hybridMultilevel"/>
    <w:tmpl w:val="EADED0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78532B7"/>
    <w:multiLevelType w:val="hybridMultilevel"/>
    <w:tmpl w:val="B2E4605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2" w15:restartNumberingAfterBreak="0">
    <w:nsid w:val="70C91F68"/>
    <w:multiLevelType w:val="hybridMultilevel"/>
    <w:tmpl w:val="8C681268"/>
    <w:lvl w:ilvl="0" w:tplc="94C0FFA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6DE7237"/>
    <w:multiLevelType w:val="hybridMultilevel"/>
    <w:tmpl w:val="0652F68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7BA5D47"/>
    <w:multiLevelType w:val="hybridMultilevel"/>
    <w:tmpl w:val="8F5E9A4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9DF4221"/>
    <w:multiLevelType w:val="hybridMultilevel"/>
    <w:tmpl w:val="70BC5CDA"/>
    <w:lvl w:ilvl="0" w:tplc="D0D0513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6" w15:restartNumberingAfterBreak="0">
    <w:nsid w:val="7BD02D09"/>
    <w:multiLevelType w:val="hybridMultilevel"/>
    <w:tmpl w:val="E8827876"/>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7EFC5B27"/>
    <w:multiLevelType w:val="multilevel"/>
    <w:tmpl w:val="4A980718"/>
    <w:lvl w:ilvl="0">
      <w:start w:val="3"/>
      <w:numFmt w:val="decimal"/>
      <w:lvlText w:val="%1."/>
      <w:lvlJc w:val="left"/>
      <w:pPr>
        <w:ind w:left="450" w:hanging="450"/>
      </w:pPr>
      <w:rPr>
        <w:rFonts w:cs="Times New Roman" w:hint="default"/>
        <w:b/>
      </w:rPr>
    </w:lvl>
    <w:lvl w:ilvl="1">
      <w:start w:val="3"/>
      <w:numFmt w:val="decimal"/>
      <w:lvlText w:val="%1.%2."/>
      <w:lvlJc w:val="left"/>
      <w:pPr>
        <w:ind w:left="1288" w:hanging="720"/>
      </w:pPr>
      <w:rPr>
        <w:rFonts w:cs="Times New Roman" w:hint="default"/>
        <w:b/>
      </w:rPr>
    </w:lvl>
    <w:lvl w:ilvl="2">
      <w:start w:val="1"/>
      <w:numFmt w:val="decimal"/>
      <w:lvlText w:val="%1.%2.%3."/>
      <w:lvlJc w:val="left"/>
      <w:pPr>
        <w:ind w:left="1856" w:hanging="720"/>
      </w:pPr>
      <w:rPr>
        <w:rFonts w:cs="Times New Roman" w:hint="default"/>
        <w:b/>
      </w:rPr>
    </w:lvl>
    <w:lvl w:ilvl="3">
      <w:start w:val="1"/>
      <w:numFmt w:val="decimal"/>
      <w:lvlText w:val="%1.%2.%3.%4."/>
      <w:lvlJc w:val="left"/>
      <w:pPr>
        <w:ind w:left="2784" w:hanging="1080"/>
      </w:pPr>
      <w:rPr>
        <w:rFonts w:cs="Times New Roman" w:hint="default"/>
        <w:b/>
      </w:rPr>
    </w:lvl>
    <w:lvl w:ilvl="4">
      <w:start w:val="1"/>
      <w:numFmt w:val="decimal"/>
      <w:lvlText w:val="%1.%2.%3.%4.%5."/>
      <w:lvlJc w:val="left"/>
      <w:pPr>
        <w:ind w:left="3352" w:hanging="1080"/>
      </w:pPr>
      <w:rPr>
        <w:rFonts w:cs="Times New Roman" w:hint="default"/>
        <w:b/>
      </w:rPr>
    </w:lvl>
    <w:lvl w:ilvl="5">
      <w:start w:val="1"/>
      <w:numFmt w:val="decimal"/>
      <w:lvlText w:val="%1.%2.%3.%4.%5.%6."/>
      <w:lvlJc w:val="left"/>
      <w:pPr>
        <w:ind w:left="4280" w:hanging="1440"/>
      </w:pPr>
      <w:rPr>
        <w:rFonts w:cs="Times New Roman" w:hint="default"/>
        <w:b/>
      </w:rPr>
    </w:lvl>
    <w:lvl w:ilvl="6">
      <w:start w:val="1"/>
      <w:numFmt w:val="decimal"/>
      <w:lvlText w:val="%1.%2.%3.%4.%5.%6.%7."/>
      <w:lvlJc w:val="left"/>
      <w:pPr>
        <w:ind w:left="5208" w:hanging="1800"/>
      </w:pPr>
      <w:rPr>
        <w:rFonts w:cs="Times New Roman" w:hint="default"/>
        <w:b/>
      </w:rPr>
    </w:lvl>
    <w:lvl w:ilvl="7">
      <w:start w:val="1"/>
      <w:numFmt w:val="decimal"/>
      <w:lvlText w:val="%1.%2.%3.%4.%5.%6.%7.%8."/>
      <w:lvlJc w:val="left"/>
      <w:pPr>
        <w:ind w:left="5776" w:hanging="1800"/>
      </w:pPr>
      <w:rPr>
        <w:rFonts w:cs="Times New Roman" w:hint="default"/>
        <w:b/>
      </w:rPr>
    </w:lvl>
    <w:lvl w:ilvl="8">
      <w:start w:val="1"/>
      <w:numFmt w:val="decimal"/>
      <w:lvlText w:val="%1.%2.%3.%4.%5.%6.%7.%8.%9."/>
      <w:lvlJc w:val="left"/>
      <w:pPr>
        <w:ind w:left="6704" w:hanging="2160"/>
      </w:pPr>
      <w:rPr>
        <w:rFonts w:cs="Times New Roman" w:hint="default"/>
        <w:b/>
      </w:rPr>
    </w:lvl>
  </w:abstractNum>
  <w:num w:numId="1">
    <w:abstractNumId w:val="7"/>
  </w:num>
  <w:num w:numId="2">
    <w:abstractNumId w:val="25"/>
  </w:num>
  <w:num w:numId="3">
    <w:abstractNumId w:val="12"/>
  </w:num>
  <w:num w:numId="4">
    <w:abstractNumId w:val="13"/>
  </w:num>
  <w:num w:numId="5">
    <w:abstractNumId w:val="35"/>
  </w:num>
  <w:num w:numId="6">
    <w:abstractNumId w:val="36"/>
  </w:num>
  <w:num w:numId="7">
    <w:abstractNumId w:val="22"/>
  </w:num>
  <w:num w:numId="8">
    <w:abstractNumId w:val="21"/>
  </w:num>
  <w:num w:numId="9">
    <w:abstractNumId w:val="9"/>
  </w:num>
  <w:num w:numId="10">
    <w:abstractNumId w:val="30"/>
  </w:num>
  <w:num w:numId="11">
    <w:abstractNumId w:val="2"/>
  </w:num>
  <w:num w:numId="12">
    <w:abstractNumId w:val="33"/>
  </w:num>
  <w:num w:numId="13">
    <w:abstractNumId w:val="34"/>
  </w:num>
  <w:num w:numId="14">
    <w:abstractNumId w:val="17"/>
  </w:num>
  <w:num w:numId="15">
    <w:abstractNumId w:val="6"/>
  </w:num>
  <w:num w:numId="16">
    <w:abstractNumId w:val="28"/>
  </w:num>
  <w:num w:numId="17">
    <w:abstractNumId w:val="20"/>
  </w:num>
  <w:num w:numId="18">
    <w:abstractNumId w:val="3"/>
  </w:num>
  <w:num w:numId="19">
    <w:abstractNumId w:val="14"/>
  </w:num>
  <w:num w:numId="20">
    <w:abstractNumId w:val="23"/>
  </w:num>
  <w:num w:numId="21">
    <w:abstractNumId w:val="0"/>
  </w:num>
  <w:num w:numId="22">
    <w:abstractNumId w:val="1"/>
  </w:num>
  <w:num w:numId="23">
    <w:abstractNumId w:val="18"/>
  </w:num>
  <w:num w:numId="24">
    <w:abstractNumId w:val="27"/>
  </w:num>
  <w:num w:numId="25">
    <w:abstractNumId w:val="11"/>
  </w:num>
  <w:num w:numId="26">
    <w:abstractNumId w:val="16"/>
  </w:num>
  <w:num w:numId="27">
    <w:abstractNumId w:val="32"/>
  </w:num>
  <w:num w:numId="28">
    <w:abstractNumId w:val="8"/>
  </w:num>
  <w:num w:numId="29">
    <w:abstractNumId w:val="24"/>
  </w:num>
  <w:num w:numId="30">
    <w:abstractNumId w:val="31"/>
  </w:num>
  <w:num w:numId="31">
    <w:abstractNumId w:val="15"/>
  </w:num>
  <w:num w:numId="32">
    <w:abstractNumId w:val="37"/>
  </w:num>
  <w:num w:numId="33">
    <w:abstractNumId w:val="10"/>
  </w:num>
  <w:num w:numId="34">
    <w:abstractNumId w:val="26"/>
  </w:num>
  <w:num w:numId="35">
    <w:abstractNumId w:val="5"/>
  </w:num>
  <w:num w:numId="36">
    <w:abstractNumId w:val="19"/>
  </w:num>
  <w:num w:numId="37">
    <w:abstractNumId w:val="4"/>
  </w:num>
  <w:num w:numId="38">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797"/>
    <w:rsid w:val="000007A5"/>
    <w:rsid w:val="000009BD"/>
    <w:rsid w:val="00000CC2"/>
    <w:rsid w:val="00000E53"/>
    <w:rsid w:val="000016B3"/>
    <w:rsid w:val="000029B1"/>
    <w:rsid w:val="00002CE8"/>
    <w:rsid w:val="00003EFC"/>
    <w:rsid w:val="0000472E"/>
    <w:rsid w:val="00004759"/>
    <w:rsid w:val="000047B7"/>
    <w:rsid w:val="0000519C"/>
    <w:rsid w:val="000053CD"/>
    <w:rsid w:val="000058EB"/>
    <w:rsid w:val="00005FC0"/>
    <w:rsid w:val="00005FDA"/>
    <w:rsid w:val="00006458"/>
    <w:rsid w:val="00006B24"/>
    <w:rsid w:val="000105D6"/>
    <w:rsid w:val="0001072B"/>
    <w:rsid w:val="0001078E"/>
    <w:rsid w:val="000108F2"/>
    <w:rsid w:val="00010FE6"/>
    <w:rsid w:val="00011263"/>
    <w:rsid w:val="000118F5"/>
    <w:rsid w:val="000126E8"/>
    <w:rsid w:val="00012974"/>
    <w:rsid w:val="00012C4F"/>
    <w:rsid w:val="00012C59"/>
    <w:rsid w:val="00012DF1"/>
    <w:rsid w:val="00013514"/>
    <w:rsid w:val="0001427F"/>
    <w:rsid w:val="000144C5"/>
    <w:rsid w:val="000145CA"/>
    <w:rsid w:val="000148AA"/>
    <w:rsid w:val="00015086"/>
    <w:rsid w:val="000151CA"/>
    <w:rsid w:val="0001559B"/>
    <w:rsid w:val="00015832"/>
    <w:rsid w:val="00015856"/>
    <w:rsid w:val="00016EB5"/>
    <w:rsid w:val="0001705D"/>
    <w:rsid w:val="00017B05"/>
    <w:rsid w:val="00017CE0"/>
    <w:rsid w:val="00020304"/>
    <w:rsid w:val="00020424"/>
    <w:rsid w:val="0002082C"/>
    <w:rsid w:val="000211D0"/>
    <w:rsid w:val="00021401"/>
    <w:rsid w:val="000216E3"/>
    <w:rsid w:val="00021926"/>
    <w:rsid w:val="000219FA"/>
    <w:rsid w:val="00021CB6"/>
    <w:rsid w:val="0002259B"/>
    <w:rsid w:val="000231D7"/>
    <w:rsid w:val="0002452A"/>
    <w:rsid w:val="00024DF7"/>
    <w:rsid w:val="00025237"/>
    <w:rsid w:val="0002697E"/>
    <w:rsid w:val="00026CCE"/>
    <w:rsid w:val="000273A1"/>
    <w:rsid w:val="00030C7C"/>
    <w:rsid w:val="00031A90"/>
    <w:rsid w:val="00031BE3"/>
    <w:rsid w:val="00032085"/>
    <w:rsid w:val="000337A5"/>
    <w:rsid w:val="000343A1"/>
    <w:rsid w:val="00034AC9"/>
    <w:rsid w:val="00034B74"/>
    <w:rsid w:val="00034C6B"/>
    <w:rsid w:val="0003542F"/>
    <w:rsid w:val="00036B60"/>
    <w:rsid w:val="0004083B"/>
    <w:rsid w:val="0004101C"/>
    <w:rsid w:val="0004216C"/>
    <w:rsid w:val="00042979"/>
    <w:rsid w:val="00042A8F"/>
    <w:rsid w:val="000435E5"/>
    <w:rsid w:val="00043631"/>
    <w:rsid w:val="00043EF9"/>
    <w:rsid w:val="00044062"/>
    <w:rsid w:val="00044147"/>
    <w:rsid w:val="00044336"/>
    <w:rsid w:val="00044A9C"/>
    <w:rsid w:val="00045033"/>
    <w:rsid w:val="00045692"/>
    <w:rsid w:val="00045A1C"/>
    <w:rsid w:val="00045DC4"/>
    <w:rsid w:val="000461D2"/>
    <w:rsid w:val="0004649B"/>
    <w:rsid w:val="000464AF"/>
    <w:rsid w:val="00046CB2"/>
    <w:rsid w:val="00046EF3"/>
    <w:rsid w:val="0004735B"/>
    <w:rsid w:val="00047B77"/>
    <w:rsid w:val="00047DE6"/>
    <w:rsid w:val="0005034F"/>
    <w:rsid w:val="000504AD"/>
    <w:rsid w:val="000514F4"/>
    <w:rsid w:val="00051C76"/>
    <w:rsid w:val="000527B4"/>
    <w:rsid w:val="00052E56"/>
    <w:rsid w:val="000532D1"/>
    <w:rsid w:val="000534F7"/>
    <w:rsid w:val="0005414D"/>
    <w:rsid w:val="00054361"/>
    <w:rsid w:val="00054454"/>
    <w:rsid w:val="00054B86"/>
    <w:rsid w:val="00055F6F"/>
    <w:rsid w:val="00056369"/>
    <w:rsid w:val="000569AD"/>
    <w:rsid w:val="00056E60"/>
    <w:rsid w:val="00057B72"/>
    <w:rsid w:val="00057DF3"/>
    <w:rsid w:val="00060371"/>
    <w:rsid w:val="00061654"/>
    <w:rsid w:val="00061D3C"/>
    <w:rsid w:val="00062386"/>
    <w:rsid w:val="00062B6D"/>
    <w:rsid w:val="0006301C"/>
    <w:rsid w:val="000645D2"/>
    <w:rsid w:val="000648A9"/>
    <w:rsid w:val="00064927"/>
    <w:rsid w:val="00064C7F"/>
    <w:rsid w:val="00065109"/>
    <w:rsid w:val="000662AE"/>
    <w:rsid w:val="0006656C"/>
    <w:rsid w:val="00066BB0"/>
    <w:rsid w:val="00067066"/>
    <w:rsid w:val="000672D8"/>
    <w:rsid w:val="000704B0"/>
    <w:rsid w:val="000708AB"/>
    <w:rsid w:val="00070FD0"/>
    <w:rsid w:val="00071CA4"/>
    <w:rsid w:val="00071EE3"/>
    <w:rsid w:val="000723C3"/>
    <w:rsid w:val="00072972"/>
    <w:rsid w:val="000729A0"/>
    <w:rsid w:val="00073947"/>
    <w:rsid w:val="00073BB7"/>
    <w:rsid w:val="00073FF2"/>
    <w:rsid w:val="00074F34"/>
    <w:rsid w:val="000755D7"/>
    <w:rsid w:val="00075BA9"/>
    <w:rsid w:val="00075DB7"/>
    <w:rsid w:val="000761C7"/>
    <w:rsid w:val="00076972"/>
    <w:rsid w:val="00076DFF"/>
    <w:rsid w:val="00076F24"/>
    <w:rsid w:val="00077050"/>
    <w:rsid w:val="00077929"/>
    <w:rsid w:val="00080124"/>
    <w:rsid w:val="00080C1E"/>
    <w:rsid w:val="00080CB9"/>
    <w:rsid w:val="0008120D"/>
    <w:rsid w:val="00081723"/>
    <w:rsid w:val="00081738"/>
    <w:rsid w:val="0008205B"/>
    <w:rsid w:val="000828AC"/>
    <w:rsid w:val="00082F7A"/>
    <w:rsid w:val="000832EB"/>
    <w:rsid w:val="00083F7C"/>
    <w:rsid w:val="000846ED"/>
    <w:rsid w:val="00084D32"/>
    <w:rsid w:val="000851D8"/>
    <w:rsid w:val="00085FC4"/>
    <w:rsid w:val="00086013"/>
    <w:rsid w:val="00086A8F"/>
    <w:rsid w:val="00086FC3"/>
    <w:rsid w:val="0008777A"/>
    <w:rsid w:val="00087D6F"/>
    <w:rsid w:val="0009081B"/>
    <w:rsid w:val="000909A5"/>
    <w:rsid w:val="00090B90"/>
    <w:rsid w:val="00091346"/>
    <w:rsid w:val="00092F99"/>
    <w:rsid w:val="00092FF3"/>
    <w:rsid w:val="00093364"/>
    <w:rsid w:val="00093AFF"/>
    <w:rsid w:val="00093B58"/>
    <w:rsid w:val="00093CC4"/>
    <w:rsid w:val="00094651"/>
    <w:rsid w:val="00094D91"/>
    <w:rsid w:val="00095E5D"/>
    <w:rsid w:val="00095F01"/>
    <w:rsid w:val="000961C7"/>
    <w:rsid w:val="000965CD"/>
    <w:rsid w:val="00096CDF"/>
    <w:rsid w:val="000975A2"/>
    <w:rsid w:val="00097720"/>
    <w:rsid w:val="00097AE0"/>
    <w:rsid w:val="000A0BEA"/>
    <w:rsid w:val="000A1C89"/>
    <w:rsid w:val="000A200D"/>
    <w:rsid w:val="000A239D"/>
    <w:rsid w:val="000A263E"/>
    <w:rsid w:val="000A296B"/>
    <w:rsid w:val="000A312C"/>
    <w:rsid w:val="000A3798"/>
    <w:rsid w:val="000A3A72"/>
    <w:rsid w:val="000A3D6E"/>
    <w:rsid w:val="000A4295"/>
    <w:rsid w:val="000A4885"/>
    <w:rsid w:val="000A5285"/>
    <w:rsid w:val="000A5410"/>
    <w:rsid w:val="000A5475"/>
    <w:rsid w:val="000A5733"/>
    <w:rsid w:val="000A582F"/>
    <w:rsid w:val="000A5DE8"/>
    <w:rsid w:val="000A64CC"/>
    <w:rsid w:val="000A657F"/>
    <w:rsid w:val="000A68DD"/>
    <w:rsid w:val="000A7223"/>
    <w:rsid w:val="000A784D"/>
    <w:rsid w:val="000A7BE1"/>
    <w:rsid w:val="000B11BE"/>
    <w:rsid w:val="000B1846"/>
    <w:rsid w:val="000B1C2A"/>
    <w:rsid w:val="000B1F98"/>
    <w:rsid w:val="000B20A3"/>
    <w:rsid w:val="000B2187"/>
    <w:rsid w:val="000B21E7"/>
    <w:rsid w:val="000B2496"/>
    <w:rsid w:val="000B38EC"/>
    <w:rsid w:val="000B3F99"/>
    <w:rsid w:val="000B444F"/>
    <w:rsid w:val="000B4C8B"/>
    <w:rsid w:val="000B5614"/>
    <w:rsid w:val="000B6442"/>
    <w:rsid w:val="000B6C7C"/>
    <w:rsid w:val="000B77EF"/>
    <w:rsid w:val="000B7AA9"/>
    <w:rsid w:val="000B7B23"/>
    <w:rsid w:val="000C0A2B"/>
    <w:rsid w:val="000C0F4C"/>
    <w:rsid w:val="000C1FFE"/>
    <w:rsid w:val="000C27EC"/>
    <w:rsid w:val="000C2A0A"/>
    <w:rsid w:val="000C2E97"/>
    <w:rsid w:val="000C30EC"/>
    <w:rsid w:val="000C3126"/>
    <w:rsid w:val="000C3750"/>
    <w:rsid w:val="000C41F4"/>
    <w:rsid w:val="000C445B"/>
    <w:rsid w:val="000C4E40"/>
    <w:rsid w:val="000C576D"/>
    <w:rsid w:val="000C5841"/>
    <w:rsid w:val="000C6378"/>
    <w:rsid w:val="000C662C"/>
    <w:rsid w:val="000C6706"/>
    <w:rsid w:val="000C6D88"/>
    <w:rsid w:val="000C7641"/>
    <w:rsid w:val="000C7845"/>
    <w:rsid w:val="000C7BCE"/>
    <w:rsid w:val="000D0087"/>
    <w:rsid w:val="000D01E7"/>
    <w:rsid w:val="000D0542"/>
    <w:rsid w:val="000D0CDE"/>
    <w:rsid w:val="000D155D"/>
    <w:rsid w:val="000D159D"/>
    <w:rsid w:val="000D165D"/>
    <w:rsid w:val="000D1991"/>
    <w:rsid w:val="000D210A"/>
    <w:rsid w:val="000D27C7"/>
    <w:rsid w:val="000D3441"/>
    <w:rsid w:val="000D36CE"/>
    <w:rsid w:val="000D3961"/>
    <w:rsid w:val="000D474B"/>
    <w:rsid w:val="000D480C"/>
    <w:rsid w:val="000D61CE"/>
    <w:rsid w:val="000D6598"/>
    <w:rsid w:val="000D6D45"/>
    <w:rsid w:val="000D7F55"/>
    <w:rsid w:val="000E01DA"/>
    <w:rsid w:val="000E0984"/>
    <w:rsid w:val="000E0C2E"/>
    <w:rsid w:val="000E1DED"/>
    <w:rsid w:val="000E2B86"/>
    <w:rsid w:val="000E2FB1"/>
    <w:rsid w:val="000E2FDA"/>
    <w:rsid w:val="000E3989"/>
    <w:rsid w:val="000E39EA"/>
    <w:rsid w:val="000E3B20"/>
    <w:rsid w:val="000E3D72"/>
    <w:rsid w:val="000E3EA0"/>
    <w:rsid w:val="000E4008"/>
    <w:rsid w:val="000E4188"/>
    <w:rsid w:val="000E43E8"/>
    <w:rsid w:val="000E4B03"/>
    <w:rsid w:val="000E4D41"/>
    <w:rsid w:val="000E4FA3"/>
    <w:rsid w:val="000E548D"/>
    <w:rsid w:val="000E5986"/>
    <w:rsid w:val="000E5AC2"/>
    <w:rsid w:val="000E63D4"/>
    <w:rsid w:val="000E643E"/>
    <w:rsid w:val="000E6FD3"/>
    <w:rsid w:val="000E7336"/>
    <w:rsid w:val="000E78DC"/>
    <w:rsid w:val="000E7A69"/>
    <w:rsid w:val="000E7CDD"/>
    <w:rsid w:val="000E7CFE"/>
    <w:rsid w:val="000E7EF5"/>
    <w:rsid w:val="000F0807"/>
    <w:rsid w:val="000F0B57"/>
    <w:rsid w:val="000F0F69"/>
    <w:rsid w:val="000F1997"/>
    <w:rsid w:val="000F19CB"/>
    <w:rsid w:val="000F1D85"/>
    <w:rsid w:val="000F21B2"/>
    <w:rsid w:val="000F2CE0"/>
    <w:rsid w:val="000F3018"/>
    <w:rsid w:val="000F3357"/>
    <w:rsid w:val="000F3415"/>
    <w:rsid w:val="000F4E46"/>
    <w:rsid w:val="000F53EC"/>
    <w:rsid w:val="000F5600"/>
    <w:rsid w:val="000F5D05"/>
    <w:rsid w:val="000F6BA6"/>
    <w:rsid w:val="000F6E0F"/>
    <w:rsid w:val="000F784B"/>
    <w:rsid w:val="000F7C6E"/>
    <w:rsid w:val="000F7DD9"/>
    <w:rsid w:val="00101017"/>
    <w:rsid w:val="00101088"/>
    <w:rsid w:val="00101915"/>
    <w:rsid w:val="00101B1B"/>
    <w:rsid w:val="00101BC0"/>
    <w:rsid w:val="00102206"/>
    <w:rsid w:val="0010228B"/>
    <w:rsid w:val="001024C3"/>
    <w:rsid w:val="00102576"/>
    <w:rsid w:val="00102638"/>
    <w:rsid w:val="001029C7"/>
    <w:rsid w:val="00102F54"/>
    <w:rsid w:val="00103D3A"/>
    <w:rsid w:val="00104CA4"/>
    <w:rsid w:val="001055AD"/>
    <w:rsid w:val="00105A7B"/>
    <w:rsid w:val="00105B93"/>
    <w:rsid w:val="00106508"/>
    <w:rsid w:val="00106AB2"/>
    <w:rsid w:val="00107016"/>
    <w:rsid w:val="00110363"/>
    <w:rsid w:val="0011156C"/>
    <w:rsid w:val="00112670"/>
    <w:rsid w:val="00113126"/>
    <w:rsid w:val="0011332A"/>
    <w:rsid w:val="001134B9"/>
    <w:rsid w:val="0011425A"/>
    <w:rsid w:val="001145BD"/>
    <w:rsid w:val="00114C28"/>
    <w:rsid w:val="00114E0A"/>
    <w:rsid w:val="00115313"/>
    <w:rsid w:val="00115696"/>
    <w:rsid w:val="001158A9"/>
    <w:rsid w:val="00115C59"/>
    <w:rsid w:val="00116070"/>
    <w:rsid w:val="0011607B"/>
    <w:rsid w:val="00116C25"/>
    <w:rsid w:val="00116E07"/>
    <w:rsid w:val="001170ED"/>
    <w:rsid w:val="00117FD7"/>
    <w:rsid w:val="00120112"/>
    <w:rsid w:val="0012065E"/>
    <w:rsid w:val="00120973"/>
    <w:rsid w:val="00120B5C"/>
    <w:rsid w:val="0012158F"/>
    <w:rsid w:val="0012196C"/>
    <w:rsid w:val="00121C49"/>
    <w:rsid w:val="00121F78"/>
    <w:rsid w:val="00122454"/>
    <w:rsid w:val="00122A92"/>
    <w:rsid w:val="001230EA"/>
    <w:rsid w:val="0012350D"/>
    <w:rsid w:val="001243AE"/>
    <w:rsid w:val="00124529"/>
    <w:rsid w:val="00124721"/>
    <w:rsid w:val="00125108"/>
    <w:rsid w:val="00125142"/>
    <w:rsid w:val="00125311"/>
    <w:rsid w:val="0012585E"/>
    <w:rsid w:val="001258EE"/>
    <w:rsid w:val="0012595C"/>
    <w:rsid w:val="001259D7"/>
    <w:rsid w:val="00127112"/>
    <w:rsid w:val="0012713F"/>
    <w:rsid w:val="0013028F"/>
    <w:rsid w:val="00130861"/>
    <w:rsid w:val="00130CC0"/>
    <w:rsid w:val="00131993"/>
    <w:rsid w:val="00131AC9"/>
    <w:rsid w:val="00131E48"/>
    <w:rsid w:val="001321BD"/>
    <w:rsid w:val="001327FA"/>
    <w:rsid w:val="001328D9"/>
    <w:rsid w:val="00132C1D"/>
    <w:rsid w:val="001330C5"/>
    <w:rsid w:val="00133B78"/>
    <w:rsid w:val="00133DEF"/>
    <w:rsid w:val="001343B6"/>
    <w:rsid w:val="00134CF7"/>
    <w:rsid w:val="00134D70"/>
    <w:rsid w:val="00135001"/>
    <w:rsid w:val="00137120"/>
    <w:rsid w:val="0013729A"/>
    <w:rsid w:val="00137ACB"/>
    <w:rsid w:val="00140A9D"/>
    <w:rsid w:val="00141A5D"/>
    <w:rsid w:val="00141DD4"/>
    <w:rsid w:val="00142C69"/>
    <w:rsid w:val="00142D6F"/>
    <w:rsid w:val="00143714"/>
    <w:rsid w:val="0014379C"/>
    <w:rsid w:val="0014418C"/>
    <w:rsid w:val="0014449D"/>
    <w:rsid w:val="001444B2"/>
    <w:rsid w:val="00144789"/>
    <w:rsid w:val="001447C9"/>
    <w:rsid w:val="00144D4E"/>
    <w:rsid w:val="00144DCC"/>
    <w:rsid w:val="00145A0D"/>
    <w:rsid w:val="00145D71"/>
    <w:rsid w:val="00147036"/>
    <w:rsid w:val="00147804"/>
    <w:rsid w:val="00147F47"/>
    <w:rsid w:val="00151D79"/>
    <w:rsid w:val="00151E9C"/>
    <w:rsid w:val="00151ED0"/>
    <w:rsid w:val="0015258D"/>
    <w:rsid w:val="00152740"/>
    <w:rsid w:val="001527FC"/>
    <w:rsid w:val="00152843"/>
    <w:rsid w:val="00152B4C"/>
    <w:rsid w:val="00152F09"/>
    <w:rsid w:val="00153896"/>
    <w:rsid w:val="001538EC"/>
    <w:rsid w:val="00153F3D"/>
    <w:rsid w:val="001543AA"/>
    <w:rsid w:val="001548D4"/>
    <w:rsid w:val="0015675A"/>
    <w:rsid w:val="00156818"/>
    <w:rsid w:val="0015709E"/>
    <w:rsid w:val="001576E6"/>
    <w:rsid w:val="00157A71"/>
    <w:rsid w:val="001603B6"/>
    <w:rsid w:val="00160917"/>
    <w:rsid w:val="00160953"/>
    <w:rsid w:val="0016099C"/>
    <w:rsid w:val="00160BBE"/>
    <w:rsid w:val="00161534"/>
    <w:rsid w:val="001615B6"/>
    <w:rsid w:val="001618BA"/>
    <w:rsid w:val="00161A70"/>
    <w:rsid w:val="00162523"/>
    <w:rsid w:val="00162C3A"/>
    <w:rsid w:val="00163024"/>
    <w:rsid w:val="001630C8"/>
    <w:rsid w:val="00163449"/>
    <w:rsid w:val="00163531"/>
    <w:rsid w:val="00163FE7"/>
    <w:rsid w:val="00164715"/>
    <w:rsid w:val="001649D8"/>
    <w:rsid w:val="00164D89"/>
    <w:rsid w:val="00165E71"/>
    <w:rsid w:val="00166067"/>
    <w:rsid w:val="001662CB"/>
    <w:rsid w:val="00166455"/>
    <w:rsid w:val="00166C8F"/>
    <w:rsid w:val="00167893"/>
    <w:rsid w:val="00167B16"/>
    <w:rsid w:val="00167E37"/>
    <w:rsid w:val="00170555"/>
    <w:rsid w:val="0017074B"/>
    <w:rsid w:val="00171968"/>
    <w:rsid w:val="001719F5"/>
    <w:rsid w:val="00172D0A"/>
    <w:rsid w:val="00172E9E"/>
    <w:rsid w:val="00173122"/>
    <w:rsid w:val="00173C8E"/>
    <w:rsid w:val="00173F22"/>
    <w:rsid w:val="00174042"/>
    <w:rsid w:val="00174298"/>
    <w:rsid w:val="001747EF"/>
    <w:rsid w:val="00174C2C"/>
    <w:rsid w:val="00175D3A"/>
    <w:rsid w:val="00175ED8"/>
    <w:rsid w:val="00176144"/>
    <w:rsid w:val="00176FD4"/>
    <w:rsid w:val="001773C5"/>
    <w:rsid w:val="001801EA"/>
    <w:rsid w:val="0018047E"/>
    <w:rsid w:val="00180952"/>
    <w:rsid w:val="00180D93"/>
    <w:rsid w:val="0018134A"/>
    <w:rsid w:val="00183171"/>
    <w:rsid w:val="001834C4"/>
    <w:rsid w:val="00183774"/>
    <w:rsid w:val="00183D6B"/>
    <w:rsid w:val="00184477"/>
    <w:rsid w:val="001857BC"/>
    <w:rsid w:val="00185965"/>
    <w:rsid w:val="00186252"/>
    <w:rsid w:val="00187D7A"/>
    <w:rsid w:val="001909DD"/>
    <w:rsid w:val="00190BE6"/>
    <w:rsid w:val="00190E37"/>
    <w:rsid w:val="001912C2"/>
    <w:rsid w:val="001914FE"/>
    <w:rsid w:val="00191631"/>
    <w:rsid w:val="00191861"/>
    <w:rsid w:val="00191A68"/>
    <w:rsid w:val="00192077"/>
    <w:rsid w:val="00192B43"/>
    <w:rsid w:val="00192C29"/>
    <w:rsid w:val="00192C6D"/>
    <w:rsid w:val="00192D0D"/>
    <w:rsid w:val="001936E1"/>
    <w:rsid w:val="00193929"/>
    <w:rsid w:val="00193E01"/>
    <w:rsid w:val="001941B8"/>
    <w:rsid w:val="001945A5"/>
    <w:rsid w:val="00194D74"/>
    <w:rsid w:val="00195209"/>
    <w:rsid w:val="0019543A"/>
    <w:rsid w:val="00195ADC"/>
    <w:rsid w:val="00195D23"/>
    <w:rsid w:val="001969AE"/>
    <w:rsid w:val="00196B49"/>
    <w:rsid w:val="00196D55"/>
    <w:rsid w:val="00197405"/>
    <w:rsid w:val="001A10FB"/>
    <w:rsid w:val="001A159A"/>
    <w:rsid w:val="001A419F"/>
    <w:rsid w:val="001A47CC"/>
    <w:rsid w:val="001A48B8"/>
    <w:rsid w:val="001A4C03"/>
    <w:rsid w:val="001A5BD3"/>
    <w:rsid w:val="001A5F09"/>
    <w:rsid w:val="001A670E"/>
    <w:rsid w:val="001A6B69"/>
    <w:rsid w:val="001A6EB1"/>
    <w:rsid w:val="001A6FE3"/>
    <w:rsid w:val="001A73D8"/>
    <w:rsid w:val="001B05C6"/>
    <w:rsid w:val="001B0607"/>
    <w:rsid w:val="001B0A74"/>
    <w:rsid w:val="001B105A"/>
    <w:rsid w:val="001B10FB"/>
    <w:rsid w:val="001B15CB"/>
    <w:rsid w:val="001B2868"/>
    <w:rsid w:val="001B2A60"/>
    <w:rsid w:val="001B3825"/>
    <w:rsid w:val="001B4208"/>
    <w:rsid w:val="001B43D8"/>
    <w:rsid w:val="001B43E2"/>
    <w:rsid w:val="001B55AA"/>
    <w:rsid w:val="001B587E"/>
    <w:rsid w:val="001B5C5D"/>
    <w:rsid w:val="001B6098"/>
    <w:rsid w:val="001B6824"/>
    <w:rsid w:val="001C02E9"/>
    <w:rsid w:val="001C0677"/>
    <w:rsid w:val="001C1590"/>
    <w:rsid w:val="001C1669"/>
    <w:rsid w:val="001C1ADC"/>
    <w:rsid w:val="001C2F95"/>
    <w:rsid w:val="001C3119"/>
    <w:rsid w:val="001C3FFD"/>
    <w:rsid w:val="001C4304"/>
    <w:rsid w:val="001C430C"/>
    <w:rsid w:val="001C4513"/>
    <w:rsid w:val="001C47A0"/>
    <w:rsid w:val="001C547F"/>
    <w:rsid w:val="001C54A8"/>
    <w:rsid w:val="001C5766"/>
    <w:rsid w:val="001C5BF1"/>
    <w:rsid w:val="001C5D73"/>
    <w:rsid w:val="001C6577"/>
    <w:rsid w:val="001C705B"/>
    <w:rsid w:val="001C7753"/>
    <w:rsid w:val="001C7976"/>
    <w:rsid w:val="001D0307"/>
    <w:rsid w:val="001D0670"/>
    <w:rsid w:val="001D079B"/>
    <w:rsid w:val="001D18AE"/>
    <w:rsid w:val="001D222E"/>
    <w:rsid w:val="001D2511"/>
    <w:rsid w:val="001D3F17"/>
    <w:rsid w:val="001D416C"/>
    <w:rsid w:val="001D46DE"/>
    <w:rsid w:val="001D4C18"/>
    <w:rsid w:val="001D6CB5"/>
    <w:rsid w:val="001D6D6F"/>
    <w:rsid w:val="001D7420"/>
    <w:rsid w:val="001D7668"/>
    <w:rsid w:val="001E22A7"/>
    <w:rsid w:val="001E26A3"/>
    <w:rsid w:val="001E2EAF"/>
    <w:rsid w:val="001E3355"/>
    <w:rsid w:val="001E33CB"/>
    <w:rsid w:val="001E370B"/>
    <w:rsid w:val="001E3E34"/>
    <w:rsid w:val="001E3FD5"/>
    <w:rsid w:val="001E4B19"/>
    <w:rsid w:val="001E4BEB"/>
    <w:rsid w:val="001E4C50"/>
    <w:rsid w:val="001E636A"/>
    <w:rsid w:val="001E63B7"/>
    <w:rsid w:val="001E696F"/>
    <w:rsid w:val="001E78BA"/>
    <w:rsid w:val="001E79A1"/>
    <w:rsid w:val="001E7D93"/>
    <w:rsid w:val="001E7F39"/>
    <w:rsid w:val="001F222F"/>
    <w:rsid w:val="001F265A"/>
    <w:rsid w:val="001F27FC"/>
    <w:rsid w:val="001F27FD"/>
    <w:rsid w:val="001F2A80"/>
    <w:rsid w:val="001F3B07"/>
    <w:rsid w:val="001F4280"/>
    <w:rsid w:val="001F45C1"/>
    <w:rsid w:val="001F4BB4"/>
    <w:rsid w:val="001F5985"/>
    <w:rsid w:val="001F6721"/>
    <w:rsid w:val="001F69F8"/>
    <w:rsid w:val="001F6FD4"/>
    <w:rsid w:val="001F7EF0"/>
    <w:rsid w:val="0020016A"/>
    <w:rsid w:val="002002A1"/>
    <w:rsid w:val="002011A5"/>
    <w:rsid w:val="002033EC"/>
    <w:rsid w:val="002038E1"/>
    <w:rsid w:val="0020466F"/>
    <w:rsid w:val="0020468C"/>
    <w:rsid w:val="00205A39"/>
    <w:rsid w:val="0020600A"/>
    <w:rsid w:val="00206105"/>
    <w:rsid w:val="0020641E"/>
    <w:rsid w:val="00206E11"/>
    <w:rsid w:val="00206EA6"/>
    <w:rsid w:val="00207562"/>
    <w:rsid w:val="0020756C"/>
    <w:rsid w:val="002102BD"/>
    <w:rsid w:val="0021038D"/>
    <w:rsid w:val="002112E5"/>
    <w:rsid w:val="0021150F"/>
    <w:rsid w:val="00211DE1"/>
    <w:rsid w:val="00212199"/>
    <w:rsid w:val="00212729"/>
    <w:rsid w:val="00212B4D"/>
    <w:rsid w:val="002132C4"/>
    <w:rsid w:val="0021347B"/>
    <w:rsid w:val="00213D42"/>
    <w:rsid w:val="00213F42"/>
    <w:rsid w:val="002155F6"/>
    <w:rsid w:val="002158D5"/>
    <w:rsid w:val="00215AA5"/>
    <w:rsid w:val="00215C43"/>
    <w:rsid w:val="0021797D"/>
    <w:rsid w:val="00217AC7"/>
    <w:rsid w:val="002206FC"/>
    <w:rsid w:val="00220B9E"/>
    <w:rsid w:val="00222CA0"/>
    <w:rsid w:val="002240F8"/>
    <w:rsid w:val="00224EF6"/>
    <w:rsid w:val="0022520E"/>
    <w:rsid w:val="0022541D"/>
    <w:rsid w:val="00225961"/>
    <w:rsid w:val="00225BE7"/>
    <w:rsid w:val="002264E4"/>
    <w:rsid w:val="002267A3"/>
    <w:rsid w:val="00227023"/>
    <w:rsid w:val="0022746E"/>
    <w:rsid w:val="002274C4"/>
    <w:rsid w:val="002275DC"/>
    <w:rsid w:val="00230020"/>
    <w:rsid w:val="00230105"/>
    <w:rsid w:val="0023054B"/>
    <w:rsid w:val="002307E0"/>
    <w:rsid w:val="00230D2E"/>
    <w:rsid w:val="00231481"/>
    <w:rsid w:val="00231734"/>
    <w:rsid w:val="00231761"/>
    <w:rsid w:val="0023230C"/>
    <w:rsid w:val="002324DA"/>
    <w:rsid w:val="002326DA"/>
    <w:rsid w:val="0023288C"/>
    <w:rsid w:val="00232ABC"/>
    <w:rsid w:val="00233774"/>
    <w:rsid w:val="00234430"/>
    <w:rsid w:val="00234562"/>
    <w:rsid w:val="00234753"/>
    <w:rsid w:val="00234FAA"/>
    <w:rsid w:val="00235065"/>
    <w:rsid w:val="00235304"/>
    <w:rsid w:val="00235685"/>
    <w:rsid w:val="00236799"/>
    <w:rsid w:val="002368BC"/>
    <w:rsid w:val="00237109"/>
    <w:rsid w:val="00240058"/>
    <w:rsid w:val="00240C97"/>
    <w:rsid w:val="0024100C"/>
    <w:rsid w:val="00241187"/>
    <w:rsid w:val="002413C4"/>
    <w:rsid w:val="00241939"/>
    <w:rsid w:val="00241B47"/>
    <w:rsid w:val="00242013"/>
    <w:rsid w:val="00242582"/>
    <w:rsid w:val="002439C1"/>
    <w:rsid w:val="00243D4A"/>
    <w:rsid w:val="00244845"/>
    <w:rsid w:val="002454E2"/>
    <w:rsid w:val="002469E5"/>
    <w:rsid w:val="0024719D"/>
    <w:rsid w:val="0024753F"/>
    <w:rsid w:val="002501AC"/>
    <w:rsid w:val="00250FF2"/>
    <w:rsid w:val="002516A8"/>
    <w:rsid w:val="00251751"/>
    <w:rsid w:val="00252700"/>
    <w:rsid w:val="00252A6B"/>
    <w:rsid w:val="002531AD"/>
    <w:rsid w:val="00253352"/>
    <w:rsid w:val="002534A9"/>
    <w:rsid w:val="00253CE1"/>
    <w:rsid w:val="00253EBA"/>
    <w:rsid w:val="00253F04"/>
    <w:rsid w:val="002540DD"/>
    <w:rsid w:val="00254EE1"/>
    <w:rsid w:val="002551A6"/>
    <w:rsid w:val="002558BD"/>
    <w:rsid w:val="002558FE"/>
    <w:rsid w:val="00255B93"/>
    <w:rsid w:val="002568BB"/>
    <w:rsid w:val="00256D63"/>
    <w:rsid w:val="00256EB2"/>
    <w:rsid w:val="00260247"/>
    <w:rsid w:val="00260324"/>
    <w:rsid w:val="00260362"/>
    <w:rsid w:val="0026094D"/>
    <w:rsid w:val="00260A1C"/>
    <w:rsid w:val="00260DF3"/>
    <w:rsid w:val="0026129C"/>
    <w:rsid w:val="00261DBC"/>
    <w:rsid w:val="002623D9"/>
    <w:rsid w:val="00262BF1"/>
    <w:rsid w:val="00262C4D"/>
    <w:rsid w:val="00262CEB"/>
    <w:rsid w:val="00263314"/>
    <w:rsid w:val="00263C4C"/>
    <w:rsid w:val="00263DC0"/>
    <w:rsid w:val="0026412F"/>
    <w:rsid w:val="002659BA"/>
    <w:rsid w:val="00266660"/>
    <w:rsid w:val="002672F7"/>
    <w:rsid w:val="002678E5"/>
    <w:rsid w:val="00267967"/>
    <w:rsid w:val="002706FB"/>
    <w:rsid w:val="002709B0"/>
    <w:rsid w:val="00270FD7"/>
    <w:rsid w:val="0027109C"/>
    <w:rsid w:val="00271275"/>
    <w:rsid w:val="002715D9"/>
    <w:rsid w:val="002717FD"/>
    <w:rsid w:val="00271D8C"/>
    <w:rsid w:val="002723E5"/>
    <w:rsid w:val="0027261A"/>
    <w:rsid w:val="002726D8"/>
    <w:rsid w:val="0027353A"/>
    <w:rsid w:val="002739C7"/>
    <w:rsid w:val="0027491C"/>
    <w:rsid w:val="0027494D"/>
    <w:rsid w:val="00274BA4"/>
    <w:rsid w:val="0027676D"/>
    <w:rsid w:val="00276A88"/>
    <w:rsid w:val="002770E0"/>
    <w:rsid w:val="00277874"/>
    <w:rsid w:val="00277911"/>
    <w:rsid w:val="00277A8D"/>
    <w:rsid w:val="00280011"/>
    <w:rsid w:val="0028056C"/>
    <w:rsid w:val="002806E5"/>
    <w:rsid w:val="00280D07"/>
    <w:rsid w:val="002817C8"/>
    <w:rsid w:val="00282298"/>
    <w:rsid w:val="00283056"/>
    <w:rsid w:val="002832EB"/>
    <w:rsid w:val="002833B0"/>
    <w:rsid w:val="00283422"/>
    <w:rsid w:val="0028349A"/>
    <w:rsid w:val="00283743"/>
    <w:rsid w:val="002837FB"/>
    <w:rsid w:val="00283FFA"/>
    <w:rsid w:val="00284170"/>
    <w:rsid w:val="00284922"/>
    <w:rsid w:val="00285110"/>
    <w:rsid w:val="00285449"/>
    <w:rsid w:val="0028557A"/>
    <w:rsid w:val="002869F2"/>
    <w:rsid w:val="00286A09"/>
    <w:rsid w:val="00287324"/>
    <w:rsid w:val="00287523"/>
    <w:rsid w:val="00287547"/>
    <w:rsid w:val="00287BFE"/>
    <w:rsid w:val="0029177B"/>
    <w:rsid w:val="002918AF"/>
    <w:rsid w:val="002919EE"/>
    <w:rsid w:val="00291A07"/>
    <w:rsid w:val="002920F7"/>
    <w:rsid w:val="0029235D"/>
    <w:rsid w:val="002924C4"/>
    <w:rsid w:val="00292539"/>
    <w:rsid w:val="0029269A"/>
    <w:rsid w:val="00292C63"/>
    <w:rsid w:val="002931A0"/>
    <w:rsid w:val="00293F31"/>
    <w:rsid w:val="00294047"/>
    <w:rsid w:val="002945F3"/>
    <w:rsid w:val="00294612"/>
    <w:rsid w:val="00294897"/>
    <w:rsid w:val="00295162"/>
    <w:rsid w:val="002960CE"/>
    <w:rsid w:val="00296159"/>
    <w:rsid w:val="002967B8"/>
    <w:rsid w:val="002967F1"/>
    <w:rsid w:val="00297CCB"/>
    <w:rsid w:val="00297F16"/>
    <w:rsid w:val="002A0019"/>
    <w:rsid w:val="002A01AB"/>
    <w:rsid w:val="002A0231"/>
    <w:rsid w:val="002A07F6"/>
    <w:rsid w:val="002A07FB"/>
    <w:rsid w:val="002A1216"/>
    <w:rsid w:val="002A1B53"/>
    <w:rsid w:val="002A2406"/>
    <w:rsid w:val="002A2506"/>
    <w:rsid w:val="002A2AB1"/>
    <w:rsid w:val="002A2B34"/>
    <w:rsid w:val="002A2E6E"/>
    <w:rsid w:val="002A2E9B"/>
    <w:rsid w:val="002A33C3"/>
    <w:rsid w:val="002A391C"/>
    <w:rsid w:val="002A3C7B"/>
    <w:rsid w:val="002A3EA2"/>
    <w:rsid w:val="002A4DA8"/>
    <w:rsid w:val="002A4FB7"/>
    <w:rsid w:val="002A657F"/>
    <w:rsid w:val="002A6A51"/>
    <w:rsid w:val="002A6D59"/>
    <w:rsid w:val="002A6F6F"/>
    <w:rsid w:val="002A755F"/>
    <w:rsid w:val="002B0DA8"/>
    <w:rsid w:val="002B22A5"/>
    <w:rsid w:val="002B2637"/>
    <w:rsid w:val="002B26F1"/>
    <w:rsid w:val="002B33DB"/>
    <w:rsid w:val="002B3C4E"/>
    <w:rsid w:val="002B5346"/>
    <w:rsid w:val="002B621A"/>
    <w:rsid w:val="002B622B"/>
    <w:rsid w:val="002B6271"/>
    <w:rsid w:val="002B6324"/>
    <w:rsid w:val="002B632F"/>
    <w:rsid w:val="002B67FC"/>
    <w:rsid w:val="002B6962"/>
    <w:rsid w:val="002B755C"/>
    <w:rsid w:val="002B77DF"/>
    <w:rsid w:val="002B7AD4"/>
    <w:rsid w:val="002B7E49"/>
    <w:rsid w:val="002C0B68"/>
    <w:rsid w:val="002C0C43"/>
    <w:rsid w:val="002C0D7F"/>
    <w:rsid w:val="002C0E56"/>
    <w:rsid w:val="002C1384"/>
    <w:rsid w:val="002C1735"/>
    <w:rsid w:val="002C346C"/>
    <w:rsid w:val="002C3534"/>
    <w:rsid w:val="002C3FC1"/>
    <w:rsid w:val="002C4583"/>
    <w:rsid w:val="002C4D95"/>
    <w:rsid w:val="002C566A"/>
    <w:rsid w:val="002C5CF7"/>
    <w:rsid w:val="002C685C"/>
    <w:rsid w:val="002C6CD9"/>
    <w:rsid w:val="002C6E80"/>
    <w:rsid w:val="002C742F"/>
    <w:rsid w:val="002C76FD"/>
    <w:rsid w:val="002C77E4"/>
    <w:rsid w:val="002D120D"/>
    <w:rsid w:val="002D171F"/>
    <w:rsid w:val="002D177D"/>
    <w:rsid w:val="002D1CFB"/>
    <w:rsid w:val="002D2013"/>
    <w:rsid w:val="002D2C84"/>
    <w:rsid w:val="002D3227"/>
    <w:rsid w:val="002D3620"/>
    <w:rsid w:val="002D43C2"/>
    <w:rsid w:val="002D5227"/>
    <w:rsid w:val="002D6616"/>
    <w:rsid w:val="002D6954"/>
    <w:rsid w:val="002D7AF1"/>
    <w:rsid w:val="002D7CF7"/>
    <w:rsid w:val="002E09B0"/>
    <w:rsid w:val="002E207F"/>
    <w:rsid w:val="002E24D8"/>
    <w:rsid w:val="002E298D"/>
    <w:rsid w:val="002E2AE2"/>
    <w:rsid w:val="002E35D3"/>
    <w:rsid w:val="002E3619"/>
    <w:rsid w:val="002E363F"/>
    <w:rsid w:val="002E36BE"/>
    <w:rsid w:val="002E3739"/>
    <w:rsid w:val="002E4500"/>
    <w:rsid w:val="002E4656"/>
    <w:rsid w:val="002E4D78"/>
    <w:rsid w:val="002E5A36"/>
    <w:rsid w:val="002E645D"/>
    <w:rsid w:val="002E64F0"/>
    <w:rsid w:val="002E6B29"/>
    <w:rsid w:val="002E7428"/>
    <w:rsid w:val="002F1336"/>
    <w:rsid w:val="002F20FE"/>
    <w:rsid w:val="002F249D"/>
    <w:rsid w:val="002F2B4D"/>
    <w:rsid w:val="002F309F"/>
    <w:rsid w:val="002F3D76"/>
    <w:rsid w:val="002F45E0"/>
    <w:rsid w:val="002F4A99"/>
    <w:rsid w:val="002F4D82"/>
    <w:rsid w:val="002F6122"/>
    <w:rsid w:val="002F6303"/>
    <w:rsid w:val="002F7076"/>
    <w:rsid w:val="002F73CA"/>
    <w:rsid w:val="002F75A7"/>
    <w:rsid w:val="002F7BBA"/>
    <w:rsid w:val="00300742"/>
    <w:rsid w:val="00300941"/>
    <w:rsid w:val="003013E6"/>
    <w:rsid w:val="003015A4"/>
    <w:rsid w:val="00303240"/>
    <w:rsid w:val="00303254"/>
    <w:rsid w:val="003039D5"/>
    <w:rsid w:val="00303C4F"/>
    <w:rsid w:val="00303EDD"/>
    <w:rsid w:val="0030417C"/>
    <w:rsid w:val="00304833"/>
    <w:rsid w:val="00304EA6"/>
    <w:rsid w:val="0030513D"/>
    <w:rsid w:val="0030527A"/>
    <w:rsid w:val="00305490"/>
    <w:rsid w:val="00305D51"/>
    <w:rsid w:val="003060CE"/>
    <w:rsid w:val="0030662F"/>
    <w:rsid w:val="003070FF"/>
    <w:rsid w:val="00307777"/>
    <w:rsid w:val="003078B7"/>
    <w:rsid w:val="00310507"/>
    <w:rsid w:val="0031069E"/>
    <w:rsid w:val="00311286"/>
    <w:rsid w:val="003119CB"/>
    <w:rsid w:val="00312C29"/>
    <w:rsid w:val="00312FD7"/>
    <w:rsid w:val="00312FE1"/>
    <w:rsid w:val="00313250"/>
    <w:rsid w:val="00313C83"/>
    <w:rsid w:val="0031400A"/>
    <w:rsid w:val="0031404C"/>
    <w:rsid w:val="00315599"/>
    <w:rsid w:val="00316129"/>
    <w:rsid w:val="0031635C"/>
    <w:rsid w:val="003165FF"/>
    <w:rsid w:val="003173AD"/>
    <w:rsid w:val="00317F7E"/>
    <w:rsid w:val="003202E1"/>
    <w:rsid w:val="003203CA"/>
    <w:rsid w:val="00320654"/>
    <w:rsid w:val="0032077F"/>
    <w:rsid w:val="00321033"/>
    <w:rsid w:val="00321791"/>
    <w:rsid w:val="00321C0E"/>
    <w:rsid w:val="0032236E"/>
    <w:rsid w:val="003223C7"/>
    <w:rsid w:val="003227F1"/>
    <w:rsid w:val="00322B5A"/>
    <w:rsid w:val="00322B98"/>
    <w:rsid w:val="003230C3"/>
    <w:rsid w:val="003236AC"/>
    <w:rsid w:val="00323B85"/>
    <w:rsid w:val="0032414C"/>
    <w:rsid w:val="00324A6A"/>
    <w:rsid w:val="00324D6B"/>
    <w:rsid w:val="0032503E"/>
    <w:rsid w:val="0032586B"/>
    <w:rsid w:val="00325C0B"/>
    <w:rsid w:val="00325E3C"/>
    <w:rsid w:val="00325FEA"/>
    <w:rsid w:val="00326207"/>
    <w:rsid w:val="00326308"/>
    <w:rsid w:val="00326EE9"/>
    <w:rsid w:val="00327285"/>
    <w:rsid w:val="00327370"/>
    <w:rsid w:val="0032759F"/>
    <w:rsid w:val="0032794D"/>
    <w:rsid w:val="003301AE"/>
    <w:rsid w:val="0033057C"/>
    <w:rsid w:val="00330789"/>
    <w:rsid w:val="00331190"/>
    <w:rsid w:val="0033191C"/>
    <w:rsid w:val="00331AC3"/>
    <w:rsid w:val="00332293"/>
    <w:rsid w:val="00333487"/>
    <w:rsid w:val="0033397E"/>
    <w:rsid w:val="00334798"/>
    <w:rsid w:val="00334DBA"/>
    <w:rsid w:val="00335772"/>
    <w:rsid w:val="00335C0F"/>
    <w:rsid w:val="00337136"/>
    <w:rsid w:val="00337800"/>
    <w:rsid w:val="00337D7E"/>
    <w:rsid w:val="00340697"/>
    <w:rsid w:val="00340F7D"/>
    <w:rsid w:val="00341913"/>
    <w:rsid w:val="00341DF1"/>
    <w:rsid w:val="0034252A"/>
    <w:rsid w:val="0034366D"/>
    <w:rsid w:val="00343CE6"/>
    <w:rsid w:val="00343E1A"/>
    <w:rsid w:val="00344C73"/>
    <w:rsid w:val="003454E6"/>
    <w:rsid w:val="003459BA"/>
    <w:rsid w:val="00347219"/>
    <w:rsid w:val="00347476"/>
    <w:rsid w:val="00347B69"/>
    <w:rsid w:val="00350E60"/>
    <w:rsid w:val="00351BE9"/>
    <w:rsid w:val="00352CF5"/>
    <w:rsid w:val="00353200"/>
    <w:rsid w:val="00353426"/>
    <w:rsid w:val="0035397C"/>
    <w:rsid w:val="00353B25"/>
    <w:rsid w:val="00353C34"/>
    <w:rsid w:val="00353FDA"/>
    <w:rsid w:val="00353FF6"/>
    <w:rsid w:val="00354DB9"/>
    <w:rsid w:val="003556D3"/>
    <w:rsid w:val="00355D1D"/>
    <w:rsid w:val="00355EE7"/>
    <w:rsid w:val="00356346"/>
    <w:rsid w:val="00356A31"/>
    <w:rsid w:val="00357096"/>
    <w:rsid w:val="00357225"/>
    <w:rsid w:val="00357D55"/>
    <w:rsid w:val="003601C9"/>
    <w:rsid w:val="0036065C"/>
    <w:rsid w:val="00360667"/>
    <w:rsid w:val="0036113D"/>
    <w:rsid w:val="003616ED"/>
    <w:rsid w:val="003628B9"/>
    <w:rsid w:val="003631FF"/>
    <w:rsid w:val="00363861"/>
    <w:rsid w:val="00363D7C"/>
    <w:rsid w:val="00363DF1"/>
    <w:rsid w:val="00364615"/>
    <w:rsid w:val="0036481F"/>
    <w:rsid w:val="0036485E"/>
    <w:rsid w:val="003649C0"/>
    <w:rsid w:val="00365535"/>
    <w:rsid w:val="003657E7"/>
    <w:rsid w:val="00365ACD"/>
    <w:rsid w:val="003662E9"/>
    <w:rsid w:val="003663BC"/>
    <w:rsid w:val="00366582"/>
    <w:rsid w:val="00366B8C"/>
    <w:rsid w:val="003678AF"/>
    <w:rsid w:val="00370077"/>
    <w:rsid w:val="00370260"/>
    <w:rsid w:val="0037236A"/>
    <w:rsid w:val="003724B3"/>
    <w:rsid w:val="00372B54"/>
    <w:rsid w:val="00372F7E"/>
    <w:rsid w:val="0037329A"/>
    <w:rsid w:val="00374602"/>
    <w:rsid w:val="003759E0"/>
    <w:rsid w:val="00375F04"/>
    <w:rsid w:val="0037629D"/>
    <w:rsid w:val="003772A9"/>
    <w:rsid w:val="00377EF8"/>
    <w:rsid w:val="0038062F"/>
    <w:rsid w:val="00381036"/>
    <w:rsid w:val="00381398"/>
    <w:rsid w:val="00382317"/>
    <w:rsid w:val="00382399"/>
    <w:rsid w:val="00382C21"/>
    <w:rsid w:val="003836B0"/>
    <w:rsid w:val="0038387A"/>
    <w:rsid w:val="003849DC"/>
    <w:rsid w:val="00384EE2"/>
    <w:rsid w:val="00386289"/>
    <w:rsid w:val="00386447"/>
    <w:rsid w:val="00386873"/>
    <w:rsid w:val="00386F2A"/>
    <w:rsid w:val="003870FC"/>
    <w:rsid w:val="0038774A"/>
    <w:rsid w:val="00387ABD"/>
    <w:rsid w:val="0039001B"/>
    <w:rsid w:val="00390805"/>
    <w:rsid w:val="00390AA9"/>
    <w:rsid w:val="00390D22"/>
    <w:rsid w:val="00391EEB"/>
    <w:rsid w:val="0039259F"/>
    <w:rsid w:val="00392A82"/>
    <w:rsid w:val="0039322D"/>
    <w:rsid w:val="003932E4"/>
    <w:rsid w:val="003935BC"/>
    <w:rsid w:val="003935DE"/>
    <w:rsid w:val="0039378A"/>
    <w:rsid w:val="00393973"/>
    <w:rsid w:val="00394989"/>
    <w:rsid w:val="00394B3C"/>
    <w:rsid w:val="00394FEC"/>
    <w:rsid w:val="0039625C"/>
    <w:rsid w:val="003964A5"/>
    <w:rsid w:val="003967CC"/>
    <w:rsid w:val="00396B64"/>
    <w:rsid w:val="003977E6"/>
    <w:rsid w:val="003A109C"/>
    <w:rsid w:val="003A12F8"/>
    <w:rsid w:val="003A131B"/>
    <w:rsid w:val="003A1AF6"/>
    <w:rsid w:val="003A262C"/>
    <w:rsid w:val="003A2704"/>
    <w:rsid w:val="003A3004"/>
    <w:rsid w:val="003A3189"/>
    <w:rsid w:val="003A34B5"/>
    <w:rsid w:val="003A360C"/>
    <w:rsid w:val="003A3974"/>
    <w:rsid w:val="003A39BD"/>
    <w:rsid w:val="003A3AAC"/>
    <w:rsid w:val="003A3DDA"/>
    <w:rsid w:val="003A46BB"/>
    <w:rsid w:val="003A478B"/>
    <w:rsid w:val="003A5B9E"/>
    <w:rsid w:val="003A6E68"/>
    <w:rsid w:val="003A7136"/>
    <w:rsid w:val="003A7679"/>
    <w:rsid w:val="003A7DCE"/>
    <w:rsid w:val="003A7DE2"/>
    <w:rsid w:val="003B0CCF"/>
    <w:rsid w:val="003B1CDD"/>
    <w:rsid w:val="003B1FF8"/>
    <w:rsid w:val="003B2272"/>
    <w:rsid w:val="003B25CF"/>
    <w:rsid w:val="003B2C04"/>
    <w:rsid w:val="003B4C08"/>
    <w:rsid w:val="003B4C99"/>
    <w:rsid w:val="003B58B8"/>
    <w:rsid w:val="003B6103"/>
    <w:rsid w:val="003B67E9"/>
    <w:rsid w:val="003B687F"/>
    <w:rsid w:val="003B6B34"/>
    <w:rsid w:val="003B6F04"/>
    <w:rsid w:val="003B7EBC"/>
    <w:rsid w:val="003B7F7E"/>
    <w:rsid w:val="003C05E5"/>
    <w:rsid w:val="003C22D1"/>
    <w:rsid w:val="003C338B"/>
    <w:rsid w:val="003C3555"/>
    <w:rsid w:val="003C3C11"/>
    <w:rsid w:val="003C44AC"/>
    <w:rsid w:val="003C51A5"/>
    <w:rsid w:val="003C5D52"/>
    <w:rsid w:val="003C5DC7"/>
    <w:rsid w:val="003C7203"/>
    <w:rsid w:val="003C73D2"/>
    <w:rsid w:val="003C745E"/>
    <w:rsid w:val="003C7DF2"/>
    <w:rsid w:val="003D0262"/>
    <w:rsid w:val="003D077A"/>
    <w:rsid w:val="003D082B"/>
    <w:rsid w:val="003D0980"/>
    <w:rsid w:val="003D0D56"/>
    <w:rsid w:val="003D108F"/>
    <w:rsid w:val="003D2444"/>
    <w:rsid w:val="003D2733"/>
    <w:rsid w:val="003D2CAE"/>
    <w:rsid w:val="003D2EEA"/>
    <w:rsid w:val="003D2FD3"/>
    <w:rsid w:val="003D4298"/>
    <w:rsid w:val="003D4B5F"/>
    <w:rsid w:val="003D527E"/>
    <w:rsid w:val="003D551C"/>
    <w:rsid w:val="003D570C"/>
    <w:rsid w:val="003D6C93"/>
    <w:rsid w:val="003D744A"/>
    <w:rsid w:val="003E0B2A"/>
    <w:rsid w:val="003E1219"/>
    <w:rsid w:val="003E1471"/>
    <w:rsid w:val="003E17A7"/>
    <w:rsid w:val="003E1A81"/>
    <w:rsid w:val="003E1B09"/>
    <w:rsid w:val="003E2029"/>
    <w:rsid w:val="003E2B1F"/>
    <w:rsid w:val="003E2BAD"/>
    <w:rsid w:val="003E2FC4"/>
    <w:rsid w:val="003E3D7B"/>
    <w:rsid w:val="003E3EE7"/>
    <w:rsid w:val="003E503F"/>
    <w:rsid w:val="003E5854"/>
    <w:rsid w:val="003E5AF7"/>
    <w:rsid w:val="003E5E3D"/>
    <w:rsid w:val="003E64B9"/>
    <w:rsid w:val="003E64DA"/>
    <w:rsid w:val="003E78D6"/>
    <w:rsid w:val="003E79D6"/>
    <w:rsid w:val="003E7B45"/>
    <w:rsid w:val="003E7D14"/>
    <w:rsid w:val="003F0A33"/>
    <w:rsid w:val="003F0F81"/>
    <w:rsid w:val="003F0F9D"/>
    <w:rsid w:val="003F1744"/>
    <w:rsid w:val="003F18C3"/>
    <w:rsid w:val="003F3EB2"/>
    <w:rsid w:val="003F3FA1"/>
    <w:rsid w:val="003F43C5"/>
    <w:rsid w:val="003F5208"/>
    <w:rsid w:val="003F557B"/>
    <w:rsid w:val="003F6F55"/>
    <w:rsid w:val="003F732B"/>
    <w:rsid w:val="003F7B8F"/>
    <w:rsid w:val="0040040A"/>
    <w:rsid w:val="00400AC4"/>
    <w:rsid w:val="0040116A"/>
    <w:rsid w:val="004012F2"/>
    <w:rsid w:val="00401327"/>
    <w:rsid w:val="00401583"/>
    <w:rsid w:val="004016F8"/>
    <w:rsid w:val="004017FB"/>
    <w:rsid w:val="00401F0E"/>
    <w:rsid w:val="0040206F"/>
    <w:rsid w:val="004032B0"/>
    <w:rsid w:val="004032DF"/>
    <w:rsid w:val="004036B2"/>
    <w:rsid w:val="00403790"/>
    <w:rsid w:val="00404661"/>
    <w:rsid w:val="00405AC2"/>
    <w:rsid w:val="00405E1A"/>
    <w:rsid w:val="004068BD"/>
    <w:rsid w:val="00406959"/>
    <w:rsid w:val="00407283"/>
    <w:rsid w:val="00407494"/>
    <w:rsid w:val="00407A7C"/>
    <w:rsid w:val="00407B0D"/>
    <w:rsid w:val="00407D99"/>
    <w:rsid w:val="00407FBB"/>
    <w:rsid w:val="00410767"/>
    <w:rsid w:val="00410E3C"/>
    <w:rsid w:val="00410FA1"/>
    <w:rsid w:val="00411B7E"/>
    <w:rsid w:val="00411D37"/>
    <w:rsid w:val="004122D6"/>
    <w:rsid w:val="00412D0F"/>
    <w:rsid w:val="004133F7"/>
    <w:rsid w:val="00414803"/>
    <w:rsid w:val="0041658E"/>
    <w:rsid w:val="004174E1"/>
    <w:rsid w:val="004175F3"/>
    <w:rsid w:val="00417B78"/>
    <w:rsid w:val="00417CFB"/>
    <w:rsid w:val="0042000E"/>
    <w:rsid w:val="004201AF"/>
    <w:rsid w:val="004201EC"/>
    <w:rsid w:val="00420AA3"/>
    <w:rsid w:val="00420B2C"/>
    <w:rsid w:val="00420F52"/>
    <w:rsid w:val="00421657"/>
    <w:rsid w:val="004217B2"/>
    <w:rsid w:val="00421995"/>
    <w:rsid w:val="0042280E"/>
    <w:rsid w:val="004242F0"/>
    <w:rsid w:val="00424BB1"/>
    <w:rsid w:val="0042536E"/>
    <w:rsid w:val="00425A08"/>
    <w:rsid w:val="00427154"/>
    <w:rsid w:val="00427518"/>
    <w:rsid w:val="00427571"/>
    <w:rsid w:val="004275B3"/>
    <w:rsid w:val="00427C38"/>
    <w:rsid w:val="00431942"/>
    <w:rsid w:val="0043203F"/>
    <w:rsid w:val="0043208E"/>
    <w:rsid w:val="00432724"/>
    <w:rsid w:val="00432D21"/>
    <w:rsid w:val="00432EE4"/>
    <w:rsid w:val="00432F4A"/>
    <w:rsid w:val="0043353C"/>
    <w:rsid w:val="00434E26"/>
    <w:rsid w:val="004351A1"/>
    <w:rsid w:val="00435208"/>
    <w:rsid w:val="00436515"/>
    <w:rsid w:val="00436BB7"/>
    <w:rsid w:val="004370F7"/>
    <w:rsid w:val="00437A35"/>
    <w:rsid w:val="00437C53"/>
    <w:rsid w:val="0044087F"/>
    <w:rsid w:val="00440ADA"/>
    <w:rsid w:val="00440B0C"/>
    <w:rsid w:val="00440FCF"/>
    <w:rsid w:val="004416CB"/>
    <w:rsid w:val="00441902"/>
    <w:rsid w:val="00441A49"/>
    <w:rsid w:val="004435BC"/>
    <w:rsid w:val="004438D2"/>
    <w:rsid w:val="00443F5A"/>
    <w:rsid w:val="00445045"/>
    <w:rsid w:val="0044533B"/>
    <w:rsid w:val="0044548D"/>
    <w:rsid w:val="00445CF2"/>
    <w:rsid w:val="00447285"/>
    <w:rsid w:val="004472E9"/>
    <w:rsid w:val="0044730B"/>
    <w:rsid w:val="00447BD5"/>
    <w:rsid w:val="00447D85"/>
    <w:rsid w:val="00447DBF"/>
    <w:rsid w:val="00450361"/>
    <w:rsid w:val="00450837"/>
    <w:rsid w:val="00450867"/>
    <w:rsid w:val="00451137"/>
    <w:rsid w:val="00451B1F"/>
    <w:rsid w:val="00451EBD"/>
    <w:rsid w:val="00451FDD"/>
    <w:rsid w:val="00452028"/>
    <w:rsid w:val="004527B7"/>
    <w:rsid w:val="0045297F"/>
    <w:rsid w:val="00453759"/>
    <w:rsid w:val="00453B8E"/>
    <w:rsid w:val="00453BCA"/>
    <w:rsid w:val="00453F4F"/>
    <w:rsid w:val="0045413F"/>
    <w:rsid w:val="004542D0"/>
    <w:rsid w:val="00454B79"/>
    <w:rsid w:val="00454D8A"/>
    <w:rsid w:val="00455037"/>
    <w:rsid w:val="004555E0"/>
    <w:rsid w:val="0045585B"/>
    <w:rsid w:val="004560C2"/>
    <w:rsid w:val="0045799C"/>
    <w:rsid w:val="00457A35"/>
    <w:rsid w:val="00460052"/>
    <w:rsid w:val="0046006D"/>
    <w:rsid w:val="00460A3E"/>
    <w:rsid w:val="00460E33"/>
    <w:rsid w:val="004613E1"/>
    <w:rsid w:val="0046169B"/>
    <w:rsid w:val="00461BB8"/>
    <w:rsid w:val="00461CA6"/>
    <w:rsid w:val="004622EF"/>
    <w:rsid w:val="004623A2"/>
    <w:rsid w:val="004625A9"/>
    <w:rsid w:val="00462743"/>
    <w:rsid w:val="00462AE6"/>
    <w:rsid w:val="0046307E"/>
    <w:rsid w:val="004633CC"/>
    <w:rsid w:val="0046345B"/>
    <w:rsid w:val="00463C1E"/>
    <w:rsid w:val="00463C6E"/>
    <w:rsid w:val="0046462B"/>
    <w:rsid w:val="004649E5"/>
    <w:rsid w:val="00464C25"/>
    <w:rsid w:val="00465184"/>
    <w:rsid w:val="00466143"/>
    <w:rsid w:val="00466767"/>
    <w:rsid w:val="00466A80"/>
    <w:rsid w:val="00466DB8"/>
    <w:rsid w:val="00466DE6"/>
    <w:rsid w:val="004671A1"/>
    <w:rsid w:val="00467507"/>
    <w:rsid w:val="00467AA3"/>
    <w:rsid w:val="00467F9C"/>
    <w:rsid w:val="00473232"/>
    <w:rsid w:val="004734DC"/>
    <w:rsid w:val="004754D5"/>
    <w:rsid w:val="00475685"/>
    <w:rsid w:val="004756C7"/>
    <w:rsid w:val="004759C9"/>
    <w:rsid w:val="00475A28"/>
    <w:rsid w:val="00475EC0"/>
    <w:rsid w:val="00476374"/>
    <w:rsid w:val="004764FB"/>
    <w:rsid w:val="0047677D"/>
    <w:rsid w:val="0047678A"/>
    <w:rsid w:val="00476A1E"/>
    <w:rsid w:val="00477185"/>
    <w:rsid w:val="004772E6"/>
    <w:rsid w:val="00481220"/>
    <w:rsid w:val="00482859"/>
    <w:rsid w:val="004837B2"/>
    <w:rsid w:val="00483A15"/>
    <w:rsid w:val="00483B62"/>
    <w:rsid w:val="00484208"/>
    <w:rsid w:val="00484B75"/>
    <w:rsid w:val="00484DA5"/>
    <w:rsid w:val="00485038"/>
    <w:rsid w:val="0048675F"/>
    <w:rsid w:val="004869EE"/>
    <w:rsid w:val="00486B2C"/>
    <w:rsid w:val="00486BDD"/>
    <w:rsid w:val="004877CA"/>
    <w:rsid w:val="00490349"/>
    <w:rsid w:val="00490736"/>
    <w:rsid w:val="00490CC7"/>
    <w:rsid w:val="004930EE"/>
    <w:rsid w:val="004949F2"/>
    <w:rsid w:val="0049550C"/>
    <w:rsid w:val="004957B6"/>
    <w:rsid w:val="00495ADE"/>
    <w:rsid w:val="004962F4"/>
    <w:rsid w:val="00496B90"/>
    <w:rsid w:val="00497003"/>
    <w:rsid w:val="004975C1"/>
    <w:rsid w:val="00497EF6"/>
    <w:rsid w:val="004A0045"/>
    <w:rsid w:val="004A1082"/>
    <w:rsid w:val="004A172F"/>
    <w:rsid w:val="004A20CB"/>
    <w:rsid w:val="004A2C36"/>
    <w:rsid w:val="004A2D8F"/>
    <w:rsid w:val="004A4D45"/>
    <w:rsid w:val="004A4EE4"/>
    <w:rsid w:val="004A6603"/>
    <w:rsid w:val="004A68C4"/>
    <w:rsid w:val="004A6DE4"/>
    <w:rsid w:val="004A6F5A"/>
    <w:rsid w:val="004A7982"/>
    <w:rsid w:val="004A7F06"/>
    <w:rsid w:val="004B00A6"/>
    <w:rsid w:val="004B067B"/>
    <w:rsid w:val="004B0995"/>
    <w:rsid w:val="004B1516"/>
    <w:rsid w:val="004B181C"/>
    <w:rsid w:val="004B19EE"/>
    <w:rsid w:val="004B1F8F"/>
    <w:rsid w:val="004B2974"/>
    <w:rsid w:val="004B345A"/>
    <w:rsid w:val="004B3766"/>
    <w:rsid w:val="004B3A31"/>
    <w:rsid w:val="004B408A"/>
    <w:rsid w:val="004B4274"/>
    <w:rsid w:val="004B609F"/>
    <w:rsid w:val="004B611C"/>
    <w:rsid w:val="004B6205"/>
    <w:rsid w:val="004B639C"/>
    <w:rsid w:val="004B642A"/>
    <w:rsid w:val="004B65BB"/>
    <w:rsid w:val="004B6EAC"/>
    <w:rsid w:val="004B7E4E"/>
    <w:rsid w:val="004B7EB7"/>
    <w:rsid w:val="004C0154"/>
    <w:rsid w:val="004C082B"/>
    <w:rsid w:val="004C0FB3"/>
    <w:rsid w:val="004C1523"/>
    <w:rsid w:val="004C15A0"/>
    <w:rsid w:val="004C21CA"/>
    <w:rsid w:val="004C2CE2"/>
    <w:rsid w:val="004C301C"/>
    <w:rsid w:val="004C30E4"/>
    <w:rsid w:val="004C3989"/>
    <w:rsid w:val="004C3CCE"/>
    <w:rsid w:val="004C4497"/>
    <w:rsid w:val="004C4805"/>
    <w:rsid w:val="004C4F02"/>
    <w:rsid w:val="004C5B5D"/>
    <w:rsid w:val="004C6CF0"/>
    <w:rsid w:val="004C7995"/>
    <w:rsid w:val="004D022A"/>
    <w:rsid w:val="004D07F9"/>
    <w:rsid w:val="004D0DD6"/>
    <w:rsid w:val="004D0EFA"/>
    <w:rsid w:val="004D0FAF"/>
    <w:rsid w:val="004D1D6A"/>
    <w:rsid w:val="004D295B"/>
    <w:rsid w:val="004D2B83"/>
    <w:rsid w:val="004D2ECE"/>
    <w:rsid w:val="004D33C6"/>
    <w:rsid w:val="004D37C9"/>
    <w:rsid w:val="004D3DF3"/>
    <w:rsid w:val="004D46AA"/>
    <w:rsid w:val="004D49B5"/>
    <w:rsid w:val="004D54D7"/>
    <w:rsid w:val="004D616C"/>
    <w:rsid w:val="004D6507"/>
    <w:rsid w:val="004D7607"/>
    <w:rsid w:val="004D7D7D"/>
    <w:rsid w:val="004E002B"/>
    <w:rsid w:val="004E002F"/>
    <w:rsid w:val="004E080B"/>
    <w:rsid w:val="004E082C"/>
    <w:rsid w:val="004E1251"/>
    <w:rsid w:val="004E12E4"/>
    <w:rsid w:val="004E1B9F"/>
    <w:rsid w:val="004E1E50"/>
    <w:rsid w:val="004E28A2"/>
    <w:rsid w:val="004E2A96"/>
    <w:rsid w:val="004E3285"/>
    <w:rsid w:val="004E3614"/>
    <w:rsid w:val="004E45F8"/>
    <w:rsid w:val="004E4FA4"/>
    <w:rsid w:val="004E4FDB"/>
    <w:rsid w:val="004E552E"/>
    <w:rsid w:val="004E556A"/>
    <w:rsid w:val="004E5C22"/>
    <w:rsid w:val="004E610D"/>
    <w:rsid w:val="004E626F"/>
    <w:rsid w:val="004E672F"/>
    <w:rsid w:val="004E6AD2"/>
    <w:rsid w:val="004E6DB1"/>
    <w:rsid w:val="004E6FD9"/>
    <w:rsid w:val="004E7437"/>
    <w:rsid w:val="004E75E5"/>
    <w:rsid w:val="004E76A0"/>
    <w:rsid w:val="004E7FA3"/>
    <w:rsid w:val="004F0C6F"/>
    <w:rsid w:val="004F1704"/>
    <w:rsid w:val="004F28E4"/>
    <w:rsid w:val="004F35AB"/>
    <w:rsid w:val="004F401F"/>
    <w:rsid w:val="004F49D3"/>
    <w:rsid w:val="004F4CFB"/>
    <w:rsid w:val="004F4ECE"/>
    <w:rsid w:val="004F5974"/>
    <w:rsid w:val="004F5BA8"/>
    <w:rsid w:val="004F65E8"/>
    <w:rsid w:val="004F66CB"/>
    <w:rsid w:val="004F6973"/>
    <w:rsid w:val="004F6B60"/>
    <w:rsid w:val="004F6E06"/>
    <w:rsid w:val="004F7088"/>
    <w:rsid w:val="004F79E4"/>
    <w:rsid w:val="004F7CCC"/>
    <w:rsid w:val="0050070E"/>
    <w:rsid w:val="00500F6C"/>
    <w:rsid w:val="00501189"/>
    <w:rsid w:val="00501E56"/>
    <w:rsid w:val="005022AB"/>
    <w:rsid w:val="00502CAD"/>
    <w:rsid w:val="00503085"/>
    <w:rsid w:val="005033F5"/>
    <w:rsid w:val="00504159"/>
    <w:rsid w:val="00504295"/>
    <w:rsid w:val="00504437"/>
    <w:rsid w:val="00504632"/>
    <w:rsid w:val="005054FB"/>
    <w:rsid w:val="00505E6F"/>
    <w:rsid w:val="005060F2"/>
    <w:rsid w:val="005063AF"/>
    <w:rsid w:val="00507603"/>
    <w:rsid w:val="00507FA6"/>
    <w:rsid w:val="005100CB"/>
    <w:rsid w:val="005118CB"/>
    <w:rsid w:val="00511CC7"/>
    <w:rsid w:val="00512391"/>
    <w:rsid w:val="005126BD"/>
    <w:rsid w:val="00512F8F"/>
    <w:rsid w:val="00513038"/>
    <w:rsid w:val="005132DB"/>
    <w:rsid w:val="005133BF"/>
    <w:rsid w:val="005133F7"/>
    <w:rsid w:val="00514CB9"/>
    <w:rsid w:val="00514FCD"/>
    <w:rsid w:val="0051501F"/>
    <w:rsid w:val="0051630B"/>
    <w:rsid w:val="00516426"/>
    <w:rsid w:val="00516442"/>
    <w:rsid w:val="00516DB6"/>
    <w:rsid w:val="005173C8"/>
    <w:rsid w:val="00517A4A"/>
    <w:rsid w:val="00520890"/>
    <w:rsid w:val="005209CB"/>
    <w:rsid w:val="00522D79"/>
    <w:rsid w:val="00522DF1"/>
    <w:rsid w:val="00523351"/>
    <w:rsid w:val="005252A9"/>
    <w:rsid w:val="005266FE"/>
    <w:rsid w:val="0052795B"/>
    <w:rsid w:val="005302D7"/>
    <w:rsid w:val="00530B57"/>
    <w:rsid w:val="00530FF1"/>
    <w:rsid w:val="005325E2"/>
    <w:rsid w:val="00533840"/>
    <w:rsid w:val="00534097"/>
    <w:rsid w:val="005342D0"/>
    <w:rsid w:val="005348EB"/>
    <w:rsid w:val="00534BD2"/>
    <w:rsid w:val="00534C18"/>
    <w:rsid w:val="00534D7B"/>
    <w:rsid w:val="00534F89"/>
    <w:rsid w:val="005350C0"/>
    <w:rsid w:val="00535449"/>
    <w:rsid w:val="00535DA2"/>
    <w:rsid w:val="00536505"/>
    <w:rsid w:val="0053692F"/>
    <w:rsid w:val="00536F73"/>
    <w:rsid w:val="005372F4"/>
    <w:rsid w:val="0053738A"/>
    <w:rsid w:val="005379BE"/>
    <w:rsid w:val="005409D8"/>
    <w:rsid w:val="00541125"/>
    <w:rsid w:val="00541214"/>
    <w:rsid w:val="0054198F"/>
    <w:rsid w:val="00543261"/>
    <w:rsid w:val="00543DD5"/>
    <w:rsid w:val="00544246"/>
    <w:rsid w:val="00544762"/>
    <w:rsid w:val="00544872"/>
    <w:rsid w:val="00544F57"/>
    <w:rsid w:val="00546A3B"/>
    <w:rsid w:val="00546C39"/>
    <w:rsid w:val="0055079C"/>
    <w:rsid w:val="00550F94"/>
    <w:rsid w:val="00551545"/>
    <w:rsid w:val="00551D2F"/>
    <w:rsid w:val="00551F80"/>
    <w:rsid w:val="00552182"/>
    <w:rsid w:val="00552239"/>
    <w:rsid w:val="0055252B"/>
    <w:rsid w:val="0055277E"/>
    <w:rsid w:val="00552BBA"/>
    <w:rsid w:val="00553309"/>
    <w:rsid w:val="00553328"/>
    <w:rsid w:val="00553827"/>
    <w:rsid w:val="005539F5"/>
    <w:rsid w:val="00554371"/>
    <w:rsid w:val="0055462C"/>
    <w:rsid w:val="00554688"/>
    <w:rsid w:val="00554BB9"/>
    <w:rsid w:val="00554FF3"/>
    <w:rsid w:val="00555B66"/>
    <w:rsid w:val="00555FCA"/>
    <w:rsid w:val="005562B3"/>
    <w:rsid w:val="00556425"/>
    <w:rsid w:val="00556A4D"/>
    <w:rsid w:val="00557C2C"/>
    <w:rsid w:val="00557E29"/>
    <w:rsid w:val="00560240"/>
    <w:rsid w:val="0056062D"/>
    <w:rsid w:val="005618DF"/>
    <w:rsid w:val="005629C9"/>
    <w:rsid w:val="00562EED"/>
    <w:rsid w:val="00562F6D"/>
    <w:rsid w:val="00563921"/>
    <w:rsid w:val="00564681"/>
    <w:rsid w:val="00564B2F"/>
    <w:rsid w:val="00564B3F"/>
    <w:rsid w:val="005651B4"/>
    <w:rsid w:val="00565483"/>
    <w:rsid w:val="0056574F"/>
    <w:rsid w:val="00566282"/>
    <w:rsid w:val="005666DB"/>
    <w:rsid w:val="0056685E"/>
    <w:rsid w:val="00566946"/>
    <w:rsid w:val="00566B63"/>
    <w:rsid w:val="00566C4F"/>
    <w:rsid w:val="00566FA9"/>
    <w:rsid w:val="005670AB"/>
    <w:rsid w:val="005673C1"/>
    <w:rsid w:val="0056756F"/>
    <w:rsid w:val="00567A02"/>
    <w:rsid w:val="00567DC9"/>
    <w:rsid w:val="00567ECF"/>
    <w:rsid w:val="005701BA"/>
    <w:rsid w:val="00570872"/>
    <w:rsid w:val="00570E6A"/>
    <w:rsid w:val="00570EE7"/>
    <w:rsid w:val="00570FF5"/>
    <w:rsid w:val="00570FFB"/>
    <w:rsid w:val="005711A1"/>
    <w:rsid w:val="00571443"/>
    <w:rsid w:val="00571473"/>
    <w:rsid w:val="00571EEA"/>
    <w:rsid w:val="00572143"/>
    <w:rsid w:val="005726ED"/>
    <w:rsid w:val="005727A8"/>
    <w:rsid w:val="005728CD"/>
    <w:rsid w:val="00572911"/>
    <w:rsid w:val="00572BAE"/>
    <w:rsid w:val="00573273"/>
    <w:rsid w:val="00573E55"/>
    <w:rsid w:val="0057413C"/>
    <w:rsid w:val="00574354"/>
    <w:rsid w:val="00574D9C"/>
    <w:rsid w:val="00575130"/>
    <w:rsid w:val="005756F1"/>
    <w:rsid w:val="005762A6"/>
    <w:rsid w:val="00577331"/>
    <w:rsid w:val="00577401"/>
    <w:rsid w:val="00577C36"/>
    <w:rsid w:val="00580121"/>
    <w:rsid w:val="00580750"/>
    <w:rsid w:val="005808F1"/>
    <w:rsid w:val="00580972"/>
    <w:rsid w:val="00580FC4"/>
    <w:rsid w:val="00581D66"/>
    <w:rsid w:val="00582161"/>
    <w:rsid w:val="005822A4"/>
    <w:rsid w:val="0058292F"/>
    <w:rsid w:val="00582FF0"/>
    <w:rsid w:val="0058300B"/>
    <w:rsid w:val="00583290"/>
    <w:rsid w:val="00584182"/>
    <w:rsid w:val="00584D71"/>
    <w:rsid w:val="00584FDC"/>
    <w:rsid w:val="005853CE"/>
    <w:rsid w:val="00585571"/>
    <w:rsid w:val="0058664C"/>
    <w:rsid w:val="00586886"/>
    <w:rsid w:val="00586BC1"/>
    <w:rsid w:val="005870B5"/>
    <w:rsid w:val="00587924"/>
    <w:rsid w:val="00590061"/>
    <w:rsid w:val="00590241"/>
    <w:rsid w:val="00590DB9"/>
    <w:rsid w:val="00591DD8"/>
    <w:rsid w:val="005927C4"/>
    <w:rsid w:val="00592F08"/>
    <w:rsid w:val="005932B9"/>
    <w:rsid w:val="00593F53"/>
    <w:rsid w:val="00594100"/>
    <w:rsid w:val="005948FE"/>
    <w:rsid w:val="00594A5C"/>
    <w:rsid w:val="00595829"/>
    <w:rsid w:val="00595B0D"/>
    <w:rsid w:val="00595B6E"/>
    <w:rsid w:val="00595FFD"/>
    <w:rsid w:val="005960CB"/>
    <w:rsid w:val="00596E96"/>
    <w:rsid w:val="00597060"/>
    <w:rsid w:val="00597E90"/>
    <w:rsid w:val="005A0805"/>
    <w:rsid w:val="005A1DCE"/>
    <w:rsid w:val="005A2965"/>
    <w:rsid w:val="005A2C45"/>
    <w:rsid w:val="005A2C6A"/>
    <w:rsid w:val="005A3426"/>
    <w:rsid w:val="005A4708"/>
    <w:rsid w:val="005A4B6E"/>
    <w:rsid w:val="005A508C"/>
    <w:rsid w:val="005A5E45"/>
    <w:rsid w:val="005A6803"/>
    <w:rsid w:val="005A7BB4"/>
    <w:rsid w:val="005A7E5F"/>
    <w:rsid w:val="005B02A9"/>
    <w:rsid w:val="005B0FCA"/>
    <w:rsid w:val="005B1264"/>
    <w:rsid w:val="005B1570"/>
    <w:rsid w:val="005B164E"/>
    <w:rsid w:val="005B1B73"/>
    <w:rsid w:val="005B21A4"/>
    <w:rsid w:val="005B231D"/>
    <w:rsid w:val="005B288E"/>
    <w:rsid w:val="005B2903"/>
    <w:rsid w:val="005B2B4D"/>
    <w:rsid w:val="005B2C0C"/>
    <w:rsid w:val="005B31AE"/>
    <w:rsid w:val="005B3B8C"/>
    <w:rsid w:val="005B3F2B"/>
    <w:rsid w:val="005B3FC6"/>
    <w:rsid w:val="005B433D"/>
    <w:rsid w:val="005B4D10"/>
    <w:rsid w:val="005B4F5D"/>
    <w:rsid w:val="005B54F9"/>
    <w:rsid w:val="005B563B"/>
    <w:rsid w:val="005B5D8C"/>
    <w:rsid w:val="005B5D94"/>
    <w:rsid w:val="005B6008"/>
    <w:rsid w:val="005B629A"/>
    <w:rsid w:val="005B63E1"/>
    <w:rsid w:val="005B6442"/>
    <w:rsid w:val="005B6444"/>
    <w:rsid w:val="005B71DC"/>
    <w:rsid w:val="005B7D77"/>
    <w:rsid w:val="005B7E67"/>
    <w:rsid w:val="005C026F"/>
    <w:rsid w:val="005C0379"/>
    <w:rsid w:val="005C04B3"/>
    <w:rsid w:val="005C0769"/>
    <w:rsid w:val="005C0C2A"/>
    <w:rsid w:val="005C0DD4"/>
    <w:rsid w:val="005C13DA"/>
    <w:rsid w:val="005C14B8"/>
    <w:rsid w:val="005C1DF3"/>
    <w:rsid w:val="005C2213"/>
    <w:rsid w:val="005C22EA"/>
    <w:rsid w:val="005C2320"/>
    <w:rsid w:val="005C286A"/>
    <w:rsid w:val="005C2A43"/>
    <w:rsid w:val="005C2DAF"/>
    <w:rsid w:val="005C427D"/>
    <w:rsid w:val="005C48CB"/>
    <w:rsid w:val="005C4B5E"/>
    <w:rsid w:val="005C5DDE"/>
    <w:rsid w:val="005C6A27"/>
    <w:rsid w:val="005C6CDB"/>
    <w:rsid w:val="005C7077"/>
    <w:rsid w:val="005C7414"/>
    <w:rsid w:val="005D070D"/>
    <w:rsid w:val="005D19AE"/>
    <w:rsid w:val="005D19B6"/>
    <w:rsid w:val="005D5BAF"/>
    <w:rsid w:val="005D60FE"/>
    <w:rsid w:val="005D69E5"/>
    <w:rsid w:val="005D6B59"/>
    <w:rsid w:val="005D76D1"/>
    <w:rsid w:val="005D7A3E"/>
    <w:rsid w:val="005D7CF6"/>
    <w:rsid w:val="005E0609"/>
    <w:rsid w:val="005E0950"/>
    <w:rsid w:val="005E0C6C"/>
    <w:rsid w:val="005E1467"/>
    <w:rsid w:val="005E1A14"/>
    <w:rsid w:val="005E1EF4"/>
    <w:rsid w:val="005E22AB"/>
    <w:rsid w:val="005E2556"/>
    <w:rsid w:val="005E3D3D"/>
    <w:rsid w:val="005E3F59"/>
    <w:rsid w:val="005E410D"/>
    <w:rsid w:val="005E477E"/>
    <w:rsid w:val="005E487D"/>
    <w:rsid w:val="005E5150"/>
    <w:rsid w:val="005E541F"/>
    <w:rsid w:val="005E55BE"/>
    <w:rsid w:val="005E6201"/>
    <w:rsid w:val="005E6CF2"/>
    <w:rsid w:val="005E7059"/>
    <w:rsid w:val="005E757C"/>
    <w:rsid w:val="005E7766"/>
    <w:rsid w:val="005E77C2"/>
    <w:rsid w:val="005F0242"/>
    <w:rsid w:val="005F1256"/>
    <w:rsid w:val="005F16EA"/>
    <w:rsid w:val="005F17E7"/>
    <w:rsid w:val="005F18FD"/>
    <w:rsid w:val="005F1E8A"/>
    <w:rsid w:val="005F3091"/>
    <w:rsid w:val="005F310B"/>
    <w:rsid w:val="005F3536"/>
    <w:rsid w:val="005F355D"/>
    <w:rsid w:val="005F3AC0"/>
    <w:rsid w:val="005F4437"/>
    <w:rsid w:val="005F4D1A"/>
    <w:rsid w:val="005F4E54"/>
    <w:rsid w:val="005F55F1"/>
    <w:rsid w:val="005F5F53"/>
    <w:rsid w:val="005F67AD"/>
    <w:rsid w:val="005F76D8"/>
    <w:rsid w:val="005F7EBA"/>
    <w:rsid w:val="0060065E"/>
    <w:rsid w:val="00600D1A"/>
    <w:rsid w:val="00600FA7"/>
    <w:rsid w:val="00601093"/>
    <w:rsid w:val="00601227"/>
    <w:rsid w:val="00601B33"/>
    <w:rsid w:val="006022E4"/>
    <w:rsid w:val="0060264E"/>
    <w:rsid w:val="006029ED"/>
    <w:rsid w:val="00603A0E"/>
    <w:rsid w:val="00603A3C"/>
    <w:rsid w:val="006043F7"/>
    <w:rsid w:val="006046E1"/>
    <w:rsid w:val="00604A0F"/>
    <w:rsid w:val="00604A2B"/>
    <w:rsid w:val="00604EAB"/>
    <w:rsid w:val="006057E8"/>
    <w:rsid w:val="00605E95"/>
    <w:rsid w:val="006065F2"/>
    <w:rsid w:val="00606A78"/>
    <w:rsid w:val="006116E9"/>
    <w:rsid w:val="00611E97"/>
    <w:rsid w:val="006123E0"/>
    <w:rsid w:val="00613755"/>
    <w:rsid w:val="006137FB"/>
    <w:rsid w:val="0061476F"/>
    <w:rsid w:val="0061481C"/>
    <w:rsid w:val="00615AF8"/>
    <w:rsid w:val="006166C6"/>
    <w:rsid w:val="00616708"/>
    <w:rsid w:val="00616832"/>
    <w:rsid w:val="00616E92"/>
    <w:rsid w:val="00617458"/>
    <w:rsid w:val="0061766F"/>
    <w:rsid w:val="00617A8B"/>
    <w:rsid w:val="00617C73"/>
    <w:rsid w:val="0062039F"/>
    <w:rsid w:val="00620572"/>
    <w:rsid w:val="006211B9"/>
    <w:rsid w:val="006219B1"/>
    <w:rsid w:val="00622649"/>
    <w:rsid w:val="0062294F"/>
    <w:rsid w:val="00623451"/>
    <w:rsid w:val="0062373D"/>
    <w:rsid w:val="006246B9"/>
    <w:rsid w:val="00624771"/>
    <w:rsid w:val="00624B7C"/>
    <w:rsid w:val="006253BA"/>
    <w:rsid w:val="00625B05"/>
    <w:rsid w:val="00625C74"/>
    <w:rsid w:val="006265A2"/>
    <w:rsid w:val="00627059"/>
    <w:rsid w:val="00627ED2"/>
    <w:rsid w:val="00631077"/>
    <w:rsid w:val="00631352"/>
    <w:rsid w:val="006316F7"/>
    <w:rsid w:val="00631839"/>
    <w:rsid w:val="006323C4"/>
    <w:rsid w:val="00632663"/>
    <w:rsid w:val="00632EBF"/>
    <w:rsid w:val="0063365F"/>
    <w:rsid w:val="00633C05"/>
    <w:rsid w:val="006342D9"/>
    <w:rsid w:val="00635214"/>
    <w:rsid w:val="00635840"/>
    <w:rsid w:val="00635CF2"/>
    <w:rsid w:val="00636492"/>
    <w:rsid w:val="006365DD"/>
    <w:rsid w:val="00637397"/>
    <w:rsid w:val="00637472"/>
    <w:rsid w:val="00637CD2"/>
    <w:rsid w:val="00640550"/>
    <w:rsid w:val="006408AA"/>
    <w:rsid w:val="00640E51"/>
    <w:rsid w:val="006414A2"/>
    <w:rsid w:val="00641E85"/>
    <w:rsid w:val="00641EF5"/>
    <w:rsid w:val="00642155"/>
    <w:rsid w:val="00642951"/>
    <w:rsid w:val="006430BD"/>
    <w:rsid w:val="0064373F"/>
    <w:rsid w:val="006445EB"/>
    <w:rsid w:val="0064461B"/>
    <w:rsid w:val="0064473A"/>
    <w:rsid w:val="006447BC"/>
    <w:rsid w:val="006449EA"/>
    <w:rsid w:val="006455C4"/>
    <w:rsid w:val="00645B1C"/>
    <w:rsid w:val="00645F18"/>
    <w:rsid w:val="006468D9"/>
    <w:rsid w:val="00647310"/>
    <w:rsid w:val="006503A3"/>
    <w:rsid w:val="006510B8"/>
    <w:rsid w:val="006511CB"/>
    <w:rsid w:val="006526BC"/>
    <w:rsid w:val="006526D4"/>
    <w:rsid w:val="00652EF7"/>
    <w:rsid w:val="0065323D"/>
    <w:rsid w:val="006537E8"/>
    <w:rsid w:val="00653E20"/>
    <w:rsid w:val="00653EB0"/>
    <w:rsid w:val="006546BA"/>
    <w:rsid w:val="00654791"/>
    <w:rsid w:val="00655A39"/>
    <w:rsid w:val="00655E43"/>
    <w:rsid w:val="00656053"/>
    <w:rsid w:val="006561E7"/>
    <w:rsid w:val="006561FF"/>
    <w:rsid w:val="0065640A"/>
    <w:rsid w:val="00661A37"/>
    <w:rsid w:val="00662275"/>
    <w:rsid w:val="00663487"/>
    <w:rsid w:val="00664145"/>
    <w:rsid w:val="006649D8"/>
    <w:rsid w:val="00664EE5"/>
    <w:rsid w:val="006653FF"/>
    <w:rsid w:val="006659ED"/>
    <w:rsid w:val="00665DC0"/>
    <w:rsid w:val="00666594"/>
    <w:rsid w:val="00666AD1"/>
    <w:rsid w:val="006670C8"/>
    <w:rsid w:val="006672F6"/>
    <w:rsid w:val="00667808"/>
    <w:rsid w:val="00667C12"/>
    <w:rsid w:val="00667E3F"/>
    <w:rsid w:val="00670ED4"/>
    <w:rsid w:val="006720E8"/>
    <w:rsid w:val="00672595"/>
    <w:rsid w:val="00672C44"/>
    <w:rsid w:val="00672D63"/>
    <w:rsid w:val="00673552"/>
    <w:rsid w:val="006736D7"/>
    <w:rsid w:val="00673C3B"/>
    <w:rsid w:val="006746CE"/>
    <w:rsid w:val="00674981"/>
    <w:rsid w:val="00676449"/>
    <w:rsid w:val="006779C3"/>
    <w:rsid w:val="00677C7C"/>
    <w:rsid w:val="00677E54"/>
    <w:rsid w:val="006803AB"/>
    <w:rsid w:val="00680D81"/>
    <w:rsid w:val="00680E69"/>
    <w:rsid w:val="006811C1"/>
    <w:rsid w:val="0068173D"/>
    <w:rsid w:val="00681870"/>
    <w:rsid w:val="006819D0"/>
    <w:rsid w:val="0068253A"/>
    <w:rsid w:val="00682B9E"/>
    <w:rsid w:val="00682D64"/>
    <w:rsid w:val="00682D7B"/>
    <w:rsid w:val="00683016"/>
    <w:rsid w:val="00684094"/>
    <w:rsid w:val="006840A2"/>
    <w:rsid w:val="006856B0"/>
    <w:rsid w:val="00685985"/>
    <w:rsid w:val="00685A28"/>
    <w:rsid w:val="00686069"/>
    <w:rsid w:val="0068668E"/>
    <w:rsid w:val="006869C8"/>
    <w:rsid w:val="0068761F"/>
    <w:rsid w:val="00687693"/>
    <w:rsid w:val="006876CB"/>
    <w:rsid w:val="006878CC"/>
    <w:rsid w:val="006900A8"/>
    <w:rsid w:val="00690316"/>
    <w:rsid w:val="006906E4"/>
    <w:rsid w:val="00690A0F"/>
    <w:rsid w:val="00690A8F"/>
    <w:rsid w:val="0069116E"/>
    <w:rsid w:val="006928E5"/>
    <w:rsid w:val="00692D8D"/>
    <w:rsid w:val="00693165"/>
    <w:rsid w:val="006938E9"/>
    <w:rsid w:val="00693EA4"/>
    <w:rsid w:val="0069472E"/>
    <w:rsid w:val="00694860"/>
    <w:rsid w:val="00694D52"/>
    <w:rsid w:val="00694DB6"/>
    <w:rsid w:val="0069553F"/>
    <w:rsid w:val="0069779E"/>
    <w:rsid w:val="006A08DF"/>
    <w:rsid w:val="006A228D"/>
    <w:rsid w:val="006A23E7"/>
    <w:rsid w:val="006A28ED"/>
    <w:rsid w:val="006A2903"/>
    <w:rsid w:val="006A2AB7"/>
    <w:rsid w:val="006A47A5"/>
    <w:rsid w:val="006A4E8D"/>
    <w:rsid w:val="006A5363"/>
    <w:rsid w:val="006A595D"/>
    <w:rsid w:val="006A6683"/>
    <w:rsid w:val="006A66AC"/>
    <w:rsid w:val="006A715A"/>
    <w:rsid w:val="006A71C5"/>
    <w:rsid w:val="006A7666"/>
    <w:rsid w:val="006A7C64"/>
    <w:rsid w:val="006A7F6D"/>
    <w:rsid w:val="006A7F8D"/>
    <w:rsid w:val="006B00C7"/>
    <w:rsid w:val="006B010C"/>
    <w:rsid w:val="006B091A"/>
    <w:rsid w:val="006B09E2"/>
    <w:rsid w:val="006B0E79"/>
    <w:rsid w:val="006B1825"/>
    <w:rsid w:val="006B1C5E"/>
    <w:rsid w:val="006B214B"/>
    <w:rsid w:val="006B251A"/>
    <w:rsid w:val="006B25B5"/>
    <w:rsid w:val="006B28AE"/>
    <w:rsid w:val="006B39EC"/>
    <w:rsid w:val="006B5ED4"/>
    <w:rsid w:val="006B64E8"/>
    <w:rsid w:val="006B68E7"/>
    <w:rsid w:val="006B691E"/>
    <w:rsid w:val="006B7B59"/>
    <w:rsid w:val="006C0635"/>
    <w:rsid w:val="006C0AB3"/>
    <w:rsid w:val="006C1440"/>
    <w:rsid w:val="006C2AA7"/>
    <w:rsid w:val="006C304B"/>
    <w:rsid w:val="006C331B"/>
    <w:rsid w:val="006C3F6D"/>
    <w:rsid w:val="006C40D6"/>
    <w:rsid w:val="006C5611"/>
    <w:rsid w:val="006C61C3"/>
    <w:rsid w:val="006C628E"/>
    <w:rsid w:val="006C6A4E"/>
    <w:rsid w:val="006C73D0"/>
    <w:rsid w:val="006C78CE"/>
    <w:rsid w:val="006C7FCD"/>
    <w:rsid w:val="006D019A"/>
    <w:rsid w:val="006D0E98"/>
    <w:rsid w:val="006D0F46"/>
    <w:rsid w:val="006D0FB1"/>
    <w:rsid w:val="006D1DCB"/>
    <w:rsid w:val="006D1DDF"/>
    <w:rsid w:val="006D1E20"/>
    <w:rsid w:val="006D2CEA"/>
    <w:rsid w:val="006D2E31"/>
    <w:rsid w:val="006D38ED"/>
    <w:rsid w:val="006D48F0"/>
    <w:rsid w:val="006D4A18"/>
    <w:rsid w:val="006D5178"/>
    <w:rsid w:val="006D539A"/>
    <w:rsid w:val="006D5C19"/>
    <w:rsid w:val="006D623D"/>
    <w:rsid w:val="006D628B"/>
    <w:rsid w:val="006D6598"/>
    <w:rsid w:val="006D6749"/>
    <w:rsid w:val="006D6CA0"/>
    <w:rsid w:val="006D6E96"/>
    <w:rsid w:val="006D74DB"/>
    <w:rsid w:val="006D7565"/>
    <w:rsid w:val="006D784F"/>
    <w:rsid w:val="006D7CF2"/>
    <w:rsid w:val="006D7F5F"/>
    <w:rsid w:val="006E0C0E"/>
    <w:rsid w:val="006E0FFD"/>
    <w:rsid w:val="006E138C"/>
    <w:rsid w:val="006E152B"/>
    <w:rsid w:val="006E16E2"/>
    <w:rsid w:val="006E170A"/>
    <w:rsid w:val="006E2020"/>
    <w:rsid w:val="006E211B"/>
    <w:rsid w:val="006E2570"/>
    <w:rsid w:val="006E34BE"/>
    <w:rsid w:val="006E3A06"/>
    <w:rsid w:val="006E3DAB"/>
    <w:rsid w:val="006E4AD2"/>
    <w:rsid w:val="006E51D3"/>
    <w:rsid w:val="006E5AED"/>
    <w:rsid w:val="006E5D98"/>
    <w:rsid w:val="006E639C"/>
    <w:rsid w:val="006F0146"/>
    <w:rsid w:val="006F03D0"/>
    <w:rsid w:val="006F0686"/>
    <w:rsid w:val="006F08CC"/>
    <w:rsid w:val="006F23C4"/>
    <w:rsid w:val="006F3238"/>
    <w:rsid w:val="006F44F5"/>
    <w:rsid w:val="006F51DB"/>
    <w:rsid w:val="006F69E6"/>
    <w:rsid w:val="006F709F"/>
    <w:rsid w:val="006F7479"/>
    <w:rsid w:val="007007FC"/>
    <w:rsid w:val="00700963"/>
    <w:rsid w:val="00700C9C"/>
    <w:rsid w:val="007017E5"/>
    <w:rsid w:val="00702AD9"/>
    <w:rsid w:val="00703222"/>
    <w:rsid w:val="00703C97"/>
    <w:rsid w:val="00703DFF"/>
    <w:rsid w:val="0070527D"/>
    <w:rsid w:val="007059D6"/>
    <w:rsid w:val="00705E7B"/>
    <w:rsid w:val="00705EA8"/>
    <w:rsid w:val="007064CF"/>
    <w:rsid w:val="0070748A"/>
    <w:rsid w:val="00707B0F"/>
    <w:rsid w:val="00707E45"/>
    <w:rsid w:val="00710044"/>
    <w:rsid w:val="00710701"/>
    <w:rsid w:val="00710852"/>
    <w:rsid w:val="0071141B"/>
    <w:rsid w:val="00711F57"/>
    <w:rsid w:val="00712772"/>
    <w:rsid w:val="00712F81"/>
    <w:rsid w:val="0071334D"/>
    <w:rsid w:val="00713D76"/>
    <w:rsid w:val="007140CC"/>
    <w:rsid w:val="00714944"/>
    <w:rsid w:val="00715291"/>
    <w:rsid w:val="0071535F"/>
    <w:rsid w:val="007157D0"/>
    <w:rsid w:val="00715DC9"/>
    <w:rsid w:val="00717776"/>
    <w:rsid w:val="007177A3"/>
    <w:rsid w:val="00717A2C"/>
    <w:rsid w:val="00717C83"/>
    <w:rsid w:val="00720D47"/>
    <w:rsid w:val="007211D5"/>
    <w:rsid w:val="007214A3"/>
    <w:rsid w:val="0072154E"/>
    <w:rsid w:val="00721E3F"/>
    <w:rsid w:val="007220EF"/>
    <w:rsid w:val="007223FD"/>
    <w:rsid w:val="00722CB3"/>
    <w:rsid w:val="00723E46"/>
    <w:rsid w:val="00724DFC"/>
    <w:rsid w:val="0072556F"/>
    <w:rsid w:val="0072566E"/>
    <w:rsid w:val="00725B5E"/>
    <w:rsid w:val="0072625A"/>
    <w:rsid w:val="00726BB2"/>
    <w:rsid w:val="007271BF"/>
    <w:rsid w:val="007278C9"/>
    <w:rsid w:val="00727E33"/>
    <w:rsid w:val="007301DF"/>
    <w:rsid w:val="007305D0"/>
    <w:rsid w:val="00730A66"/>
    <w:rsid w:val="00730C7A"/>
    <w:rsid w:val="007312EC"/>
    <w:rsid w:val="00732459"/>
    <w:rsid w:val="00732B4E"/>
    <w:rsid w:val="00732B5F"/>
    <w:rsid w:val="00733B54"/>
    <w:rsid w:val="00733C60"/>
    <w:rsid w:val="00734481"/>
    <w:rsid w:val="00734689"/>
    <w:rsid w:val="007346AD"/>
    <w:rsid w:val="007348CE"/>
    <w:rsid w:val="007349F7"/>
    <w:rsid w:val="00734A93"/>
    <w:rsid w:val="0073529D"/>
    <w:rsid w:val="00735324"/>
    <w:rsid w:val="00735AFD"/>
    <w:rsid w:val="00735FD0"/>
    <w:rsid w:val="00737173"/>
    <w:rsid w:val="00737349"/>
    <w:rsid w:val="007373B8"/>
    <w:rsid w:val="00737E24"/>
    <w:rsid w:val="00737EE3"/>
    <w:rsid w:val="00740318"/>
    <w:rsid w:val="007409B0"/>
    <w:rsid w:val="00740AC9"/>
    <w:rsid w:val="00741029"/>
    <w:rsid w:val="00741C68"/>
    <w:rsid w:val="00741F14"/>
    <w:rsid w:val="00742086"/>
    <w:rsid w:val="007420FA"/>
    <w:rsid w:val="00742208"/>
    <w:rsid w:val="0074236E"/>
    <w:rsid w:val="00742C96"/>
    <w:rsid w:val="007431B8"/>
    <w:rsid w:val="00743483"/>
    <w:rsid w:val="0074349F"/>
    <w:rsid w:val="00743F1D"/>
    <w:rsid w:val="00743F4E"/>
    <w:rsid w:val="0074455C"/>
    <w:rsid w:val="00744EAF"/>
    <w:rsid w:val="00745835"/>
    <w:rsid w:val="00746766"/>
    <w:rsid w:val="00746CAE"/>
    <w:rsid w:val="00746F72"/>
    <w:rsid w:val="00747089"/>
    <w:rsid w:val="00747B19"/>
    <w:rsid w:val="0075036F"/>
    <w:rsid w:val="007508C5"/>
    <w:rsid w:val="007509EC"/>
    <w:rsid w:val="00750BBE"/>
    <w:rsid w:val="0075104E"/>
    <w:rsid w:val="007521DA"/>
    <w:rsid w:val="007522A7"/>
    <w:rsid w:val="00752E09"/>
    <w:rsid w:val="0075323B"/>
    <w:rsid w:val="007539D9"/>
    <w:rsid w:val="00753F8D"/>
    <w:rsid w:val="00754032"/>
    <w:rsid w:val="007546FC"/>
    <w:rsid w:val="0075493E"/>
    <w:rsid w:val="00754BE4"/>
    <w:rsid w:val="00755416"/>
    <w:rsid w:val="007557D4"/>
    <w:rsid w:val="007559A6"/>
    <w:rsid w:val="00755E98"/>
    <w:rsid w:val="00755F93"/>
    <w:rsid w:val="007569A1"/>
    <w:rsid w:val="00756ECA"/>
    <w:rsid w:val="00756F60"/>
    <w:rsid w:val="007571D6"/>
    <w:rsid w:val="00757490"/>
    <w:rsid w:val="00757890"/>
    <w:rsid w:val="00757A97"/>
    <w:rsid w:val="007602CB"/>
    <w:rsid w:val="00760604"/>
    <w:rsid w:val="00760986"/>
    <w:rsid w:val="00761097"/>
    <w:rsid w:val="007628BF"/>
    <w:rsid w:val="00762A30"/>
    <w:rsid w:val="00762E7D"/>
    <w:rsid w:val="00763A75"/>
    <w:rsid w:val="00763D85"/>
    <w:rsid w:val="00763E06"/>
    <w:rsid w:val="0076425C"/>
    <w:rsid w:val="00764355"/>
    <w:rsid w:val="00764A0D"/>
    <w:rsid w:val="00764E2E"/>
    <w:rsid w:val="00764E97"/>
    <w:rsid w:val="00765053"/>
    <w:rsid w:val="00765064"/>
    <w:rsid w:val="00765527"/>
    <w:rsid w:val="00765BE1"/>
    <w:rsid w:val="00765EAE"/>
    <w:rsid w:val="0076665F"/>
    <w:rsid w:val="00766D42"/>
    <w:rsid w:val="00767875"/>
    <w:rsid w:val="00767EE9"/>
    <w:rsid w:val="00770231"/>
    <w:rsid w:val="00770382"/>
    <w:rsid w:val="00770406"/>
    <w:rsid w:val="00770430"/>
    <w:rsid w:val="0077079B"/>
    <w:rsid w:val="00771775"/>
    <w:rsid w:val="00771881"/>
    <w:rsid w:val="00771CE2"/>
    <w:rsid w:val="0077212C"/>
    <w:rsid w:val="007721E9"/>
    <w:rsid w:val="00772372"/>
    <w:rsid w:val="00772698"/>
    <w:rsid w:val="007727A1"/>
    <w:rsid w:val="00772A47"/>
    <w:rsid w:val="00772BFF"/>
    <w:rsid w:val="00772FC7"/>
    <w:rsid w:val="00773860"/>
    <w:rsid w:val="007738E7"/>
    <w:rsid w:val="00773A33"/>
    <w:rsid w:val="00773D7F"/>
    <w:rsid w:val="00774071"/>
    <w:rsid w:val="00774282"/>
    <w:rsid w:val="00775175"/>
    <w:rsid w:val="007766C6"/>
    <w:rsid w:val="0077707F"/>
    <w:rsid w:val="007772BC"/>
    <w:rsid w:val="00777BE8"/>
    <w:rsid w:val="00781BCB"/>
    <w:rsid w:val="007823E7"/>
    <w:rsid w:val="007834C9"/>
    <w:rsid w:val="007837B6"/>
    <w:rsid w:val="00783D14"/>
    <w:rsid w:val="00784050"/>
    <w:rsid w:val="00784F87"/>
    <w:rsid w:val="00785A04"/>
    <w:rsid w:val="00785A82"/>
    <w:rsid w:val="0078604C"/>
    <w:rsid w:val="0078696B"/>
    <w:rsid w:val="00787801"/>
    <w:rsid w:val="00790310"/>
    <w:rsid w:val="00790F1B"/>
    <w:rsid w:val="007912A5"/>
    <w:rsid w:val="0079158A"/>
    <w:rsid w:val="00791B43"/>
    <w:rsid w:val="007928CB"/>
    <w:rsid w:val="00792CDB"/>
    <w:rsid w:val="00793B78"/>
    <w:rsid w:val="00793CD4"/>
    <w:rsid w:val="00793F40"/>
    <w:rsid w:val="00795584"/>
    <w:rsid w:val="0079563D"/>
    <w:rsid w:val="007964CB"/>
    <w:rsid w:val="00796A06"/>
    <w:rsid w:val="00796FF0"/>
    <w:rsid w:val="007A03B5"/>
    <w:rsid w:val="007A0B00"/>
    <w:rsid w:val="007A0E3A"/>
    <w:rsid w:val="007A1489"/>
    <w:rsid w:val="007A152A"/>
    <w:rsid w:val="007A1950"/>
    <w:rsid w:val="007A29FB"/>
    <w:rsid w:val="007A2EA3"/>
    <w:rsid w:val="007A31F8"/>
    <w:rsid w:val="007A3AB0"/>
    <w:rsid w:val="007A3D0F"/>
    <w:rsid w:val="007A47F9"/>
    <w:rsid w:val="007A4D26"/>
    <w:rsid w:val="007A4E5D"/>
    <w:rsid w:val="007A591F"/>
    <w:rsid w:val="007A5E4C"/>
    <w:rsid w:val="007A5EE8"/>
    <w:rsid w:val="007A656C"/>
    <w:rsid w:val="007A7561"/>
    <w:rsid w:val="007B01D1"/>
    <w:rsid w:val="007B066C"/>
    <w:rsid w:val="007B0A36"/>
    <w:rsid w:val="007B0BE7"/>
    <w:rsid w:val="007B1219"/>
    <w:rsid w:val="007B2178"/>
    <w:rsid w:val="007B21E2"/>
    <w:rsid w:val="007B2AF3"/>
    <w:rsid w:val="007B2C15"/>
    <w:rsid w:val="007B3590"/>
    <w:rsid w:val="007B387F"/>
    <w:rsid w:val="007B3DBD"/>
    <w:rsid w:val="007B4075"/>
    <w:rsid w:val="007B4283"/>
    <w:rsid w:val="007B4CA0"/>
    <w:rsid w:val="007B50C5"/>
    <w:rsid w:val="007B5FBD"/>
    <w:rsid w:val="007B6520"/>
    <w:rsid w:val="007B6614"/>
    <w:rsid w:val="007B746F"/>
    <w:rsid w:val="007B7F15"/>
    <w:rsid w:val="007C03E5"/>
    <w:rsid w:val="007C0878"/>
    <w:rsid w:val="007C092B"/>
    <w:rsid w:val="007C0BE3"/>
    <w:rsid w:val="007C114B"/>
    <w:rsid w:val="007C1F23"/>
    <w:rsid w:val="007C204C"/>
    <w:rsid w:val="007C22E6"/>
    <w:rsid w:val="007C2DD0"/>
    <w:rsid w:val="007C2EBE"/>
    <w:rsid w:val="007C373C"/>
    <w:rsid w:val="007C416B"/>
    <w:rsid w:val="007C44DF"/>
    <w:rsid w:val="007C4575"/>
    <w:rsid w:val="007C4A04"/>
    <w:rsid w:val="007C4E38"/>
    <w:rsid w:val="007C4EB1"/>
    <w:rsid w:val="007C4F8F"/>
    <w:rsid w:val="007C534D"/>
    <w:rsid w:val="007C55DD"/>
    <w:rsid w:val="007C5A1B"/>
    <w:rsid w:val="007C5FAD"/>
    <w:rsid w:val="007C632D"/>
    <w:rsid w:val="007C725B"/>
    <w:rsid w:val="007C773A"/>
    <w:rsid w:val="007C7C77"/>
    <w:rsid w:val="007C7E9D"/>
    <w:rsid w:val="007D06D2"/>
    <w:rsid w:val="007D0D41"/>
    <w:rsid w:val="007D0DE2"/>
    <w:rsid w:val="007D26E8"/>
    <w:rsid w:val="007D2FAE"/>
    <w:rsid w:val="007D30E1"/>
    <w:rsid w:val="007D335E"/>
    <w:rsid w:val="007D3A0B"/>
    <w:rsid w:val="007D40BB"/>
    <w:rsid w:val="007D450B"/>
    <w:rsid w:val="007D486B"/>
    <w:rsid w:val="007D585C"/>
    <w:rsid w:val="007D64B1"/>
    <w:rsid w:val="007D668C"/>
    <w:rsid w:val="007D6942"/>
    <w:rsid w:val="007D70BE"/>
    <w:rsid w:val="007D7E9A"/>
    <w:rsid w:val="007D7F8A"/>
    <w:rsid w:val="007E094F"/>
    <w:rsid w:val="007E0D86"/>
    <w:rsid w:val="007E107A"/>
    <w:rsid w:val="007E129A"/>
    <w:rsid w:val="007E17FB"/>
    <w:rsid w:val="007E1AB9"/>
    <w:rsid w:val="007E1ADC"/>
    <w:rsid w:val="007E25DC"/>
    <w:rsid w:val="007E2B7D"/>
    <w:rsid w:val="007E3186"/>
    <w:rsid w:val="007E3558"/>
    <w:rsid w:val="007E38C7"/>
    <w:rsid w:val="007E3952"/>
    <w:rsid w:val="007E3F6F"/>
    <w:rsid w:val="007E4955"/>
    <w:rsid w:val="007E4971"/>
    <w:rsid w:val="007E6294"/>
    <w:rsid w:val="007E62A4"/>
    <w:rsid w:val="007E6410"/>
    <w:rsid w:val="007E6FBF"/>
    <w:rsid w:val="007E713A"/>
    <w:rsid w:val="007E7560"/>
    <w:rsid w:val="007E7970"/>
    <w:rsid w:val="007E7DC8"/>
    <w:rsid w:val="007E7F00"/>
    <w:rsid w:val="007F049C"/>
    <w:rsid w:val="007F0FB7"/>
    <w:rsid w:val="007F147A"/>
    <w:rsid w:val="007F1656"/>
    <w:rsid w:val="007F1ECD"/>
    <w:rsid w:val="007F217D"/>
    <w:rsid w:val="007F2A13"/>
    <w:rsid w:val="007F2FDB"/>
    <w:rsid w:val="007F3276"/>
    <w:rsid w:val="007F34AE"/>
    <w:rsid w:val="007F392E"/>
    <w:rsid w:val="007F4360"/>
    <w:rsid w:val="007F45DA"/>
    <w:rsid w:val="007F57AF"/>
    <w:rsid w:val="007F5A2C"/>
    <w:rsid w:val="007F5CE9"/>
    <w:rsid w:val="007F603A"/>
    <w:rsid w:val="007F63AE"/>
    <w:rsid w:val="007F6D55"/>
    <w:rsid w:val="007F75DA"/>
    <w:rsid w:val="007F7D9B"/>
    <w:rsid w:val="00800CC6"/>
    <w:rsid w:val="0080125C"/>
    <w:rsid w:val="00802081"/>
    <w:rsid w:val="0080239B"/>
    <w:rsid w:val="00802450"/>
    <w:rsid w:val="0080264E"/>
    <w:rsid w:val="00802766"/>
    <w:rsid w:val="00802A9A"/>
    <w:rsid w:val="00802FDD"/>
    <w:rsid w:val="008032EC"/>
    <w:rsid w:val="00804C74"/>
    <w:rsid w:val="00804DC1"/>
    <w:rsid w:val="00805C29"/>
    <w:rsid w:val="00805EA6"/>
    <w:rsid w:val="0080798B"/>
    <w:rsid w:val="008106BB"/>
    <w:rsid w:val="00810A30"/>
    <w:rsid w:val="00810CD1"/>
    <w:rsid w:val="008117B9"/>
    <w:rsid w:val="00812B56"/>
    <w:rsid w:val="00812E6E"/>
    <w:rsid w:val="008133BA"/>
    <w:rsid w:val="008139F2"/>
    <w:rsid w:val="00813C99"/>
    <w:rsid w:val="00813D25"/>
    <w:rsid w:val="00814482"/>
    <w:rsid w:val="00814DCE"/>
    <w:rsid w:val="00815573"/>
    <w:rsid w:val="00815800"/>
    <w:rsid w:val="0081581D"/>
    <w:rsid w:val="00816758"/>
    <w:rsid w:val="00816B63"/>
    <w:rsid w:val="00816EAE"/>
    <w:rsid w:val="008206F5"/>
    <w:rsid w:val="00820A45"/>
    <w:rsid w:val="00820DBF"/>
    <w:rsid w:val="00821523"/>
    <w:rsid w:val="00821C5F"/>
    <w:rsid w:val="00821F67"/>
    <w:rsid w:val="00822BF7"/>
    <w:rsid w:val="00823461"/>
    <w:rsid w:val="008234E1"/>
    <w:rsid w:val="00823688"/>
    <w:rsid w:val="00823E20"/>
    <w:rsid w:val="00824289"/>
    <w:rsid w:val="00824528"/>
    <w:rsid w:val="00824929"/>
    <w:rsid w:val="00824E3B"/>
    <w:rsid w:val="0082513B"/>
    <w:rsid w:val="00825213"/>
    <w:rsid w:val="008260C6"/>
    <w:rsid w:val="008261CF"/>
    <w:rsid w:val="008263F7"/>
    <w:rsid w:val="0082661E"/>
    <w:rsid w:val="00826662"/>
    <w:rsid w:val="00826991"/>
    <w:rsid w:val="00826A2B"/>
    <w:rsid w:val="00826C66"/>
    <w:rsid w:val="0082770F"/>
    <w:rsid w:val="00827752"/>
    <w:rsid w:val="008277FB"/>
    <w:rsid w:val="008279F6"/>
    <w:rsid w:val="00830CF8"/>
    <w:rsid w:val="00830F48"/>
    <w:rsid w:val="00830F7C"/>
    <w:rsid w:val="00831F42"/>
    <w:rsid w:val="008321B8"/>
    <w:rsid w:val="00832252"/>
    <w:rsid w:val="00832B48"/>
    <w:rsid w:val="00832DF8"/>
    <w:rsid w:val="00832F88"/>
    <w:rsid w:val="00833D8E"/>
    <w:rsid w:val="00833F0D"/>
    <w:rsid w:val="00834AA1"/>
    <w:rsid w:val="00834B07"/>
    <w:rsid w:val="00834DEE"/>
    <w:rsid w:val="00834F48"/>
    <w:rsid w:val="0083542B"/>
    <w:rsid w:val="0083644D"/>
    <w:rsid w:val="00836876"/>
    <w:rsid w:val="008371B2"/>
    <w:rsid w:val="00837257"/>
    <w:rsid w:val="00841A37"/>
    <w:rsid w:val="008422B8"/>
    <w:rsid w:val="00842BD6"/>
    <w:rsid w:val="008433F8"/>
    <w:rsid w:val="00843508"/>
    <w:rsid w:val="00843CED"/>
    <w:rsid w:val="00843F82"/>
    <w:rsid w:val="00844030"/>
    <w:rsid w:val="0084455A"/>
    <w:rsid w:val="008449F6"/>
    <w:rsid w:val="00844AFB"/>
    <w:rsid w:val="008452E3"/>
    <w:rsid w:val="00846AA0"/>
    <w:rsid w:val="00846ACD"/>
    <w:rsid w:val="00846D50"/>
    <w:rsid w:val="00846E2A"/>
    <w:rsid w:val="00847145"/>
    <w:rsid w:val="00847318"/>
    <w:rsid w:val="008476A7"/>
    <w:rsid w:val="008477A1"/>
    <w:rsid w:val="008500EA"/>
    <w:rsid w:val="008502A2"/>
    <w:rsid w:val="00850617"/>
    <w:rsid w:val="00850C39"/>
    <w:rsid w:val="00850C84"/>
    <w:rsid w:val="00850F8B"/>
    <w:rsid w:val="0085122C"/>
    <w:rsid w:val="008516FC"/>
    <w:rsid w:val="00851B05"/>
    <w:rsid w:val="008524D5"/>
    <w:rsid w:val="008531A5"/>
    <w:rsid w:val="00853FC2"/>
    <w:rsid w:val="008548D8"/>
    <w:rsid w:val="00854AC5"/>
    <w:rsid w:val="0085519D"/>
    <w:rsid w:val="00855738"/>
    <w:rsid w:val="008558A4"/>
    <w:rsid w:val="00855FA5"/>
    <w:rsid w:val="00860BE0"/>
    <w:rsid w:val="00860FD0"/>
    <w:rsid w:val="00861912"/>
    <w:rsid w:val="00861E0D"/>
    <w:rsid w:val="00861ECC"/>
    <w:rsid w:val="0086208D"/>
    <w:rsid w:val="00862112"/>
    <w:rsid w:val="008621D8"/>
    <w:rsid w:val="0086306D"/>
    <w:rsid w:val="00863F9F"/>
    <w:rsid w:val="00864020"/>
    <w:rsid w:val="008640B3"/>
    <w:rsid w:val="008651ED"/>
    <w:rsid w:val="00866378"/>
    <w:rsid w:val="00866576"/>
    <w:rsid w:val="00866C14"/>
    <w:rsid w:val="00866CDD"/>
    <w:rsid w:val="008676B2"/>
    <w:rsid w:val="008676C7"/>
    <w:rsid w:val="00867AE8"/>
    <w:rsid w:val="008700AC"/>
    <w:rsid w:val="0087013D"/>
    <w:rsid w:val="00870BA1"/>
    <w:rsid w:val="00870E77"/>
    <w:rsid w:val="008719E0"/>
    <w:rsid w:val="0087289E"/>
    <w:rsid w:val="00872CC0"/>
    <w:rsid w:val="00874971"/>
    <w:rsid w:val="0087503B"/>
    <w:rsid w:val="008762A2"/>
    <w:rsid w:val="008765FD"/>
    <w:rsid w:val="0087665A"/>
    <w:rsid w:val="008769C1"/>
    <w:rsid w:val="00876F7D"/>
    <w:rsid w:val="008775A8"/>
    <w:rsid w:val="008777E3"/>
    <w:rsid w:val="008779FC"/>
    <w:rsid w:val="00877D88"/>
    <w:rsid w:val="008803ED"/>
    <w:rsid w:val="00880989"/>
    <w:rsid w:val="00880D2C"/>
    <w:rsid w:val="00880DCE"/>
    <w:rsid w:val="00880F84"/>
    <w:rsid w:val="00881AFF"/>
    <w:rsid w:val="00881DA6"/>
    <w:rsid w:val="00881E5E"/>
    <w:rsid w:val="00881FFE"/>
    <w:rsid w:val="00882211"/>
    <w:rsid w:val="00882685"/>
    <w:rsid w:val="00882B61"/>
    <w:rsid w:val="00882D40"/>
    <w:rsid w:val="00882FD0"/>
    <w:rsid w:val="00883BF7"/>
    <w:rsid w:val="00884BC8"/>
    <w:rsid w:val="00885C41"/>
    <w:rsid w:val="008862C2"/>
    <w:rsid w:val="0088651E"/>
    <w:rsid w:val="008865F1"/>
    <w:rsid w:val="00886E69"/>
    <w:rsid w:val="00890219"/>
    <w:rsid w:val="00890464"/>
    <w:rsid w:val="00891841"/>
    <w:rsid w:val="008918C8"/>
    <w:rsid w:val="00891B0A"/>
    <w:rsid w:val="00892367"/>
    <w:rsid w:val="00892818"/>
    <w:rsid w:val="00893843"/>
    <w:rsid w:val="00893911"/>
    <w:rsid w:val="00894930"/>
    <w:rsid w:val="008949AF"/>
    <w:rsid w:val="00895368"/>
    <w:rsid w:val="008959E3"/>
    <w:rsid w:val="00895D20"/>
    <w:rsid w:val="008970AB"/>
    <w:rsid w:val="00897CD1"/>
    <w:rsid w:val="008A01E3"/>
    <w:rsid w:val="008A045B"/>
    <w:rsid w:val="008A0A4B"/>
    <w:rsid w:val="008A0C19"/>
    <w:rsid w:val="008A0CA2"/>
    <w:rsid w:val="008A0D21"/>
    <w:rsid w:val="008A168A"/>
    <w:rsid w:val="008A1EBB"/>
    <w:rsid w:val="008A2097"/>
    <w:rsid w:val="008A21BB"/>
    <w:rsid w:val="008A2934"/>
    <w:rsid w:val="008A2A3A"/>
    <w:rsid w:val="008A2C3F"/>
    <w:rsid w:val="008A4122"/>
    <w:rsid w:val="008A48D8"/>
    <w:rsid w:val="008A4928"/>
    <w:rsid w:val="008A493E"/>
    <w:rsid w:val="008A4A96"/>
    <w:rsid w:val="008A4ECD"/>
    <w:rsid w:val="008A54EE"/>
    <w:rsid w:val="008A560C"/>
    <w:rsid w:val="008A5A43"/>
    <w:rsid w:val="008A5C6B"/>
    <w:rsid w:val="008A5DEE"/>
    <w:rsid w:val="008A6C69"/>
    <w:rsid w:val="008A7C56"/>
    <w:rsid w:val="008A7E3A"/>
    <w:rsid w:val="008B0D8B"/>
    <w:rsid w:val="008B0D9A"/>
    <w:rsid w:val="008B134B"/>
    <w:rsid w:val="008B14A0"/>
    <w:rsid w:val="008B1BEE"/>
    <w:rsid w:val="008B1D41"/>
    <w:rsid w:val="008B2520"/>
    <w:rsid w:val="008B2715"/>
    <w:rsid w:val="008B3404"/>
    <w:rsid w:val="008B37B2"/>
    <w:rsid w:val="008B3A79"/>
    <w:rsid w:val="008B40AE"/>
    <w:rsid w:val="008B4790"/>
    <w:rsid w:val="008B5A0C"/>
    <w:rsid w:val="008B6246"/>
    <w:rsid w:val="008B6261"/>
    <w:rsid w:val="008C1693"/>
    <w:rsid w:val="008C1930"/>
    <w:rsid w:val="008C1A12"/>
    <w:rsid w:val="008C29A4"/>
    <w:rsid w:val="008C29D2"/>
    <w:rsid w:val="008C30E4"/>
    <w:rsid w:val="008C41B8"/>
    <w:rsid w:val="008C43E3"/>
    <w:rsid w:val="008C5633"/>
    <w:rsid w:val="008C70C4"/>
    <w:rsid w:val="008C74C6"/>
    <w:rsid w:val="008D124D"/>
    <w:rsid w:val="008D1623"/>
    <w:rsid w:val="008D162D"/>
    <w:rsid w:val="008D194E"/>
    <w:rsid w:val="008D33EC"/>
    <w:rsid w:val="008D3B7C"/>
    <w:rsid w:val="008D3F97"/>
    <w:rsid w:val="008D4278"/>
    <w:rsid w:val="008D438D"/>
    <w:rsid w:val="008D4DDE"/>
    <w:rsid w:val="008D5BDF"/>
    <w:rsid w:val="008D608D"/>
    <w:rsid w:val="008D61BA"/>
    <w:rsid w:val="008D6C21"/>
    <w:rsid w:val="008E05A5"/>
    <w:rsid w:val="008E07EB"/>
    <w:rsid w:val="008E0B8A"/>
    <w:rsid w:val="008E0D56"/>
    <w:rsid w:val="008E0D5C"/>
    <w:rsid w:val="008E0D6A"/>
    <w:rsid w:val="008E1525"/>
    <w:rsid w:val="008E153D"/>
    <w:rsid w:val="008E37D6"/>
    <w:rsid w:val="008E43CD"/>
    <w:rsid w:val="008E46CB"/>
    <w:rsid w:val="008E473F"/>
    <w:rsid w:val="008E488A"/>
    <w:rsid w:val="008E4961"/>
    <w:rsid w:val="008E4C0B"/>
    <w:rsid w:val="008E54A9"/>
    <w:rsid w:val="008E5E5C"/>
    <w:rsid w:val="008E656E"/>
    <w:rsid w:val="008E68EE"/>
    <w:rsid w:val="008E7DA2"/>
    <w:rsid w:val="008F037D"/>
    <w:rsid w:val="008F0771"/>
    <w:rsid w:val="008F0A9D"/>
    <w:rsid w:val="008F1997"/>
    <w:rsid w:val="008F1FD2"/>
    <w:rsid w:val="008F2370"/>
    <w:rsid w:val="008F2747"/>
    <w:rsid w:val="008F2BA6"/>
    <w:rsid w:val="008F2E29"/>
    <w:rsid w:val="008F3EB0"/>
    <w:rsid w:val="008F4143"/>
    <w:rsid w:val="008F41EA"/>
    <w:rsid w:val="008F48D5"/>
    <w:rsid w:val="008F48EC"/>
    <w:rsid w:val="008F4A61"/>
    <w:rsid w:val="008F4F9D"/>
    <w:rsid w:val="008F5BCD"/>
    <w:rsid w:val="008F607D"/>
    <w:rsid w:val="008F616E"/>
    <w:rsid w:val="008F68E5"/>
    <w:rsid w:val="008F6939"/>
    <w:rsid w:val="008F71A5"/>
    <w:rsid w:val="008F7B76"/>
    <w:rsid w:val="00900089"/>
    <w:rsid w:val="009001B4"/>
    <w:rsid w:val="009014D7"/>
    <w:rsid w:val="00901B22"/>
    <w:rsid w:val="0090242B"/>
    <w:rsid w:val="00902B05"/>
    <w:rsid w:val="00902C38"/>
    <w:rsid w:val="00902DCB"/>
    <w:rsid w:val="009031DF"/>
    <w:rsid w:val="0090347E"/>
    <w:rsid w:val="0090348B"/>
    <w:rsid w:val="0090356D"/>
    <w:rsid w:val="00904197"/>
    <w:rsid w:val="009067FE"/>
    <w:rsid w:val="009069ED"/>
    <w:rsid w:val="00906C3E"/>
    <w:rsid w:val="00906E2B"/>
    <w:rsid w:val="00907766"/>
    <w:rsid w:val="00907812"/>
    <w:rsid w:val="00907ABB"/>
    <w:rsid w:val="00907E9C"/>
    <w:rsid w:val="0091089A"/>
    <w:rsid w:val="00911275"/>
    <w:rsid w:val="009118EA"/>
    <w:rsid w:val="00911F18"/>
    <w:rsid w:val="009122E1"/>
    <w:rsid w:val="009123F4"/>
    <w:rsid w:val="00913198"/>
    <w:rsid w:val="009133C5"/>
    <w:rsid w:val="00913DA2"/>
    <w:rsid w:val="009142F2"/>
    <w:rsid w:val="009146D6"/>
    <w:rsid w:val="009150AB"/>
    <w:rsid w:val="00915559"/>
    <w:rsid w:val="00915ADA"/>
    <w:rsid w:val="00915ED4"/>
    <w:rsid w:val="0091604D"/>
    <w:rsid w:val="00917650"/>
    <w:rsid w:val="00917A54"/>
    <w:rsid w:val="009216D0"/>
    <w:rsid w:val="0092193B"/>
    <w:rsid w:val="009219D8"/>
    <w:rsid w:val="0092233B"/>
    <w:rsid w:val="00922525"/>
    <w:rsid w:val="00922BB6"/>
    <w:rsid w:val="0092388B"/>
    <w:rsid w:val="0092397A"/>
    <w:rsid w:val="00923F8A"/>
    <w:rsid w:val="00924723"/>
    <w:rsid w:val="00924BB4"/>
    <w:rsid w:val="00925667"/>
    <w:rsid w:val="00926026"/>
    <w:rsid w:val="0092660D"/>
    <w:rsid w:val="00926B3C"/>
    <w:rsid w:val="009270BD"/>
    <w:rsid w:val="00927736"/>
    <w:rsid w:val="00930075"/>
    <w:rsid w:val="0093074B"/>
    <w:rsid w:val="00930E5E"/>
    <w:rsid w:val="00930E89"/>
    <w:rsid w:val="00930FFF"/>
    <w:rsid w:val="009310E8"/>
    <w:rsid w:val="00931390"/>
    <w:rsid w:val="0093175A"/>
    <w:rsid w:val="0093184A"/>
    <w:rsid w:val="00931A4A"/>
    <w:rsid w:val="00931F1A"/>
    <w:rsid w:val="00932051"/>
    <w:rsid w:val="0093230C"/>
    <w:rsid w:val="009325CB"/>
    <w:rsid w:val="0093320C"/>
    <w:rsid w:val="0093446E"/>
    <w:rsid w:val="009344F8"/>
    <w:rsid w:val="00936639"/>
    <w:rsid w:val="0093704C"/>
    <w:rsid w:val="0093750D"/>
    <w:rsid w:val="00937611"/>
    <w:rsid w:val="00937A8D"/>
    <w:rsid w:val="00937D49"/>
    <w:rsid w:val="009402E4"/>
    <w:rsid w:val="00940BD0"/>
    <w:rsid w:val="00940CB0"/>
    <w:rsid w:val="00940F8C"/>
    <w:rsid w:val="00941CD5"/>
    <w:rsid w:val="00942897"/>
    <w:rsid w:val="00943279"/>
    <w:rsid w:val="0094361A"/>
    <w:rsid w:val="0094373E"/>
    <w:rsid w:val="00943F0E"/>
    <w:rsid w:val="009469F3"/>
    <w:rsid w:val="00946A4D"/>
    <w:rsid w:val="00946B3D"/>
    <w:rsid w:val="00947BC5"/>
    <w:rsid w:val="0095003D"/>
    <w:rsid w:val="00950398"/>
    <w:rsid w:val="00950DC4"/>
    <w:rsid w:val="00952BF9"/>
    <w:rsid w:val="0095333F"/>
    <w:rsid w:val="00953C0E"/>
    <w:rsid w:val="009542A7"/>
    <w:rsid w:val="009547C6"/>
    <w:rsid w:val="009547E1"/>
    <w:rsid w:val="00954BEA"/>
    <w:rsid w:val="009553BE"/>
    <w:rsid w:val="009554D9"/>
    <w:rsid w:val="00955581"/>
    <w:rsid w:val="00955659"/>
    <w:rsid w:val="00955794"/>
    <w:rsid w:val="009557C0"/>
    <w:rsid w:val="00955CCF"/>
    <w:rsid w:val="00955D57"/>
    <w:rsid w:val="0095608C"/>
    <w:rsid w:val="00956122"/>
    <w:rsid w:val="0095750F"/>
    <w:rsid w:val="00957984"/>
    <w:rsid w:val="00957C9C"/>
    <w:rsid w:val="00957CCF"/>
    <w:rsid w:val="00960ABE"/>
    <w:rsid w:val="00961A2A"/>
    <w:rsid w:val="009624AB"/>
    <w:rsid w:val="00962698"/>
    <w:rsid w:val="00962882"/>
    <w:rsid w:val="00962DE8"/>
    <w:rsid w:val="009638B9"/>
    <w:rsid w:val="00963BBD"/>
    <w:rsid w:val="00963CB8"/>
    <w:rsid w:val="00964238"/>
    <w:rsid w:val="009644D1"/>
    <w:rsid w:val="009647DE"/>
    <w:rsid w:val="00964BE6"/>
    <w:rsid w:val="0096585E"/>
    <w:rsid w:val="00965976"/>
    <w:rsid w:val="00966B87"/>
    <w:rsid w:val="00966FF1"/>
    <w:rsid w:val="009674F8"/>
    <w:rsid w:val="00967D4D"/>
    <w:rsid w:val="009703F4"/>
    <w:rsid w:val="00970B1E"/>
    <w:rsid w:val="00970B3E"/>
    <w:rsid w:val="009714B5"/>
    <w:rsid w:val="009720C8"/>
    <w:rsid w:val="0097247E"/>
    <w:rsid w:val="00972A0B"/>
    <w:rsid w:val="00972E87"/>
    <w:rsid w:val="00972FFB"/>
    <w:rsid w:val="00973B06"/>
    <w:rsid w:val="00973C8C"/>
    <w:rsid w:val="00974005"/>
    <w:rsid w:val="0097461B"/>
    <w:rsid w:val="00974B73"/>
    <w:rsid w:val="00975675"/>
    <w:rsid w:val="009756F9"/>
    <w:rsid w:val="00975786"/>
    <w:rsid w:val="009768AF"/>
    <w:rsid w:val="00976E23"/>
    <w:rsid w:val="00977D7D"/>
    <w:rsid w:val="00980097"/>
    <w:rsid w:val="009800DE"/>
    <w:rsid w:val="00980163"/>
    <w:rsid w:val="00980442"/>
    <w:rsid w:val="00980F17"/>
    <w:rsid w:val="009812EC"/>
    <w:rsid w:val="00981BA8"/>
    <w:rsid w:val="0098362D"/>
    <w:rsid w:val="00983A8D"/>
    <w:rsid w:val="00984090"/>
    <w:rsid w:val="0098488C"/>
    <w:rsid w:val="00984E11"/>
    <w:rsid w:val="00985694"/>
    <w:rsid w:val="009859BA"/>
    <w:rsid w:val="009861DE"/>
    <w:rsid w:val="0098677C"/>
    <w:rsid w:val="00986D28"/>
    <w:rsid w:val="009870DC"/>
    <w:rsid w:val="009874C6"/>
    <w:rsid w:val="00987D5D"/>
    <w:rsid w:val="00990AD5"/>
    <w:rsid w:val="00990AFA"/>
    <w:rsid w:val="00990DC7"/>
    <w:rsid w:val="00991455"/>
    <w:rsid w:val="00991943"/>
    <w:rsid w:val="00991F3D"/>
    <w:rsid w:val="00992878"/>
    <w:rsid w:val="00993701"/>
    <w:rsid w:val="00994D25"/>
    <w:rsid w:val="00994F12"/>
    <w:rsid w:val="009951D9"/>
    <w:rsid w:val="0099542A"/>
    <w:rsid w:val="00995791"/>
    <w:rsid w:val="0099583A"/>
    <w:rsid w:val="00995B93"/>
    <w:rsid w:val="0099603D"/>
    <w:rsid w:val="0099613E"/>
    <w:rsid w:val="009965C2"/>
    <w:rsid w:val="009966DE"/>
    <w:rsid w:val="00996920"/>
    <w:rsid w:val="00996D5D"/>
    <w:rsid w:val="00996FAD"/>
    <w:rsid w:val="00997733"/>
    <w:rsid w:val="00997779"/>
    <w:rsid w:val="0099798A"/>
    <w:rsid w:val="009A1253"/>
    <w:rsid w:val="009A146B"/>
    <w:rsid w:val="009A1487"/>
    <w:rsid w:val="009A169E"/>
    <w:rsid w:val="009A1710"/>
    <w:rsid w:val="009A2705"/>
    <w:rsid w:val="009A2E96"/>
    <w:rsid w:val="009A3A13"/>
    <w:rsid w:val="009A449D"/>
    <w:rsid w:val="009A4AA5"/>
    <w:rsid w:val="009A50F7"/>
    <w:rsid w:val="009A521B"/>
    <w:rsid w:val="009A550A"/>
    <w:rsid w:val="009A5771"/>
    <w:rsid w:val="009A5986"/>
    <w:rsid w:val="009A5B9F"/>
    <w:rsid w:val="009A5E58"/>
    <w:rsid w:val="009A63B2"/>
    <w:rsid w:val="009A660E"/>
    <w:rsid w:val="009A75A1"/>
    <w:rsid w:val="009A7C56"/>
    <w:rsid w:val="009B0D2F"/>
    <w:rsid w:val="009B18EE"/>
    <w:rsid w:val="009B1FDE"/>
    <w:rsid w:val="009B2808"/>
    <w:rsid w:val="009B3976"/>
    <w:rsid w:val="009B39C7"/>
    <w:rsid w:val="009B43BD"/>
    <w:rsid w:val="009B4C98"/>
    <w:rsid w:val="009B4F20"/>
    <w:rsid w:val="009B51AD"/>
    <w:rsid w:val="009B5720"/>
    <w:rsid w:val="009B5D12"/>
    <w:rsid w:val="009B5D7C"/>
    <w:rsid w:val="009B5EAB"/>
    <w:rsid w:val="009B6C36"/>
    <w:rsid w:val="009B6D03"/>
    <w:rsid w:val="009B70F2"/>
    <w:rsid w:val="009B7A21"/>
    <w:rsid w:val="009C00AD"/>
    <w:rsid w:val="009C0E39"/>
    <w:rsid w:val="009C134E"/>
    <w:rsid w:val="009C14C5"/>
    <w:rsid w:val="009C1C95"/>
    <w:rsid w:val="009C1DCF"/>
    <w:rsid w:val="009C1E6B"/>
    <w:rsid w:val="009C29FE"/>
    <w:rsid w:val="009C2A78"/>
    <w:rsid w:val="009C2D14"/>
    <w:rsid w:val="009C30B2"/>
    <w:rsid w:val="009C34DD"/>
    <w:rsid w:val="009C4627"/>
    <w:rsid w:val="009C505E"/>
    <w:rsid w:val="009C5DAB"/>
    <w:rsid w:val="009C6E73"/>
    <w:rsid w:val="009C7363"/>
    <w:rsid w:val="009C7860"/>
    <w:rsid w:val="009D06AA"/>
    <w:rsid w:val="009D1B7E"/>
    <w:rsid w:val="009D1C73"/>
    <w:rsid w:val="009D1D13"/>
    <w:rsid w:val="009D2857"/>
    <w:rsid w:val="009D364D"/>
    <w:rsid w:val="009D42A7"/>
    <w:rsid w:val="009D5397"/>
    <w:rsid w:val="009D5692"/>
    <w:rsid w:val="009D5801"/>
    <w:rsid w:val="009D5D0E"/>
    <w:rsid w:val="009D5DF8"/>
    <w:rsid w:val="009D6533"/>
    <w:rsid w:val="009D65C2"/>
    <w:rsid w:val="009D6BDF"/>
    <w:rsid w:val="009D6C98"/>
    <w:rsid w:val="009D6F63"/>
    <w:rsid w:val="009D7EF8"/>
    <w:rsid w:val="009E08DF"/>
    <w:rsid w:val="009E0B22"/>
    <w:rsid w:val="009E0D87"/>
    <w:rsid w:val="009E10E6"/>
    <w:rsid w:val="009E13DF"/>
    <w:rsid w:val="009E16BA"/>
    <w:rsid w:val="009E1768"/>
    <w:rsid w:val="009E1B9D"/>
    <w:rsid w:val="009E26F4"/>
    <w:rsid w:val="009E2A2F"/>
    <w:rsid w:val="009E2B55"/>
    <w:rsid w:val="009E2CEF"/>
    <w:rsid w:val="009E4391"/>
    <w:rsid w:val="009E4398"/>
    <w:rsid w:val="009E4566"/>
    <w:rsid w:val="009E46AF"/>
    <w:rsid w:val="009E4B47"/>
    <w:rsid w:val="009E4C9D"/>
    <w:rsid w:val="009E5822"/>
    <w:rsid w:val="009E5BC3"/>
    <w:rsid w:val="009E5CA4"/>
    <w:rsid w:val="009E5F4A"/>
    <w:rsid w:val="009E6D0D"/>
    <w:rsid w:val="009E6E1B"/>
    <w:rsid w:val="009E7639"/>
    <w:rsid w:val="009E77AE"/>
    <w:rsid w:val="009E797A"/>
    <w:rsid w:val="009F02D1"/>
    <w:rsid w:val="009F297A"/>
    <w:rsid w:val="009F3201"/>
    <w:rsid w:val="009F3B57"/>
    <w:rsid w:val="009F465D"/>
    <w:rsid w:val="009F4719"/>
    <w:rsid w:val="009F491B"/>
    <w:rsid w:val="009F4FAF"/>
    <w:rsid w:val="009F5450"/>
    <w:rsid w:val="009F69E9"/>
    <w:rsid w:val="009F775A"/>
    <w:rsid w:val="00A006D7"/>
    <w:rsid w:val="00A009C9"/>
    <w:rsid w:val="00A00CC0"/>
    <w:rsid w:val="00A01187"/>
    <w:rsid w:val="00A01389"/>
    <w:rsid w:val="00A015AE"/>
    <w:rsid w:val="00A02CEE"/>
    <w:rsid w:val="00A03377"/>
    <w:rsid w:val="00A034CC"/>
    <w:rsid w:val="00A043EE"/>
    <w:rsid w:val="00A048EC"/>
    <w:rsid w:val="00A0491A"/>
    <w:rsid w:val="00A04E83"/>
    <w:rsid w:val="00A05394"/>
    <w:rsid w:val="00A05691"/>
    <w:rsid w:val="00A06095"/>
    <w:rsid w:val="00A068F1"/>
    <w:rsid w:val="00A06ACB"/>
    <w:rsid w:val="00A075EE"/>
    <w:rsid w:val="00A0799B"/>
    <w:rsid w:val="00A07CC9"/>
    <w:rsid w:val="00A07D85"/>
    <w:rsid w:val="00A101D0"/>
    <w:rsid w:val="00A10B69"/>
    <w:rsid w:val="00A11BE8"/>
    <w:rsid w:val="00A11BEC"/>
    <w:rsid w:val="00A1244B"/>
    <w:rsid w:val="00A12978"/>
    <w:rsid w:val="00A12B6A"/>
    <w:rsid w:val="00A12DA0"/>
    <w:rsid w:val="00A12EBE"/>
    <w:rsid w:val="00A1342D"/>
    <w:rsid w:val="00A1371A"/>
    <w:rsid w:val="00A13A35"/>
    <w:rsid w:val="00A13F4E"/>
    <w:rsid w:val="00A142E0"/>
    <w:rsid w:val="00A145C5"/>
    <w:rsid w:val="00A148CA"/>
    <w:rsid w:val="00A15639"/>
    <w:rsid w:val="00A158DB"/>
    <w:rsid w:val="00A15B74"/>
    <w:rsid w:val="00A15F1E"/>
    <w:rsid w:val="00A15F48"/>
    <w:rsid w:val="00A1606E"/>
    <w:rsid w:val="00A16211"/>
    <w:rsid w:val="00A162D9"/>
    <w:rsid w:val="00A16482"/>
    <w:rsid w:val="00A167CA"/>
    <w:rsid w:val="00A176BA"/>
    <w:rsid w:val="00A17A9C"/>
    <w:rsid w:val="00A17C63"/>
    <w:rsid w:val="00A20397"/>
    <w:rsid w:val="00A208A5"/>
    <w:rsid w:val="00A20A46"/>
    <w:rsid w:val="00A2182C"/>
    <w:rsid w:val="00A21952"/>
    <w:rsid w:val="00A21A1F"/>
    <w:rsid w:val="00A21C38"/>
    <w:rsid w:val="00A21C48"/>
    <w:rsid w:val="00A2269E"/>
    <w:rsid w:val="00A22E9F"/>
    <w:rsid w:val="00A23588"/>
    <w:rsid w:val="00A249DB"/>
    <w:rsid w:val="00A25488"/>
    <w:rsid w:val="00A25989"/>
    <w:rsid w:val="00A25B1F"/>
    <w:rsid w:val="00A26630"/>
    <w:rsid w:val="00A26CD8"/>
    <w:rsid w:val="00A27A2E"/>
    <w:rsid w:val="00A27CA4"/>
    <w:rsid w:val="00A27FC2"/>
    <w:rsid w:val="00A30383"/>
    <w:rsid w:val="00A30693"/>
    <w:rsid w:val="00A30816"/>
    <w:rsid w:val="00A30932"/>
    <w:rsid w:val="00A31A9E"/>
    <w:rsid w:val="00A31BEA"/>
    <w:rsid w:val="00A31DCE"/>
    <w:rsid w:val="00A3221B"/>
    <w:rsid w:val="00A32D8A"/>
    <w:rsid w:val="00A3302C"/>
    <w:rsid w:val="00A335AC"/>
    <w:rsid w:val="00A337A8"/>
    <w:rsid w:val="00A33C8E"/>
    <w:rsid w:val="00A34354"/>
    <w:rsid w:val="00A3487D"/>
    <w:rsid w:val="00A34913"/>
    <w:rsid w:val="00A3533E"/>
    <w:rsid w:val="00A3584E"/>
    <w:rsid w:val="00A36831"/>
    <w:rsid w:val="00A368E3"/>
    <w:rsid w:val="00A36E8A"/>
    <w:rsid w:val="00A37B25"/>
    <w:rsid w:val="00A37BFD"/>
    <w:rsid w:val="00A4022B"/>
    <w:rsid w:val="00A40D70"/>
    <w:rsid w:val="00A4111D"/>
    <w:rsid w:val="00A41467"/>
    <w:rsid w:val="00A414E6"/>
    <w:rsid w:val="00A415AB"/>
    <w:rsid w:val="00A41629"/>
    <w:rsid w:val="00A42D65"/>
    <w:rsid w:val="00A432EA"/>
    <w:rsid w:val="00A43F90"/>
    <w:rsid w:val="00A4408E"/>
    <w:rsid w:val="00A4424E"/>
    <w:rsid w:val="00A444A9"/>
    <w:rsid w:val="00A445EC"/>
    <w:rsid w:val="00A44C65"/>
    <w:rsid w:val="00A44CFF"/>
    <w:rsid w:val="00A44F04"/>
    <w:rsid w:val="00A45446"/>
    <w:rsid w:val="00A46194"/>
    <w:rsid w:val="00A461A3"/>
    <w:rsid w:val="00A4632E"/>
    <w:rsid w:val="00A5062B"/>
    <w:rsid w:val="00A507B4"/>
    <w:rsid w:val="00A50968"/>
    <w:rsid w:val="00A50F5F"/>
    <w:rsid w:val="00A51260"/>
    <w:rsid w:val="00A513E6"/>
    <w:rsid w:val="00A517D6"/>
    <w:rsid w:val="00A52247"/>
    <w:rsid w:val="00A530BF"/>
    <w:rsid w:val="00A53381"/>
    <w:rsid w:val="00A534CC"/>
    <w:rsid w:val="00A53612"/>
    <w:rsid w:val="00A53E04"/>
    <w:rsid w:val="00A54208"/>
    <w:rsid w:val="00A5454B"/>
    <w:rsid w:val="00A545F4"/>
    <w:rsid w:val="00A54B58"/>
    <w:rsid w:val="00A54BB4"/>
    <w:rsid w:val="00A54D8C"/>
    <w:rsid w:val="00A5528A"/>
    <w:rsid w:val="00A556EF"/>
    <w:rsid w:val="00A56731"/>
    <w:rsid w:val="00A56ADC"/>
    <w:rsid w:val="00A57F05"/>
    <w:rsid w:val="00A602A1"/>
    <w:rsid w:val="00A604F9"/>
    <w:rsid w:val="00A60A8D"/>
    <w:rsid w:val="00A60D49"/>
    <w:rsid w:val="00A61013"/>
    <w:rsid w:val="00A6114F"/>
    <w:rsid w:val="00A621DF"/>
    <w:rsid w:val="00A623D7"/>
    <w:rsid w:val="00A626CB"/>
    <w:rsid w:val="00A6358F"/>
    <w:rsid w:val="00A63724"/>
    <w:rsid w:val="00A63A06"/>
    <w:rsid w:val="00A63D04"/>
    <w:rsid w:val="00A644FC"/>
    <w:rsid w:val="00A6456C"/>
    <w:rsid w:val="00A648ED"/>
    <w:rsid w:val="00A64F66"/>
    <w:rsid w:val="00A65560"/>
    <w:rsid w:val="00A6569E"/>
    <w:rsid w:val="00A65F9D"/>
    <w:rsid w:val="00A66186"/>
    <w:rsid w:val="00A669D6"/>
    <w:rsid w:val="00A67252"/>
    <w:rsid w:val="00A67877"/>
    <w:rsid w:val="00A67A19"/>
    <w:rsid w:val="00A67F48"/>
    <w:rsid w:val="00A70653"/>
    <w:rsid w:val="00A707BB"/>
    <w:rsid w:val="00A712E1"/>
    <w:rsid w:val="00A7198B"/>
    <w:rsid w:val="00A72505"/>
    <w:rsid w:val="00A72513"/>
    <w:rsid w:val="00A73C71"/>
    <w:rsid w:val="00A73D5F"/>
    <w:rsid w:val="00A74564"/>
    <w:rsid w:val="00A7472D"/>
    <w:rsid w:val="00A750EA"/>
    <w:rsid w:val="00A76CC1"/>
    <w:rsid w:val="00A77976"/>
    <w:rsid w:val="00A80143"/>
    <w:rsid w:val="00A80829"/>
    <w:rsid w:val="00A819FC"/>
    <w:rsid w:val="00A82511"/>
    <w:rsid w:val="00A830F8"/>
    <w:rsid w:val="00A83289"/>
    <w:rsid w:val="00A83BA3"/>
    <w:rsid w:val="00A84DDA"/>
    <w:rsid w:val="00A856FB"/>
    <w:rsid w:val="00A860B2"/>
    <w:rsid w:val="00A867F0"/>
    <w:rsid w:val="00A87086"/>
    <w:rsid w:val="00A87602"/>
    <w:rsid w:val="00A876AD"/>
    <w:rsid w:val="00A87B42"/>
    <w:rsid w:val="00A87EB3"/>
    <w:rsid w:val="00A90582"/>
    <w:rsid w:val="00A906C3"/>
    <w:rsid w:val="00A90751"/>
    <w:rsid w:val="00A90DB5"/>
    <w:rsid w:val="00A90E5B"/>
    <w:rsid w:val="00A90EAE"/>
    <w:rsid w:val="00A91003"/>
    <w:rsid w:val="00A91576"/>
    <w:rsid w:val="00A91634"/>
    <w:rsid w:val="00A91FB9"/>
    <w:rsid w:val="00A920C8"/>
    <w:rsid w:val="00A9212E"/>
    <w:rsid w:val="00A92F3D"/>
    <w:rsid w:val="00A93049"/>
    <w:rsid w:val="00A93429"/>
    <w:rsid w:val="00A9361D"/>
    <w:rsid w:val="00A93D9B"/>
    <w:rsid w:val="00A93F61"/>
    <w:rsid w:val="00A93FCD"/>
    <w:rsid w:val="00A93FE6"/>
    <w:rsid w:val="00A9442C"/>
    <w:rsid w:val="00A944CF"/>
    <w:rsid w:val="00A955A4"/>
    <w:rsid w:val="00A955FB"/>
    <w:rsid w:val="00A95796"/>
    <w:rsid w:val="00A957C2"/>
    <w:rsid w:val="00A95989"/>
    <w:rsid w:val="00A95A09"/>
    <w:rsid w:val="00A95D18"/>
    <w:rsid w:val="00A963C6"/>
    <w:rsid w:val="00A96421"/>
    <w:rsid w:val="00A96B32"/>
    <w:rsid w:val="00A97625"/>
    <w:rsid w:val="00A97691"/>
    <w:rsid w:val="00A97A3E"/>
    <w:rsid w:val="00AA068E"/>
    <w:rsid w:val="00AA0782"/>
    <w:rsid w:val="00AA0B6A"/>
    <w:rsid w:val="00AA20DE"/>
    <w:rsid w:val="00AA23D6"/>
    <w:rsid w:val="00AA26F3"/>
    <w:rsid w:val="00AA26FA"/>
    <w:rsid w:val="00AA291E"/>
    <w:rsid w:val="00AA2956"/>
    <w:rsid w:val="00AA2CBA"/>
    <w:rsid w:val="00AA2E32"/>
    <w:rsid w:val="00AA2F92"/>
    <w:rsid w:val="00AA35CE"/>
    <w:rsid w:val="00AA75B1"/>
    <w:rsid w:val="00AA7D46"/>
    <w:rsid w:val="00AA7EA8"/>
    <w:rsid w:val="00AB1191"/>
    <w:rsid w:val="00AB159F"/>
    <w:rsid w:val="00AB175F"/>
    <w:rsid w:val="00AB1A07"/>
    <w:rsid w:val="00AB2149"/>
    <w:rsid w:val="00AB2A1D"/>
    <w:rsid w:val="00AB36D5"/>
    <w:rsid w:val="00AB41EE"/>
    <w:rsid w:val="00AB50BD"/>
    <w:rsid w:val="00AB548B"/>
    <w:rsid w:val="00AB5950"/>
    <w:rsid w:val="00AB5A7B"/>
    <w:rsid w:val="00AB5CE4"/>
    <w:rsid w:val="00AB6A7D"/>
    <w:rsid w:val="00AB78BB"/>
    <w:rsid w:val="00AB7F9B"/>
    <w:rsid w:val="00AC0696"/>
    <w:rsid w:val="00AC0CD5"/>
    <w:rsid w:val="00AC2511"/>
    <w:rsid w:val="00AC2962"/>
    <w:rsid w:val="00AC3117"/>
    <w:rsid w:val="00AC34EF"/>
    <w:rsid w:val="00AC3D2F"/>
    <w:rsid w:val="00AC3F80"/>
    <w:rsid w:val="00AC53BA"/>
    <w:rsid w:val="00AC5B92"/>
    <w:rsid w:val="00AC6EC2"/>
    <w:rsid w:val="00AC77CF"/>
    <w:rsid w:val="00AC7B16"/>
    <w:rsid w:val="00AC7BE9"/>
    <w:rsid w:val="00AC7E64"/>
    <w:rsid w:val="00AD0B16"/>
    <w:rsid w:val="00AD0C9B"/>
    <w:rsid w:val="00AD0D1C"/>
    <w:rsid w:val="00AD0E47"/>
    <w:rsid w:val="00AD1B10"/>
    <w:rsid w:val="00AD1DFD"/>
    <w:rsid w:val="00AD1EE6"/>
    <w:rsid w:val="00AD25BD"/>
    <w:rsid w:val="00AD28B2"/>
    <w:rsid w:val="00AD2BE5"/>
    <w:rsid w:val="00AD34C4"/>
    <w:rsid w:val="00AD3B1C"/>
    <w:rsid w:val="00AD4D8F"/>
    <w:rsid w:val="00AD5075"/>
    <w:rsid w:val="00AD511A"/>
    <w:rsid w:val="00AD69BC"/>
    <w:rsid w:val="00AD6E47"/>
    <w:rsid w:val="00AD7640"/>
    <w:rsid w:val="00AE01F2"/>
    <w:rsid w:val="00AE04AD"/>
    <w:rsid w:val="00AE05AA"/>
    <w:rsid w:val="00AE095E"/>
    <w:rsid w:val="00AE0F78"/>
    <w:rsid w:val="00AE1195"/>
    <w:rsid w:val="00AE17A9"/>
    <w:rsid w:val="00AE2247"/>
    <w:rsid w:val="00AE2DDC"/>
    <w:rsid w:val="00AE2F41"/>
    <w:rsid w:val="00AE30CF"/>
    <w:rsid w:val="00AE4292"/>
    <w:rsid w:val="00AE447B"/>
    <w:rsid w:val="00AE4AB6"/>
    <w:rsid w:val="00AE54F8"/>
    <w:rsid w:val="00AE54FD"/>
    <w:rsid w:val="00AE640A"/>
    <w:rsid w:val="00AE6567"/>
    <w:rsid w:val="00AE6E6F"/>
    <w:rsid w:val="00AE6E8E"/>
    <w:rsid w:val="00AE73D8"/>
    <w:rsid w:val="00AE7647"/>
    <w:rsid w:val="00AE78BE"/>
    <w:rsid w:val="00AF0D4A"/>
    <w:rsid w:val="00AF0F3D"/>
    <w:rsid w:val="00AF1D1F"/>
    <w:rsid w:val="00AF1F9A"/>
    <w:rsid w:val="00AF2655"/>
    <w:rsid w:val="00AF325E"/>
    <w:rsid w:val="00AF333F"/>
    <w:rsid w:val="00AF3DDB"/>
    <w:rsid w:val="00AF4C26"/>
    <w:rsid w:val="00AF4C82"/>
    <w:rsid w:val="00AF5E91"/>
    <w:rsid w:val="00AF5F56"/>
    <w:rsid w:val="00AF6309"/>
    <w:rsid w:val="00AF708F"/>
    <w:rsid w:val="00AF7E96"/>
    <w:rsid w:val="00B00291"/>
    <w:rsid w:val="00B005DB"/>
    <w:rsid w:val="00B007C3"/>
    <w:rsid w:val="00B0144A"/>
    <w:rsid w:val="00B01F34"/>
    <w:rsid w:val="00B02178"/>
    <w:rsid w:val="00B021FF"/>
    <w:rsid w:val="00B02EF7"/>
    <w:rsid w:val="00B036BD"/>
    <w:rsid w:val="00B03B10"/>
    <w:rsid w:val="00B03B35"/>
    <w:rsid w:val="00B03F1D"/>
    <w:rsid w:val="00B04726"/>
    <w:rsid w:val="00B04983"/>
    <w:rsid w:val="00B049B8"/>
    <w:rsid w:val="00B04F06"/>
    <w:rsid w:val="00B051DA"/>
    <w:rsid w:val="00B0551E"/>
    <w:rsid w:val="00B05950"/>
    <w:rsid w:val="00B05988"/>
    <w:rsid w:val="00B05CA1"/>
    <w:rsid w:val="00B0604B"/>
    <w:rsid w:val="00B063CA"/>
    <w:rsid w:val="00B0720E"/>
    <w:rsid w:val="00B076AB"/>
    <w:rsid w:val="00B07943"/>
    <w:rsid w:val="00B07D48"/>
    <w:rsid w:val="00B1048D"/>
    <w:rsid w:val="00B1058B"/>
    <w:rsid w:val="00B10770"/>
    <w:rsid w:val="00B10B12"/>
    <w:rsid w:val="00B12027"/>
    <w:rsid w:val="00B12A1E"/>
    <w:rsid w:val="00B12EF0"/>
    <w:rsid w:val="00B13837"/>
    <w:rsid w:val="00B143E2"/>
    <w:rsid w:val="00B14B63"/>
    <w:rsid w:val="00B14B76"/>
    <w:rsid w:val="00B15520"/>
    <w:rsid w:val="00B15600"/>
    <w:rsid w:val="00B15777"/>
    <w:rsid w:val="00B15924"/>
    <w:rsid w:val="00B15ECB"/>
    <w:rsid w:val="00B15F18"/>
    <w:rsid w:val="00B16984"/>
    <w:rsid w:val="00B169F6"/>
    <w:rsid w:val="00B17B65"/>
    <w:rsid w:val="00B205FC"/>
    <w:rsid w:val="00B2063E"/>
    <w:rsid w:val="00B20A3C"/>
    <w:rsid w:val="00B2134F"/>
    <w:rsid w:val="00B2161E"/>
    <w:rsid w:val="00B2165C"/>
    <w:rsid w:val="00B21959"/>
    <w:rsid w:val="00B21C33"/>
    <w:rsid w:val="00B22997"/>
    <w:rsid w:val="00B22A7B"/>
    <w:rsid w:val="00B22ACE"/>
    <w:rsid w:val="00B23139"/>
    <w:rsid w:val="00B2370C"/>
    <w:rsid w:val="00B23D51"/>
    <w:rsid w:val="00B24697"/>
    <w:rsid w:val="00B24C07"/>
    <w:rsid w:val="00B26181"/>
    <w:rsid w:val="00B26957"/>
    <w:rsid w:val="00B271A8"/>
    <w:rsid w:val="00B275A7"/>
    <w:rsid w:val="00B30379"/>
    <w:rsid w:val="00B30D36"/>
    <w:rsid w:val="00B3239D"/>
    <w:rsid w:val="00B32828"/>
    <w:rsid w:val="00B3309C"/>
    <w:rsid w:val="00B33211"/>
    <w:rsid w:val="00B3337E"/>
    <w:rsid w:val="00B33A98"/>
    <w:rsid w:val="00B34256"/>
    <w:rsid w:val="00B3498F"/>
    <w:rsid w:val="00B35107"/>
    <w:rsid w:val="00B3540B"/>
    <w:rsid w:val="00B3549A"/>
    <w:rsid w:val="00B35643"/>
    <w:rsid w:val="00B37052"/>
    <w:rsid w:val="00B37405"/>
    <w:rsid w:val="00B37B21"/>
    <w:rsid w:val="00B404F2"/>
    <w:rsid w:val="00B40571"/>
    <w:rsid w:val="00B40CA0"/>
    <w:rsid w:val="00B41438"/>
    <w:rsid w:val="00B41B37"/>
    <w:rsid w:val="00B41D75"/>
    <w:rsid w:val="00B41E51"/>
    <w:rsid w:val="00B42BE3"/>
    <w:rsid w:val="00B42C7C"/>
    <w:rsid w:val="00B43524"/>
    <w:rsid w:val="00B43F5C"/>
    <w:rsid w:val="00B45062"/>
    <w:rsid w:val="00B45111"/>
    <w:rsid w:val="00B459C0"/>
    <w:rsid w:val="00B45C82"/>
    <w:rsid w:val="00B45F8C"/>
    <w:rsid w:val="00B4628A"/>
    <w:rsid w:val="00B464E4"/>
    <w:rsid w:val="00B465BB"/>
    <w:rsid w:val="00B46D39"/>
    <w:rsid w:val="00B47720"/>
    <w:rsid w:val="00B47B54"/>
    <w:rsid w:val="00B50447"/>
    <w:rsid w:val="00B50690"/>
    <w:rsid w:val="00B50910"/>
    <w:rsid w:val="00B50987"/>
    <w:rsid w:val="00B50B05"/>
    <w:rsid w:val="00B50B85"/>
    <w:rsid w:val="00B515EC"/>
    <w:rsid w:val="00B5226E"/>
    <w:rsid w:val="00B52F6A"/>
    <w:rsid w:val="00B53621"/>
    <w:rsid w:val="00B53F37"/>
    <w:rsid w:val="00B545D2"/>
    <w:rsid w:val="00B54FC2"/>
    <w:rsid w:val="00B55200"/>
    <w:rsid w:val="00B56B29"/>
    <w:rsid w:val="00B5761F"/>
    <w:rsid w:val="00B577B4"/>
    <w:rsid w:val="00B57BEA"/>
    <w:rsid w:val="00B57C8C"/>
    <w:rsid w:val="00B609A1"/>
    <w:rsid w:val="00B61086"/>
    <w:rsid w:val="00B61A74"/>
    <w:rsid w:val="00B6223A"/>
    <w:rsid w:val="00B622BE"/>
    <w:rsid w:val="00B628E1"/>
    <w:rsid w:val="00B62C5E"/>
    <w:rsid w:val="00B63CF4"/>
    <w:rsid w:val="00B63D81"/>
    <w:rsid w:val="00B643B1"/>
    <w:rsid w:val="00B64D7E"/>
    <w:rsid w:val="00B66DB9"/>
    <w:rsid w:val="00B67489"/>
    <w:rsid w:val="00B67A46"/>
    <w:rsid w:val="00B67E3F"/>
    <w:rsid w:val="00B7060E"/>
    <w:rsid w:val="00B70D47"/>
    <w:rsid w:val="00B71091"/>
    <w:rsid w:val="00B711A0"/>
    <w:rsid w:val="00B71A91"/>
    <w:rsid w:val="00B72F10"/>
    <w:rsid w:val="00B731F8"/>
    <w:rsid w:val="00B738E3"/>
    <w:rsid w:val="00B74131"/>
    <w:rsid w:val="00B74B23"/>
    <w:rsid w:val="00B75B56"/>
    <w:rsid w:val="00B75B7E"/>
    <w:rsid w:val="00B763E8"/>
    <w:rsid w:val="00B77F5D"/>
    <w:rsid w:val="00B801EA"/>
    <w:rsid w:val="00B8030B"/>
    <w:rsid w:val="00B81AD0"/>
    <w:rsid w:val="00B81DE0"/>
    <w:rsid w:val="00B8250D"/>
    <w:rsid w:val="00B8257A"/>
    <w:rsid w:val="00B82C16"/>
    <w:rsid w:val="00B82F36"/>
    <w:rsid w:val="00B830D3"/>
    <w:rsid w:val="00B83E0C"/>
    <w:rsid w:val="00B83E85"/>
    <w:rsid w:val="00B83F14"/>
    <w:rsid w:val="00B84043"/>
    <w:rsid w:val="00B8414B"/>
    <w:rsid w:val="00B8491F"/>
    <w:rsid w:val="00B852E6"/>
    <w:rsid w:val="00B86320"/>
    <w:rsid w:val="00B86E7C"/>
    <w:rsid w:val="00B872EF"/>
    <w:rsid w:val="00B87897"/>
    <w:rsid w:val="00B87A7C"/>
    <w:rsid w:val="00B90482"/>
    <w:rsid w:val="00B906CC"/>
    <w:rsid w:val="00B906F5"/>
    <w:rsid w:val="00B90BB2"/>
    <w:rsid w:val="00B90F46"/>
    <w:rsid w:val="00B912AE"/>
    <w:rsid w:val="00B91579"/>
    <w:rsid w:val="00B91CFD"/>
    <w:rsid w:val="00B92138"/>
    <w:rsid w:val="00B92D24"/>
    <w:rsid w:val="00B92D54"/>
    <w:rsid w:val="00B93163"/>
    <w:rsid w:val="00B93410"/>
    <w:rsid w:val="00B936D6"/>
    <w:rsid w:val="00B93C0D"/>
    <w:rsid w:val="00B94271"/>
    <w:rsid w:val="00B944A1"/>
    <w:rsid w:val="00B94E97"/>
    <w:rsid w:val="00B95224"/>
    <w:rsid w:val="00B957F1"/>
    <w:rsid w:val="00B95830"/>
    <w:rsid w:val="00B96559"/>
    <w:rsid w:val="00B966EE"/>
    <w:rsid w:val="00B9761F"/>
    <w:rsid w:val="00B97825"/>
    <w:rsid w:val="00B97CAF"/>
    <w:rsid w:val="00BA01DB"/>
    <w:rsid w:val="00BA06A0"/>
    <w:rsid w:val="00BA08C2"/>
    <w:rsid w:val="00BA0FDA"/>
    <w:rsid w:val="00BA1163"/>
    <w:rsid w:val="00BA121D"/>
    <w:rsid w:val="00BA16F5"/>
    <w:rsid w:val="00BA201D"/>
    <w:rsid w:val="00BA2321"/>
    <w:rsid w:val="00BA2566"/>
    <w:rsid w:val="00BA32C6"/>
    <w:rsid w:val="00BA32DA"/>
    <w:rsid w:val="00BA484E"/>
    <w:rsid w:val="00BA485C"/>
    <w:rsid w:val="00BA4B84"/>
    <w:rsid w:val="00BA4E09"/>
    <w:rsid w:val="00BA558E"/>
    <w:rsid w:val="00BA6000"/>
    <w:rsid w:val="00BA6556"/>
    <w:rsid w:val="00BA7C01"/>
    <w:rsid w:val="00BB0973"/>
    <w:rsid w:val="00BB0A1C"/>
    <w:rsid w:val="00BB0BFE"/>
    <w:rsid w:val="00BB0D8A"/>
    <w:rsid w:val="00BB130A"/>
    <w:rsid w:val="00BB196C"/>
    <w:rsid w:val="00BB1F57"/>
    <w:rsid w:val="00BB24A9"/>
    <w:rsid w:val="00BB26E1"/>
    <w:rsid w:val="00BB2931"/>
    <w:rsid w:val="00BB2ADF"/>
    <w:rsid w:val="00BB3CC3"/>
    <w:rsid w:val="00BB410C"/>
    <w:rsid w:val="00BB4369"/>
    <w:rsid w:val="00BB43C2"/>
    <w:rsid w:val="00BB44AA"/>
    <w:rsid w:val="00BB4549"/>
    <w:rsid w:val="00BB458B"/>
    <w:rsid w:val="00BB4B89"/>
    <w:rsid w:val="00BB4BBB"/>
    <w:rsid w:val="00BB4E55"/>
    <w:rsid w:val="00BB576B"/>
    <w:rsid w:val="00BB598F"/>
    <w:rsid w:val="00BB59AA"/>
    <w:rsid w:val="00BB5C29"/>
    <w:rsid w:val="00BB63D2"/>
    <w:rsid w:val="00BB646F"/>
    <w:rsid w:val="00BB66B9"/>
    <w:rsid w:val="00BB6899"/>
    <w:rsid w:val="00BB6EAE"/>
    <w:rsid w:val="00BB72CD"/>
    <w:rsid w:val="00BC00C4"/>
    <w:rsid w:val="00BC2412"/>
    <w:rsid w:val="00BC254D"/>
    <w:rsid w:val="00BC2A9B"/>
    <w:rsid w:val="00BC3807"/>
    <w:rsid w:val="00BC3B9A"/>
    <w:rsid w:val="00BC3C06"/>
    <w:rsid w:val="00BC3E05"/>
    <w:rsid w:val="00BC4375"/>
    <w:rsid w:val="00BC4F99"/>
    <w:rsid w:val="00BC52FF"/>
    <w:rsid w:val="00BC54A6"/>
    <w:rsid w:val="00BD0239"/>
    <w:rsid w:val="00BD05CB"/>
    <w:rsid w:val="00BD0B50"/>
    <w:rsid w:val="00BD150B"/>
    <w:rsid w:val="00BD1650"/>
    <w:rsid w:val="00BD2926"/>
    <w:rsid w:val="00BD2AD1"/>
    <w:rsid w:val="00BD2B7A"/>
    <w:rsid w:val="00BD42B0"/>
    <w:rsid w:val="00BD4655"/>
    <w:rsid w:val="00BD4FB3"/>
    <w:rsid w:val="00BD6619"/>
    <w:rsid w:val="00BD6728"/>
    <w:rsid w:val="00BD689C"/>
    <w:rsid w:val="00BD754D"/>
    <w:rsid w:val="00BD771C"/>
    <w:rsid w:val="00BE0C6D"/>
    <w:rsid w:val="00BE16F5"/>
    <w:rsid w:val="00BE1BAC"/>
    <w:rsid w:val="00BE23EE"/>
    <w:rsid w:val="00BE2521"/>
    <w:rsid w:val="00BE2545"/>
    <w:rsid w:val="00BE3302"/>
    <w:rsid w:val="00BE4177"/>
    <w:rsid w:val="00BE41BB"/>
    <w:rsid w:val="00BE4A6D"/>
    <w:rsid w:val="00BE4C28"/>
    <w:rsid w:val="00BE5767"/>
    <w:rsid w:val="00BE5AAF"/>
    <w:rsid w:val="00BE6ADD"/>
    <w:rsid w:val="00BE6E05"/>
    <w:rsid w:val="00BE71A8"/>
    <w:rsid w:val="00BE7303"/>
    <w:rsid w:val="00BE76B6"/>
    <w:rsid w:val="00BF0121"/>
    <w:rsid w:val="00BF0188"/>
    <w:rsid w:val="00BF0360"/>
    <w:rsid w:val="00BF0F92"/>
    <w:rsid w:val="00BF0FE5"/>
    <w:rsid w:val="00BF1059"/>
    <w:rsid w:val="00BF1428"/>
    <w:rsid w:val="00BF2350"/>
    <w:rsid w:val="00BF2591"/>
    <w:rsid w:val="00BF3069"/>
    <w:rsid w:val="00BF39D3"/>
    <w:rsid w:val="00BF418C"/>
    <w:rsid w:val="00BF431A"/>
    <w:rsid w:val="00BF45E1"/>
    <w:rsid w:val="00BF47D9"/>
    <w:rsid w:val="00BF4828"/>
    <w:rsid w:val="00BF534C"/>
    <w:rsid w:val="00BF6742"/>
    <w:rsid w:val="00BF7327"/>
    <w:rsid w:val="00C005EB"/>
    <w:rsid w:val="00C01189"/>
    <w:rsid w:val="00C02323"/>
    <w:rsid w:val="00C03FED"/>
    <w:rsid w:val="00C0469F"/>
    <w:rsid w:val="00C057D1"/>
    <w:rsid w:val="00C05D41"/>
    <w:rsid w:val="00C07089"/>
    <w:rsid w:val="00C07160"/>
    <w:rsid w:val="00C07BA7"/>
    <w:rsid w:val="00C07C69"/>
    <w:rsid w:val="00C07EC0"/>
    <w:rsid w:val="00C1010C"/>
    <w:rsid w:val="00C10113"/>
    <w:rsid w:val="00C109D2"/>
    <w:rsid w:val="00C10AD8"/>
    <w:rsid w:val="00C10B2E"/>
    <w:rsid w:val="00C121A4"/>
    <w:rsid w:val="00C12B72"/>
    <w:rsid w:val="00C12CCD"/>
    <w:rsid w:val="00C13761"/>
    <w:rsid w:val="00C1392C"/>
    <w:rsid w:val="00C13B2A"/>
    <w:rsid w:val="00C13F37"/>
    <w:rsid w:val="00C15E72"/>
    <w:rsid w:val="00C16119"/>
    <w:rsid w:val="00C16298"/>
    <w:rsid w:val="00C16A5C"/>
    <w:rsid w:val="00C16C10"/>
    <w:rsid w:val="00C17052"/>
    <w:rsid w:val="00C178D5"/>
    <w:rsid w:val="00C17E28"/>
    <w:rsid w:val="00C201D3"/>
    <w:rsid w:val="00C21075"/>
    <w:rsid w:val="00C215E2"/>
    <w:rsid w:val="00C21C7A"/>
    <w:rsid w:val="00C21EE5"/>
    <w:rsid w:val="00C22270"/>
    <w:rsid w:val="00C2272E"/>
    <w:rsid w:val="00C235EF"/>
    <w:rsid w:val="00C23A58"/>
    <w:rsid w:val="00C258DB"/>
    <w:rsid w:val="00C261D3"/>
    <w:rsid w:val="00C26814"/>
    <w:rsid w:val="00C26900"/>
    <w:rsid w:val="00C26C6A"/>
    <w:rsid w:val="00C277D4"/>
    <w:rsid w:val="00C27E82"/>
    <w:rsid w:val="00C300C1"/>
    <w:rsid w:val="00C303B0"/>
    <w:rsid w:val="00C3093C"/>
    <w:rsid w:val="00C30D0F"/>
    <w:rsid w:val="00C30E11"/>
    <w:rsid w:val="00C31166"/>
    <w:rsid w:val="00C317C0"/>
    <w:rsid w:val="00C31877"/>
    <w:rsid w:val="00C31948"/>
    <w:rsid w:val="00C32144"/>
    <w:rsid w:val="00C32325"/>
    <w:rsid w:val="00C32854"/>
    <w:rsid w:val="00C349C3"/>
    <w:rsid w:val="00C355C3"/>
    <w:rsid w:val="00C36188"/>
    <w:rsid w:val="00C3640C"/>
    <w:rsid w:val="00C368D8"/>
    <w:rsid w:val="00C36A28"/>
    <w:rsid w:val="00C37AC9"/>
    <w:rsid w:val="00C404B9"/>
    <w:rsid w:val="00C40FA9"/>
    <w:rsid w:val="00C413F0"/>
    <w:rsid w:val="00C4196E"/>
    <w:rsid w:val="00C41AF5"/>
    <w:rsid w:val="00C41F64"/>
    <w:rsid w:val="00C42886"/>
    <w:rsid w:val="00C436A3"/>
    <w:rsid w:val="00C4386C"/>
    <w:rsid w:val="00C439F2"/>
    <w:rsid w:val="00C4490D"/>
    <w:rsid w:val="00C44913"/>
    <w:rsid w:val="00C45489"/>
    <w:rsid w:val="00C46288"/>
    <w:rsid w:val="00C4763D"/>
    <w:rsid w:val="00C47C8C"/>
    <w:rsid w:val="00C500CD"/>
    <w:rsid w:val="00C503D6"/>
    <w:rsid w:val="00C509B3"/>
    <w:rsid w:val="00C516DD"/>
    <w:rsid w:val="00C51E34"/>
    <w:rsid w:val="00C523EF"/>
    <w:rsid w:val="00C524E3"/>
    <w:rsid w:val="00C5265B"/>
    <w:rsid w:val="00C5265E"/>
    <w:rsid w:val="00C5315B"/>
    <w:rsid w:val="00C53844"/>
    <w:rsid w:val="00C538AD"/>
    <w:rsid w:val="00C53CD5"/>
    <w:rsid w:val="00C544C4"/>
    <w:rsid w:val="00C55656"/>
    <w:rsid w:val="00C559C4"/>
    <w:rsid w:val="00C5611D"/>
    <w:rsid w:val="00C569D6"/>
    <w:rsid w:val="00C5758D"/>
    <w:rsid w:val="00C60400"/>
    <w:rsid w:val="00C60557"/>
    <w:rsid w:val="00C61160"/>
    <w:rsid w:val="00C61190"/>
    <w:rsid w:val="00C61E43"/>
    <w:rsid w:val="00C623F5"/>
    <w:rsid w:val="00C63953"/>
    <w:rsid w:val="00C63F5D"/>
    <w:rsid w:val="00C6601B"/>
    <w:rsid w:val="00C662B7"/>
    <w:rsid w:val="00C664CB"/>
    <w:rsid w:val="00C666A6"/>
    <w:rsid w:val="00C66C08"/>
    <w:rsid w:val="00C672EF"/>
    <w:rsid w:val="00C679E4"/>
    <w:rsid w:val="00C70445"/>
    <w:rsid w:val="00C70796"/>
    <w:rsid w:val="00C70827"/>
    <w:rsid w:val="00C70B32"/>
    <w:rsid w:val="00C70D73"/>
    <w:rsid w:val="00C7117B"/>
    <w:rsid w:val="00C715DD"/>
    <w:rsid w:val="00C72FA5"/>
    <w:rsid w:val="00C735D7"/>
    <w:rsid w:val="00C73A1F"/>
    <w:rsid w:val="00C73A3C"/>
    <w:rsid w:val="00C73A85"/>
    <w:rsid w:val="00C744CC"/>
    <w:rsid w:val="00C74CD8"/>
    <w:rsid w:val="00C74D07"/>
    <w:rsid w:val="00C74D5A"/>
    <w:rsid w:val="00C75069"/>
    <w:rsid w:val="00C758A5"/>
    <w:rsid w:val="00C759CE"/>
    <w:rsid w:val="00C762B4"/>
    <w:rsid w:val="00C76340"/>
    <w:rsid w:val="00C7658B"/>
    <w:rsid w:val="00C76FEE"/>
    <w:rsid w:val="00C77134"/>
    <w:rsid w:val="00C81472"/>
    <w:rsid w:val="00C81869"/>
    <w:rsid w:val="00C8204F"/>
    <w:rsid w:val="00C824DC"/>
    <w:rsid w:val="00C829F7"/>
    <w:rsid w:val="00C83129"/>
    <w:rsid w:val="00C842D2"/>
    <w:rsid w:val="00C86607"/>
    <w:rsid w:val="00C86C51"/>
    <w:rsid w:val="00C8798D"/>
    <w:rsid w:val="00C87DBD"/>
    <w:rsid w:val="00C90348"/>
    <w:rsid w:val="00C90983"/>
    <w:rsid w:val="00C90B20"/>
    <w:rsid w:val="00C9167A"/>
    <w:rsid w:val="00C918D5"/>
    <w:rsid w:val="00C91C34"/>
    <w:rsid w:val="00C9225A"/>
    <w:rsid w:val="00C92AB6"/>
    <w:rsid w:val="00C9374F"/>
    <w:rsid w:val="00C93AF1"/>
    <w:rsid w:val="00C941F9"/>
    <w:rsid w:val="00C942A2"/>
    <w:rsid w:val="00C9581E"/>
    <w:rsid w:val="00C961ED"/>
    <w:rsid w:val="00C965FD"/>
    <w:rsid w:val="00C969A2"/>
    <w:rsid w:val="00C96E3B"/>
    <w:rsid w:val="00C97648"/>
    <w:rsid w:val="00C97784"/>
    <w:rsid w:val="00C97F48"/>
    <w:rsid w:val="00CA1880"/>
    <w:rsid w:val="00CA1926"/>
    <w:rsid w:val="00CA1C94"/>
    <w:rsid w:val="00CA1D14"/>
    <w:rsid w:val="00CA2A34"/>
    <w:rsid w:val="00CA2B2A"/>
    <w:rsid w:val="00CA348C"/>
    <w:rsid w:val="00CA39C6"/>
    <w:rsid w:val="00CA421F"/>
    <w:rsid w:val="00CA5C92"/>
    <w:rsid w:val="00CA6E37"/>
    <w:rsid w:val="00CA7361"/>
    <w:rsid w:val="00CA7524"/>
    <w:rsid w:val="00CA7ECB"/>
    <w:rsid w:val="00CB1310"/>
    <w:rsid w:val="00CB1A0B"/>
    <w:rsid w:val="00CB1CCE"/>
    <w:rsid w:val="00CB1E56"/>
    <w:rsid w:val="00CB229C"/>
    <w:rsid w:val="00CB31CA"/>
    <w:rsid w:val="00CB3AA7"/>
    <w:rsid w:val="00CB41BB"/>
    <w:rsid w:val="00CB4A0C"/>
    <w:rsid w:val="00CB4C5C"/>
    <w:rsid w:val="00CB569C"/>
    <w:rsid w:val="00CB56AD"/>
    <w:rsid w:val="00CB655F"/>
    <w:rsid w:val="00CB693C"/>
    <w:rsid w:val="00CB6A24"/>
    <w:rsid w:val="00CB6B91"/>
    <w:rsid w:val="00CB742D"/>
    <w:rsid w:val="00CB77FF"/>
    <w:rsid w:val="00CB7BF7"/>
    <w:rsid w:val="00CC0F5E"/>
    <w:rsid w:val="00CC1683"/>
    <w:rsid w:val="00CC1B98"/>
    <w:rsid w:val="00CC2426"/>
    <w:rsid w:val="00CC30D3"/>
    <w:rsid w:val="00CC31E6"/>
    <w:rsid w:val="00CC3322"/>
    <w:rsid w:val="00CC37A6"/>
    <w:rsid w:val="00CC3FFE"/>
    <w:rsid w:val="00CC4639"/>
    <w:rsid w:val="00CC4889"/>
    <w:rsid w:val="00CC4D00"/>
    <w:rsid w:val="00CC50CF"/>
    <w:rsid w:val="00CC6093"/>
    <w:rsid w:val="00CC7836"/>
    <w:rsid w:val="00CC78AF"/>
    <w:rsid w:val="00CC78B7"/>
    <w:rsid w:val="00CC7B10"/>
    <w:rsid w:val="00CD0E30"/>
    <w:rsid w:val="00CD217A"/>
    <w:rsid w:val="00CD2608"/>
    <w:rsid w:val="00CD2731"/>
    <w:rsid w:val="00CD2C5B"/>
    <w:rsid w:val="00CD2E30"/>
    <w:rsid w:val="00CD356D"/>
    <w:rsid w:val="00CD383D"/>
    <w:rsid w:val="00CD38E4"/>
    <w:rsid w:val="00CD3ACC"/>
    <w:rsid w:val="00CD3FA2"/>
    <w:rsid w:val="00CD41D7"/>
    <w:rsid w:val="00CD499A"/>
    <w:rsid w:val="00CD5262"/>
    <w:rsid w:val="00CD52DB"/>
    <w:rsid w:val="00CD5C2F"/>
    <w:rsid w:val="00CD6E53"/>
    <w:rsid w:val="00CD76BF"/>
    <w:rsid w:val="00CE08C4"/>
    <w:rsid w:val="00CE0984"/>
    <w:rsid w:val="00CE0E1B"/>
    <w:rsid w:val="00CE0E95"/>
    <w:rsid w:val="00CE10A9"/>
    <w:rsid w:val="00CE1DC5"/>
    <w:rsid w:val="00CE248F"/>
    <w:rsid w:val="00CE24E9"/>
    <w:rsid w:val="00CE27EB"/>
    <w:rsid w:val="00CE2829"/>
    <w:rsid w:val="00CE33FB"/>
    <w:rsid w:val="00CE3D3A"/>
    <w:rsid w:val="00CE3D7D"/>
    <w:rsid w:val="00CE57AB"/>
    <w:rsid w:val="00CE57D3"/>
    <w:rsid w:val="00CE5D7B"/>
    <w:rsid w:val="00CE6FBF"/>
    <w:rsid w:val="00CE7B04"/>
    <w:rsid w:val="00CE7B67"/>
    <w:rsid w:val="00CE7D14"/>
    <w:rsid w:val="00CE7FF9"/>
    <w:rsid w:val="00CF0B43"/>
    <w:rsid w:val="00CF0EC3"/>
    <w:rsid w:val="00CF0F30"/>
    <w:rsid w:val="00CF14A3"/>
    <w:rsid w:val="00CF14AF"/>
    <w:rsid w:val="00CF1BB9"/>
    <w:rsid w:val="00CF1C77"/>
    <w:rsid w:val="00CF21F4"/>
    <w:rsid w:val="00CF2202"/>
    <w:rsid w:val="00CF22EE"/>
    <w:rsid w:val="00CF2AA2"/>
    <w:rsid w:val="00CF3D3F"/>
    <w:rsid w:val="00CF3E13"/>
    <w:rsid w:val="00CF419F"/>
    <w:rsid w:val="00CF5C1E"/>
    <w:rsid w:val="00CF63C6"/>
    <w:rsid w:val="00CF6F71"/>
    <w:rsid w:val="00CF7439"/>
    <w:rsid w:val="00CF77DB"/>
    <w:rsid w:val="00CF791C"/>
    <w:rsid w:val="00CF7E72"/>
    <w:rsid w:val="00D0009C"/>
    <w:rsid w:val="00D000BC"/>
    <w:rsid w:val="00D0016E"/>
    <w:rsid w:val="00D00DAC"/>
    <w:rsid w:val="00D01EC7"/>
    <w:rsid w:val="00D038E6"/>
    <w:rsid w:val="00D0399F"/>
    <w:rsid w:val="00D046D8"/>
    <w:rsid w:val="00D04D3C"/>
    <w:rsid w:val="00D0564B"/>
    <w:rsid w:val="00D06BE0"/>
    <w:rsid w:val="00D10775"/>
    <w:rsid w:val="00D1109D"/>
    <w:rsid w:val="00D11CC7"/>
    <w:rsid w:val="00D11F72"/>
    <w:rsid w:val="00D1227D"/>
    <w:rsid w:val="00D12AC6"/>
    <w:rsid w:val="00D12F91"/>
    <w:rsid w:val="00D13520"/>
    <w:rsid w:val="00D135AC"/>
    <w:rsid w:val="00D13640"/>
    <w:rsid w:val="00D13D4B"/>
    <w:rsid w:val="00D13D6A"/>
    <w:rsid w:val="00D13FD5"/>
    <w:rsid w:val="00D14307"/>
    <w:rsid w:val="00D14C0B"/>
    <w:rsid w:val="00D14D41"/>
    <w:rsid w:val="00D15724"/>
    <w:rsid w:val="00D16052"/>
    <w:rsid w:val="00D163B2"/>
    <w:rsid w:val="00D163BF"/>
    <w:rsid w:val="00D16984"/>
    <w:rsid w:val="00D17420"/>
    <w:rsid w:val="00D17932"/>
    <w:rsid w:val="00D179A5"/>
    <w:rsid w:val="00D179F1"/>
    <w:rsid w:val="00D20904"/>
    <w:rsid w:val="00D2128A"/>
    <w:rsid w:val="00D21614"/>
    <w:rsid w:val="00D21DFB"/>
    <w:rsid w:val="00D221A8"/>
    <w:rsid w:val="00D22AC1"/>
    <w:rsid w:val="00D22F6A"/>
    <w:rsid w:val="00D2360E"/>
    <w:rsid w:val="00D23774"/>
    <w:rsid w:val="00D2498D"/>
    <w:rsid w:val="00D24C8C"/>
    <w:rsid w:val="00D24CE3"/>
    <w:rsid w:val="00D2515E"/>
    <w:rsid w:val="00D25A4D"/>
    <w:rsid w:val="00D266A3"/>
    <w:rsid w:val="00D266E0"/>
    <w:rsid w:val="00D26B6D"/>
    <w:rsid w:val="00D26BBA"/>
    <w:rsid w:val="00D301D1"/>
    <w:rsid w:val="00D3029E"/>
    <w:rsid w:val="00D3077D"/>
    <w:rsid w:val="00D3135A"/>
    <w:rsid w:val="00D3164E"/>
    <w:rsid w:val="00D325F4"/>
    <w:rsid w:val="00D3278A"/>
    <w:rsid w:val="00D34422"/>
    <w:rsid w:val="00D34B66"/>
    <w:rsid w:val="00D34B97"/>
    <w:rsid w:val="00D359FE"/>
    <w:rsid w:val="00D35A74"/>
    <w:rsid w:val="00D3623B"/>
    <w:rsid w:val="00D3644A"/>
    <w:rsid w:val="00D365E3"/>
    <w:rsid w:val="00D368E2"/>
    <w:rsid w:val="00D376E1"/>
    <w:rsid w:val="00D37BA8"/>
    <w:rsid w:val="00D40934"/>
    <w:rsid w:val="00D40B1C"/>
    <w:rsid w:val="00D40E27"/>
    <w:rsid w:val="00D41759"/>
    <w:rsid w:val="00D41A4F"/>
    <w:rsid w:val="00D41C3A"/>
    <w:rsid w:val="00D42701"/>
    <w:rsid w:val="00D42E7E"/>
    <w:rsid w:val="00D4330F"/>
    <w:rsid w:val="00D43594"/>
    <w:rsid w:val="00D44013"/>
    <w:rsid w:val="00D44426"/>
    <w:rsid w:val="00D44806"/>
    <w:rsid w:val="00D45050"/>
    <w:rsid w:val="00D454D1"/>
    <w:rsid w:val="00D4555F"/>
    <w:rsid w:val="00D45AA2"/>
    <w:rsid w:val="00D46435"/>
    <w:rsid w:val="00D46A78"/>
    <w:rsid w:val="00D46D4C"/>
    <w:rsid w:val="00D47159"/>
    <w:rsid w:val="00D474A7"/>
    <w:rsid w:val="00D47E1F"/>
    <w:rsid w:val="00D47F88"/>
    <w:rsid w:val="00D50403"/>
    <w:rsid w:val="00D50D0E"/>
    <w:rsid w:val="00D51480"/>
    <w:rsid w:val="00D51E2C"/>
    <w:rsid w:val="00D5236D"/>
    <w:rsid w:val="00D52472"/>
    <w:rsid w:val="00D52521"/>
    <w:rsid w:val="00D5525A"/>
    <w:rsid w:val="00D560F6"/>
    <w:rsid w:val="00D565B5"/>
    <w:rsid w:val="00D56CB5"/>
    <w:rsid w:val="00D56FBC"/>
    <w:rsid w:val="00D56FC7"/>
    <w:rsid w:val="00D573DE"/>
    <w:rsid w:val="00D57B93"/>
    <w:rsid w:val="00D60314"/>
    <w:rsid w:val="00D60349"/>
    <w:rsid w:val="00D603FD"/>
    <w:rsid w:val="00D60508"/>
    <w:rsid w:val="00D60C78"/>
    <w:rsid w:val="00D61C8C"/>
    <w:rsid w:val="00D621C5"/>
    <w:rsid w:val="00D621ED"/>
    <w:rsid w:val="00D622AD"/>
    <w:rsid w:val="00D62384"/>
    <w:rsid w:val="00D624D2"/>
    <w:rsid w:val="00D6305A"/>
    <w:rsid w:val="00D634F7"/>
    <w:rsid w:val="00D63A35"/>
    <w:rsid w:val="00D63C2C"/>
    <w:rsid w:val="00D640B5"/>
    <w:rsid w:val="00D64797"/>
    <w:rsid w:val="00D64B77"/>
    <w:rsid w:val="00D64DBD"/>
    <w:rsid w:val="00D64F0B"/>
    <w:rsid w:val="00D65317"/>
    <w:rsid w:val="00D65591"/>
    <w:rsid w:val="00D65A74"/>
    <w:rsid w:val="00D65E7F"/>
    <w:rsid w:val="00D65EAE"/>
    <w:rsid w:val="00D667AE"/>
    <w:rsid w:val="00D66EB6"/>
    <w:rsid w:val="00D67326"/>
    <w:rsid w:val="00D67908"/>
    <w:rsid w:val="00D67934"/>
    <w:rsid w:val="00D7086B"/>
    <w:rsid w:val="00D70887"/>
    <w:rsid w:val="00D70B2A"/>
    <w:rsid w:val="00D719AD"/>
    <w:rsid w:val="00D72795"/>
    <w:rsid w:val="00D747E7"/>
    <w:rsid w:val="00D747FD"/>
    <w:rsid w:val="00D74C73"/>
    <w:rsid w:val="00D74CFF"/>
    <w:rsid w:val="00D75A3B"/>
    <w:rsid w:val="00D76C14"/>
    <w:rsid w:val="00D76CD0"/>
    <w:rsid w:val="00D7731F"/>
    <w:rsid w:val="00D775D1"/>
    <w:rsid w:val="00D775E0"/>
    <w:rsid w:val="00D77E9A"/>
    <w:rsid w:val="00D80220"/>
    <w:rsid w:val="00D80852"/>
    <w:rsid w:val="00D80967"/>
    <w:rsid w:val="00D80E2D"/>
    <w:rsid w:val="00D811CE"/>
    <w:rsid w:val="00D81DBC"/>
    <w:rsid w:val="00D828A3"/>
    <w:rsid w:val="00D82B23"/>
    <w:rsid w:val="00D83189"/>
    <w:rsid w:val="00D83599"/>
    <w:rsid w:val="00D83A4B"/>
    <w:rsid w:val="00D83A57"/>
    <w:rsid w:val="00D83FC7"/>
    <w:rsid w:val="00D84B8C"/>
    <w:rsid w:val="00D84C9A"/>
    <w:rsid w:val="00D85158"/>
    <w:rsid w:val="00D85874"/>
    <w:rsid w:val="00D86AFE"/>
    <w:rsid w:val="00D87B69"/>
    <w:rsid w:val="00D87E9A"/>
    <w:rsid w:val="00D900D3"/>
    <w:rsid w:val="00D90482"/>
    <w:rsid w:val="00D9188C"/>
    <w:rsid w:val="00D91AEC"/>
    <w:rsid w:val="00D91B2D"/>
    <w:rsid w:val="00D92547"/>
    <w:rsid w:val="00D92BB6"/>
    <w:rsid w:val="00D92E80"/>
    <w:rsid w:val="00D92F9B"/>
    <w:rsid w:val="00D93073"/>
    <w:rsid w:val="00D9359F"/>
    <w:rsid w:val="00D93B11"/>
    <w:rsid w:val="00D93DA8"/>
    <w:rsid w:val="00D9463D"/>
    <w:rsid w:val="00D94F61"/>
    <w:rsid w:val="00D9523D"/>
    <w:rsid w:val="00D958C0"/>
    <w:rsid w:val="00D95D76"/>
    <w:rsid w:val="00D96070"/>
    <w:rsid w:val="00D9642E"/>
    <w:rsid w:val="00D96AB4"/>
    <w:rsid w:val="00DA0890"/>
    <w:rsid w:val="00DA09D4"/>
    <w:rsid w:val="00DA0AD3"/>
    <w:rsid w:val="00DA0BA1"/>
    <w:rsid w:val="00DA1067"/>
    <w:rsid w:val="00DA2A2E"/>
    <w:rsid w:val="00DA2ABD"/>
    <w:rsid w:val="00DA2E71"/>
    <w:rsid w:val="00DA3051"/>
    <w:rsid w:val="00DA3BDB"/>
    <w:rsid w:val="00DA462A"/>
    <w:rsid w:val="00DA4AFE"/>
    <w:rsid w:val="00DA4CA6"/>
    <w:rsid w:val="00DA5DA8"/>
    <w:rsid w:val="00DA6313"/>
    <w:rsid w:val="00DA6334"/>
    <w:rsid w:val="00DA68DE"/>
    <w:rsid w:val="00DA78B6"/>
    <w:rsid w:val="00DA7C4F"/>
    <w:rsid w:val="00DA7DF2"/>
    <w:rsid w:val="00DA7F85"/>
    <w:rsid w:val="00DB27BB"/>
    <w:rsid w:val="00DB2D40"/>
    <w:rsid w:val="00DB3927"/>
    <w:rsid w:val="00DB3C8C"/>
    <w:rsid w:val="00DB5DEB"/>
    <w:rsid w:val="00DB5F18"/>
    <w:rsid w:val="00DB6162"/>
    <w:rsid w:val="00DB6225"/>
    <w:rsid w:val="00DB6335"/>
    <w:rsid w:val="00DB6C95"/>
    <w:rsid w:val="00DC11F7"/>
    <w:rsid w:val="00DC13F5"/>
    <w:rsid w:val="00DC17EE"/>
    <w:rsid w:val="00DC181D"/>
    <w:rsid w:val="00DC360E"/>
    <w:rsid w:val="00DC3646"/>
    <w:rsid w:val="00DC37AC"/>
    <w:rsid w:val="00DC42EA"/>
    <w:rsid w:val="00DC4442"/>
    <w:rsid w:val="00DC511E"/>
    <w:rsid w:val="00DC5175"/>
    <w:rsid w:val="00DC51B6"/>
    <w:rsid w:val="00DC5446"/>
    <w:rsid w:val="00DC581E"/>
    <w:rsid w:val="00DC6106"/>
    <w:rsid w:val="00DC75CF"/>
    <w:rsid w:val="00DC7945"/>
    <w:rsid w:val="00DC7D9C"/>
    <w:rsid w:val="00DD0464"/>
    <w:rsid w:val="00DD110A"/>
    <w:rsid w:val="00DD1273"/>
    <w:rsid w:val="00DD1867"/>
    <w:rsid w:val="00DD1985"/>
    <w:rsid w:val="00DD23E0"/>
    <w:rsid w:val="00DD2A6E"/>
    <w:rsid w:val="00DD377A"/>
    <w:rsid w:val="00DD4079"/>
    <w:rsid w:val="00DD4501"/>
    <w:rsid w:val="00DD474A"/>
    <w:rsid w:val="00DD4A50"/>
    <w:rsid w:val="00DD4D10"/>
    <w:rsid w:val="00DD51D8"/>
    <w:rsid w:val="00DD5740"/>
    <w:rsid w:val="00DD5754"/>
    <w:rsid w:val="00DD5A04"/>
    <w:rsid w:val="00DD5A2E"/>
    <w:rsid w:val="00DD63F3"/>
    <w:rsid w:val="00DD66E2"/>
    <w:rsid w:val="00DD76DF"/>
    <w:rsid w:val="00DD7C97"/>
    <w:rsid w:val="00DE0A48"/>
    <w:rsid w:val="00DE178E"/>
    <w:rsid w:val="00DE18D4"/>
    <w:rsid w:val="00DE1AE8"/>
    <w:rsid w:val="00DE1DBA"/>
    <w:rsid w:val="00DE22A3"/>
    <w:rsid w:val="00DE2433"/>
    <w:rsid w:val="00DE25B4"/>
    <w:rsid w:val="00DE291E"/>
    <w:rsid w:val="00DE2C60"/>
    <w:rsid w:val="00DE394C"/>
    <w:rsid w:val="00DE3FEC"/>
    <w:rsid w:val="00DE45BB"/>
    <w:rsid w:val="00DE6AF9"/>
    <w:rsid w:val="00DE6E5D"/>
    <w:rsid w:val="00DE7036"/>
    <w:rsid w:val="00DE70BB"/>
    <w:rsid w:val="00DE768B"/>
    <w:rsid w:val="00DE7A47"/>
    <w:rsid w:val="00DF000D"/>
    <w:rsid w:val="00DF28CF"/>
    <w:rsid w:val="00DF2A06"/>
    <w:rsid w:val="00DF3DC5"/>
    <w:rsid w:val="00DF4240"/>
    <w:rsid w:val="00DF4864"/>
    <w:rsid w:val="00DF4D3F"/>
    <w:rsid w:val="00DF4E1B"/>
    <w:rsid w:val="00DF5660"/>
    <w:rsid w:val="00DF67BD"/>
    <w:rsid w:val="00DF69DB"/>
    <w:rsid w:val="00DF6C4D"/>
    <w:rsid w:val="00DF6E33"/>
    <w:rsid w:val="00DF76BB"/>
    <w:rsid w:val="00DF7706"/>
    <w:rsid w:val="00DF789B"/>
    <w:rsid w:val="00DF7B2E"/>
    <w:rsid w:val="00E00101"/>
    <w:rsid w:val="00E003AC"/>
    <w:rsid w:val="00E00427"/>
    <w:rsid w:val="00E00595"/>
    <w:rsid w:val="00E01109"/>
    <w:rsid w:val="00E01407"/>
    <w:rsid w:val="00E016F3"/>
    <w:rsid w:val="00E01CF8"/>
    <w:rsid w:val="00E01D6A"/>
    <w:rsid w:val="00E02490"/>
    <w:rsid w:val="00E030BA"/>
    <w:rsid w:val="00E04C88"/>
    <w:rsid w:val="00E05158"/>
    <w:rsid w:val="00E05530"/>
    <w:rsid w:val="00E06727"/>
    <w:rsid w:val="00E067A1"/>
    <w:rsid w:val="00E06C2B"/>
    <w:rsid w:val="00E0780A"/>
    <w:rsid w:val="00E0793D"/>
    <w:rsid w:val="00E11045"/>
    <w:rsid w:val="00E11092"/>
    <w:rsid w:val="00E11223"/>
    <w:rsid w:val="00E11A67"/>
    <w:rsid w:val="00E12322"/>
    <w:rsid w:val="00E1232C"/>
    <w:rsid w:val="00E132B6"/>
    <w:rsid w:val="00E13398"/>
    <w:rsid w:val="00E134F2"/>
    <w:rsid w:val="00E14841"/>
    <w:rsid w:val="00E1579E"/>
    <w:rsid w:val="00E15E19"/>
    <w:rsid w:val="00E1609C"/>
    <w:rsid w:val="00E160D8"/>
    <w:rsid w:val="00E166DD"/>
    <w:rsid w:val="00E17047"/>
    <w:rsid w:val="00E176F0"/>
    <w:rsid w:val="00E177D6"/>
    <w:rsid w:val="00E17899"/>
    <w:rsid w:val="00E17BEE"/>
    <w:rsid w:val="00E17D70"/>
    <w:rsid w:val="00E200EC"/>
    <w:rsid w:val="00E2097E"/>
    <w:rsid w:val="00E20C7C"/>
    <w:rsid w:val="00E218ED"/>
    <w:rsid w:val="00E21C05"/>
    <w:rsid w:val="00E22406"/>
    <w:rsid w:val="00E22859"/>
    <w:rsid w:val="00E22CA8"/>
    <w:rsid w:val="00E22D84"/>
    <w:rsid w:val="00E23167"/>
    <w:rsid w:val="00E2351A"/>
    <w:rsid w:val="00E23F4B"/>
    <w:rsid w:val="00E24465"/>
    <w:rsid w:val="00E245BA"/>
    <w:rsid w:val="00E259FE"/>
    <w:rsid w:val="00E25E25"/>
    <w:rsid w:val="00E2655D"/>
    <w:rsid w:val="00E265E1"/>
    <w:rsid w:val="00E26BBA"/>
    <w:rsid w:val="00E26D49"/>
    <w:rsid w:val="00E27290"/>
    <w:rsid w:val="00E2760D"/>
    <w:rsid w:val="00E30883"/>
    <w:rsid w:val="00E30C98"/>
    <w:rsid w:val="00E31323"/>
    <w:rsid w:val="00E322DE"/>
    <w:rsid w:val="00E32760"/>
    <w:rsid w:val="00E327F4"/>
    <w:rsid w:val="00E32B1E"/>
    <w:rsid w:val="00E32EB7"/>
    <w:rsid w:val="00E33D42"/>
    <w:rsid w:val="00E340DF"/>
    <w:rsid w:val="00E3469A"/>
    <w:rsid w:val="00E352CE"/>
    <w:rsid w:val="00E35AEA"/>
    <w:rsid w:val="00E35C0A"/>
    <w:rsid w:val="00E35DA8"/>
    <w:rsid w:val="00E361D5"/>
    <w:rsid w:val="00E3654F"/>
    <w:rsid w:val="00E36CE6"/>
    <w:rsid w:val="00E36FD3"/>
    <w:rsid w:val="00E4007A"/>
    <w:rsid w:val="00E41A6F"/>
    <w:rsid w:val="00E41FB6"/>
    <w:rsid w:val="00E42316"/>
    <w:rsid w:val="00E4298D"/>
    <w:rsid w:val="00E42C00"/>
    <w:rsid w:val="00E42EC9"/>
    <w:rsid w:val="00E4361D"/>
    <w:rsid w:val="00E438A4"/>
    <w:rsid w:val="00E43ACE"/>
    <w:rsid w:val="00E43DCE"/>
    <w:rsid w:val="00E44038"/>
    <w:rsid w:val="00E4646C"/>
    <w:rsid w:val="00E46A3D"/>
    <w:rsid w:val="00E46AE6"/>
    <w:rsid w:val="00E500A0"/>
    <w:rsid w:val="00E50E26"/>
    <w:rsid w:val="00E51014"/>
    <w:rsid w:val="00E515E3"/>
    <w:rsid w:val="00E52634"/>
    <w:rsid w:val="00E53381"/>
    <w:rsid w:val="00E53BAC"/>
    <w:rsid w:val="00E53C79"/>
    <w:rsid w:val="00E5473E"/>
    <w:rsid w:val="00E550B8"/>
    <w:rsid w:val="00E551E1"/>
    <w:rsid w:val="00E55634"/>
    <w:rsid w:val="00E561F1"/>
    <w:rsid w:val="00E56A15"/>
    <w:rsid w:val="00E56FA0"/>
    <w:rsid w:val="00E606E8"/>
    <w:rsid w:val="00E6109B"/>
    <w:rsid w:val="00E6128A"/>
    <w:rsid w:val="00E62F1E"/>
    <w:rsid w:val="00E633C4"/>
    <w:rsid w:val="00E63A6E"/>
    <w:rsid w:val="00E63FF8"/>
    <w:rsid w:val="00E6411A"/>
    <w:rsid w:val="00E64C10"/>
    <w:rsid w:val="00E64E8E"/>
    <w:rsid w:val="00E66E43"/>
    <w:rsid w:val="00E672C2"/>
    <w:rsid w:val="00E70C8D"/>
    <w:rsid w:val="00E711A5"/>
    <w:rsid w:val="00E71914"/>
    <w:rsid w:val="00E72070"/>
    <w:rsid w:val="00E7220D"/>
    <w:rsid w:val="00E72BA2"/>
    <w:rsid w:val="00E72FED"/>
    <w:rsid w:val="00E73278"/>
    <w:rsid w:val="00E739D1"/>
    <w:rsid w:val="00E741B7"/>
    <w:rsid w:val="00E74224"/>
    <w:rsid w:val="00E74A40"/>
    <w:rsid w:val="00E75976"/>
    <w:rsid w:val="00E761FF"/>
    <w:rsid w:val="00E764A1"/>
    <w:rsid w:val="00E77AE7"/>
    <w:rsid w:val="00E80062"/>
    <w:rsid w:val="00E804D5"/>
    <w:rsid w:val="00E81414"/>
    <w:rsid w:val="00E8157E"/>
    <w:rsid w:val="00E81974"/>
    <w:rsid w:val="00E819FE"/>
    <w:rsid w:val="00E82165"/>
    <w:rsid w:val="00E82A8B"/>
    <w:rsid w:val="00E82BDA"/>
    <w:rsid w:val="00E82D1F"/>
    <w:rsid w:val="00E82DAF"/>
    <w:rsid w:val="00E830AA"/>
    <w:rsid w:val="00E83D37"/>
    <w:rsid w:val="00E83F1C"/>
    <w:rsid w:val="00E845CE"/>
    <w:rsid w:val="00E84969"/>
    <w:rsid w:val="00E85065"/>
    <w:rsid w:val="00E853BE"/>
    <w:rsid w:val="00E85471"/>
    <w:rsid w:val="00E8556C"/>
    <w:rsid w:val="00E85676"/>
    <w:rsid w:val="00E85CB2"/>
    <w:rsid w:val="00E868CE"/>
    <w:rsid w:val="00E90D46"/>
    <w:rsid w:val="00E9187C"/>
    <w:rsid w:val="00E9207F"/>
    <w:rsid w:val="00E925AD"/>
    <w:rsid w:val="00E9375C"/>
    <w:rsid w:val="00E9398D"/>
    <w:rsid w:val="00E94639"/>
    <w:rsid w:val="00E946FF"/>
    <w:rsid w:val="00E95670"/>
    <w:rsid w:val="00E959AC"/>
    <w:rsid w:val="00E95A15"/>
    <w:rsid w:val="00E95C4C"/>
    <w:rsid w:val="00E95DC3"/>
    <w:rsid w:val="00E95EC0"/>
    <w:rsid w:val="00E96127"/>
    <w:rsid w:val="00E969F3"/>
    <w:rsid w:val="00E9717C"/>
    <w:rsid w:val="00E973C0"/>
    <w:rsid w:val="00E97D3B"/>
    <w:rsid w:val="00E97F15"/>
    <w:rsid w:val="00EA0097"/>
    <w:rsid w:val="00EA0849"/>
    <w:rsid w:val="00EA0954"/>
    <w:rsid w:val="00EA0983"/>
    <w:rsid w:val="00EA0A93"/>
    <w:rsid w:val="00EA0E1D"/>
    <w:rsid w:val="00EA149A"/>
    <w:rsid w:val="00EA27B9"/>
    <w:rsid w:val="00EA3D17"/>
    <w:rsid w:val="00EA5579"/>
    <w:rsid w:val="00EA55AF"/>
    <w:rsid w:val="00EA5D8F"/>
    <w:rsid w:val="00EA626C"/>
    <w:rsid w:val="00EA63BD"/>
    <w:rsid w:val="00EA69AF"/>
    <w:rsid w:val="00EB061D"/>
    <w:rsid w:val="00EB15A6"/>
    <w:rsid w:val="00EB19C8"/>
    <w:rsid w:val="00EB3588"/>
    <w:rsid w:val="00EB3589"/>
    <w:rsid w:val="00EB3676"/>
    <w:rsid w:val="00EB36D5"/>
    <w:rsid w:val="00EB38C8"/>
    <w:rsid w:val="00EB4247"/>
    <w:rsid w:val="00EB446C"/>
    <w:rsid w:val="00EB45C8"/>
    <w:rsid w:val="00EB467F"/>
    <w:rsid w:val="00EB4BE7"/>
    <w:rsid w:val="00EB507D"/>
    <w:rsid w:val="00EB578B"/>
    <w:rsid w:val="00EB5EC3"/>
    <w:rsid w:val="00EB7163"/>
    <w:rsid w:val="00EB77FD"/>
    <w:rsid w:val="00EB7EC4"/>
    <w:rsid w:val="00EC005B"/>
    <w:rsid w:val="00EC0141"/>
    <w:rsid w:val="00EC0347"/>
    <w:rsid w:val="00EC04AC"/>
    <w:rsid w:val="00EC0F58"/>
    <w:rsid w:val="00EC1071"/>
    <w:rsid w:val="00EC1959"/>
    <w:rsid w:val="00EC1A84"/>
    <w:rsid w:val="00EC1AB3"/>
    <w:rsid w:val="00EC1E62"/>
    <w:rsid w:val="00EC2113"/>
    <w:rsid w:val="00EC42A9"/>
    <w:rsid w:val="00EC448E"/>
    <w:rsid w:val="00EC4D29"/>
    <w:rsid w:val="00EC5171"/>
    <w:rsid w:val="00EC58E5"/>
    <w:rsid w:val="00EC5E0F"/>
    <w:rsid w:val="00EC65CA"/>
    <w:rsid w:val="00EC6814"/>
    <w:rsid w:val="00EC7677"/>
    <w:rsid w:val="00ED04D0"/>
    <w:rsid w:val="00ED0502"/>
    <w:rsid w:val="00ED0C06"/>
    <w:rsid w:val="00ED20AD"/>
    <w:rsid w:val="00ED2569"/>
    <w:rsid w:val="00ED262D"/>
    <w:rsid w:val="00ED2FAE"/>
    <w:rsid w:val="00ED3068"/>
    <w:rsid w:val="00ED3373"/>
    <w:rsid w:val="00ED3A50"/>
    <w:rsid w:val="00ED4959"/>
    <w:rsid w:val="00ED50DB"/>
    <w:rsid w:val="00ED5576"/>
    <w:rsid w:val="00ED5653"/>
    <w:rsid w:val="00ED6ACE"/>
    <w:rsid w:val="00ED6E3E"/>
    <w:rsid w:val="00ED7C32"/>
    <w:rsid w:val="00EE1A09"/>
    <w:rsid w:val="00EE1A1A"/>
    <w:rsid w:val="00EE1F57"/>
    <w:rsid w:val="00EE3261"/>
    <w:rsid w:val="00EE351D"/>
    <w:rsid w:val="00EE3CBE"/>
    <w:rsid w:val="00EE4ACF"/>
    <w:rsid w:val="00EE5147"/>
    <w:rsid w:val="00EE54B9"/>
    <w:rsid w:val="00EE5A10"/>
    <w:rsid w:val="00EE5F4F"/>
    <w:rsid w:val="00EE641A"/>
    <w:rsid w:val="00EE6977"/>
    <w:rsid w:val="00EE71E0"/>
    <w:rsid w:val="00EE76CB"/>
    <w:rsid w:val="00EF0191"/>
    <w:rsid w:val="00EF07B7"/>
    <w:rsid w:val="00EF12BC"/>
    <w:rsid w:val="00EF1484"/>
    <w:rsid w:val="00EF1791"/>
    <w:rsid w:val="00EF1D6C"/>
    <w:rsid w:val="00EF22EB"/>
    <w:rsid w:val="00EF3144"/>
    <w:rsid w:val="00EF34E3"/>
    <w:rsid w:val="00EF40DB"/>
    <w:rsid w:val="00EF414B"/>
    <w:rsid w:val="00EF426F"/>
    <w:rsid w:val="00EF46FF"/>
    <w:rsid w:val="00EF575E"/>
    <w:rsid w:val="00EF5773"/>
    <w:rsid w:val="00EF5A06"/>
    <w:rsid w:val="00EF5F4C"/>
    <w:rsid w:val="00EF6159"/>
    <w:rsid w:val="00EF64D3"/>
    <w:rsid w:val="00EF6845"/>
    <w:rsid w:val="00EF6991"/>
    <w:rsid w:val="00EF6D4B"/>
    <w:rsid w:val="00EF7C45"/>
    <w:rsid w:val="00EF7F8A"/>
    <w:rsid w:val="00F00274"/>
    <w:rsid w:val="00F00430"/>
    <w:rsid w:val="00F007A5"/>
    <w:rsid w:val="00F00EFD"/>
    <w:rsid w:val="00F02DD0"/>
    <w:rsid w:val="00F02E7E"/>
    <w:rsid w:val="00F0351A"/>
    <w:rsid w:val="00F03897"/>
    <w:rsid w:val="00F0411C"/>
    <w:rsid w:val="00F04586"/>
    <w:rsid w:val="00F045E5"/>
    <w:rsid w:val="00F108A9"/>
    <w:rsid w:val="00F108D2"/>
    <w:rsid w:val="00F10E8A"/>
    <w:rsid w:val="00F11007"/>
    <w:rsid w:val="00F1157F"/>
    <w:rsid w:val="00F11612"/>
    <w:rsid w:val="00F11A52"/>
    <w:rsid w:val="00F11C3B"/>
    <w:rsid w:val="00F11F7E"/>
    <w:rsid w:val="00F12883"/>
    <w:rsid w:val="00F12E42"/>
    <w:rsid w:val="00F14708"/>
    <w:rsid w:val="00F14F22"/>
    <w:rsid w:val="00F14F9D"/>
    <w:rsid w:val="00F1535F"/>
    <w:rsid w:val="00F15D5B"/>
    <w:rsid w:val="00F16CF0"/>
    <w:rsid w:val="00F17517"/>
    <w:rsid w:val="00F17DDA"/>
    <w:rsid w:val="00F204B1"/>
    <w:rsid w:val="00F20687"/>
    <w:rsid w:val="00F20871"/>
    <w:rsid w:val="00F20D0F"/>
    <w:rsid w:val="00F20F3E"/>
    <w:rsid w:val="00F211D2"/>
    <w:rsid w:val="00F21847"/>
    <w:rsid w:val="00F222D6"/>
    <w:rsid w:val="00F22B67"/>
    <w:rsid w:val="00F2319D"/>
    <w:rsid w:val="00F233ED"/>
    <w:rsid w:val="00F23955"/>
    <w:rsid w:val="00F247AE"/>
    <w:rsid w:val="00F24997"/>
    <w:rsid w:val="00F24C80"/>
    <w:rsid w:val="00F24CE2"/>
    <w:rsid w:val="00F254E8"/>
    <w:rsid w:val="00F30268"/>
    <w:rsid w:val="00F303D2"/>
    <w:rsid w:val="00F311D7"/>
    <w:rsid w:val="00F317F3"/>
    <w:rsid w:val="00F317FF"/>
    <w:rsid w:val="00F3183D"/>
    <w:rsid w:val="00F32776"/>
    <w:rsid w:val="00F32E8E"/>
    <w:rsid w:val="00F33332"/>
    <w:rsid w:val="00F334BA"/>
    <w:rsid w:val="00F340F6"/>
    <w:rsid w:val="00F35323"/>
    <w:rsid w:val="00F360E3"/>
    <w:rsid w:val="00F36866"/>
    <w:rsid w:val="00F369F8"/>
    <w:rsid w:val="00F36A14"/>
    <w:rsid w:val="00F36B30"/>
    <w:rsid w:val="00F36B4A"/>
    <w:rsid w:val="00F37403"/>
    <w:rsid w:val="00F37433"/>
    <w:rsid w:val="00F37CCE"/>
    <w:rsid w:val="00F4012D"/>
    <w:rsid w:val="00F403EC"/>
    <w:rsid w:val="00F407FD"/>
    <w:rsid w:val="00F40954"/>
    <w:rsid w:val="00F40A51"/>
    <w:rsid w:val="00F40C79"/>
    <w:rsid w:val="00F41157"/>
    <w:rsid w:val="00F429B7"/>
    <w:rsid w:val="00F42CCC"/>
    <w:rsid w:val="00F43035"/>
    <w:rsid w:val="00F4399A"/>
    <w:rsid w:val="00F43DF9"/>
    <w:rsid w:val="00F46341"/>
    <w:rsid w:val="00F4684E"/>
    <w:rsid w:val="00F46988"/>
    <w:rsid w:val="00F46B9B"/>
    <w:rsid w:val="00F479CB"/>
    <w:rsid w:val="00F508C8"/>
    <w:rsid w:val="00F5125A"/>
    <w:rsid w:val="00F51381"/>
    <w:rsid w:val="00F51465"/>
    <w:rsid w:val="00F5189D"/>
    <w:rsid w:val="00F51AA9"/>
    <w:rsid w:val="00F52C21"/>
    <w:rsid w:val="00F52D76"/>
    <w:rsid w:val="00F538BE"/>
    <w:rsid w:val="00F54AE5"/>
    <w:rsid w:val="00F54C12"/>
    <w:rsid w:val="00F55AA1"/>
    <w:rsid w:val="00F55B82"/>
    <w:rsid w:val="00F5607E"/>
    <w:rsid w:val="00F577E0"/>
    <w:rsid w:val="00F57BFF"/>
    <w:rsid w:val="00F60125"/>
    <w:rsid w:val="00F604F0"/>
    <w:rsid w:val="00F606B1"/>
    <w:rsid w:val="00F60751"/>
    <w:rsid w:val="00F60C2E"/>
    <w:rsid w:val="00F61041"/>
    <w:rsid w:val="00F61142"/>
    <w:rsid w:val="00F618C4"/>
    <w:rsid w:val="00F61A9F"/>
    <w:rsid w:val="00F620A3"/>
    <w:rsid w:val="00F625E1"/>
    <w:rsid w:val="00F62DD5"/>
    <w:rsid w:val="00F63131"/>
    <w:rsid w:val="00F63567"/>
    <w:rsid w:val="00F63CD0"/>
    <w:rsid w:val="00F6438E"/>
    <w:rsid w:val="00F64F82"/>
    <w:rsid w:val="00F65050"/>
    <w:rsid w:val="00F66A2A"/>
    <w:rsid w:val="00F66BAC"/>
    <w:rsid w:val="00F66C36"/>
    <w:rsid w:val="00F66D5D"/>
    <w:rsid w:val="00F66DEB"/>
    <w:rsid w:val="00F67086"/>
    <w:rsid w:val="00F67799"/>
    <w:rsid w:val="00F67A7A"/>
    <w:rsid w:val="00F67E9E"/>
    <w:rsid w:val="00F70B48"/>
    <w:rsid w:val="00F70DC8"/>
    <w:rsid w:val="00F70FD3"/>
    <w:rsid w:val="00F712DA"/>
    <w:rsid w:val="00F71A85"/>
    <w:rsid w:val="00F722A8"/>
    <w:rsid w:val="00F72707"/>
    <w:rsid w:val="00F72DE7"/>
    <w:rsid w:val="00F72E29"/>
    <w:rsid w:val="00F732C2"/>
    <w:rsid w:val="00F7348D"/>
    <w:rsid w:val="00F73CA7"/>
    <w:rsid w:val="00F740D7"/>
    <w:rsid w:val="00F7452C"/>
    <w:rsid w:val="00F74BF2"/>
    <w:rsid w:val="00F754C8"/>
    <w:rsid w:val="00F7557E"/>
    <w:rsid w:val="00F75ACC"/>
    <w:rsid w:val="00F75C75"/>
    <w:rsid w:val="00F761C0"/>
    <w:rsid w:val="00F77DFC"/>
    <w:rsid w:val="00F77EBC"/>
    <w:rsid w:val="00F8031A"/>
    <w:rsid w:val="00F810B1"/>
    <w:rsid w:val="00F8164D"/>
    <w:rsid w:val="00F8233A"/>
    <w:rsid w:val="00F82B4E"/>
    <w:rsid w:val="00F82E82"/>
    <w:rsid w:val="00F832C7"/>
    <w:rsid w:val="00F8331E"/>
    <w:rsid w:val="00F83472"/>
    <w:rsid w:val="00F83A05"/>
    <w:rsid w:val="00F83EDB"/>
    <w:rsid w:val="00F841C8"/>
    <w:rsid w:val="00F8471E"/>
    <w:rsid w:val="00F84D58"/>
    <w:rsid w:val="00F850D7"/>
    <w:rsid w:val="00F85478"/>
    <w:rsid w:val="00F85529"/>
    <w:rsid w:val="00F878B1"/>
    <w:rsid w:val="00F90431"/>
    <w:rsid w:val="00F90702"/>
    <w:rsid w:val="00F9150B"/>
    <w:rsid w:val="00F920AE"/>
    <w:rsid w:val="00F922DD"/>
    <w:rsid w:val="00F92843"/>
    <w:rsid w:val="00F930A6"/>
    <w:rsid w:val="00F94109"/>
    <w:rsid w:val="00F95032"/>
    <w:rsid w:val="00F95364"/>
    <w:rsid w:val="00F95A7E"/>
    <w:rsid w:val="00F95C86"/>
    <w:rsid w:val="00F95F5D"/>
    <w:rsid w:val="00F96124"/>
    <w:rsid w:val="00F962E1"/>
    <w:rsid w:val="00F96658"/>
    <w:rsid w:val="00F97B3C"/>
    <w:rsid w:val="00FA0046"/>
    <w:rsid w:val="00FA012F"/>
    <w:rsid w:val="00FA039F"/>
    <w:rsid w:val="00FA1CDF"/>
    <w:rsid w:val="00FA1D82"/>
    <w:rsid w:val="00FA1E64"/>
    <w:rsid w:val="00FA2D1B"/>
    <w:rsid w:val="00FA2DA1"/>
    <w:rsid w:val="00FA3162"/>
    <w:rsid w:val="00FA3283"/>
    <w:rsid w:val="00FA328A"/>
    <w:rsid w:val="00FA3E3F"/>
    <w:rsid w:val="00FA409E"/>
    <w:rsid w:val="00FA48BF"/>
    <w:rsid w:val="00FA563C"/>
    <w:rsid w:val="00FA5EE4"/>
    <w:rsid w:val="00FA6CAF"/>
    <w:rsid w:val="00FA6F13"/>
    <w:rsid w:val="00FA6F28"/>
    <w:rsid w:val="00FA75AC"/>
    <w:rsid w:val="00FA7AB2"/>
    <w:rsid w:val="00FA7FF2"/>
    <w:rsid w:val="00FB1CFF"/>
    <w:rsid w:val="00FB1E17"/>
    <w:rsid w:val="00FB23AA"/>
    <w:rsid w:val="00FB325F"/>
    <w:rsid w:val="00FB3834"/>
    <w:rsid w:val="00FB39A6"/>
    <w:rsid w:val="00FB4410"/>
    <w:rsid w:val="00FB4639"/>
    <w:rsid w:val="00FB54CC"/>
    <w:rsid w:val="00FB5B68"/>
    <w:rsid w:val="00FB5E14"/>
    <w:rsid w:val="00FB62DD"/>
    <w:rsid w:val="00FB70AF"/>
    <w:rsid w:val="00FB76AE"/>
    <w:rsid w:val="00FB797C"/>
    <w:rsid w:val="00FB7E77"/>
    <w:rsid w:val="00FC0619"/>
    <w:rsid w:val="00FC08FB"/>
    <w:rsid w:val="00FC179F"/>
    <w:rsid w:val="00FC18FF"/>
    <w:rsid w:val="00FC1A9B"/>
    <w:rsid w:val="00FC3131"/>
    <w:rsid w:val="00FC3301"/>
    <w:rsid w:val="00FC3626"/>
    <w:rsid w:val="00FC38FD"/>
    <w:rsid w:val="00FC39E9"/>
    <w:rsid w:val="00FC5659"/>
    <w:rsid w:val="00FC5949"/>
    <w:rsid w:val="00FC65AE"/>
    <w:rsid w:val="00FC67CA"/>
    <w:rsid w:val="00FC6F04"/>
    <w:rsid w:val="00FC70E1"/>
    <w:rsid w:val="00FC72D4"/>
    <w:rsid w:val="00FC7A02"/>
    <w:rsid w:val="00FD0289"/>
    <w:rsid w:val="00FD02FE"/>
    <w:rsid w:val="00FD09CD"/>
    <w:rsid w:val="00FD0DB9"/>
    <w:rsid w:val="00FD1511"/>
    <w:rsid w:val="00FD1600"/>
    <w:rsid w:val="00FD17BA"/>
    <w:rsid w:val="00FD27CF"/>
    <w:rsid w:val="00FD2B5D"/>
    <w:rsid w:val="00FD2BC1"/>
    <w:rsid w:val="00FD2E41"/>
    <w:rsid w:val="00FD2F39"/>
    <w:rsid w:val="00FD31BB"/>
    <w:rsid w:val="00FD350B"/>
    <w:rsid w:val="00FD3591"/>
    <w:rsid w:val="00FD3A63"/>
    <w:rsid w:val="00FD3AEE"/>
    <w:rsid w:val="00FD3BAE"/>
    <w:rsid w:val="00FD3CDD"/>
    <w:rsid w:val="00FD3D78"/>
    <w:rsid w:val="00FD3EC8"/>
    <w:rsid w:val="00FD3F09"/>
    <w:rsid w:val="00FD4445"/>
    <w:rsid w:val="00FD4490"/>
    <w:rsid w:val="00FD4494"/>
    <w:rsid w:val="00FD46D0"/>
    <w:rsid w:val="00FD4740"/>
    <w:rsid w:val="00FD49E9"/>
    <w:rsid w:val="00FD4A0A"/>
    <w:rsid w:val="00FD4CA9"/>
    <w:rsid w:val="00FD4D68"/>
    <w:rsid w:val="00FD5538"/>
    <w:rsid w:val="00FD57E5"/>
    <w:rsid w:val="00FD5D85"/>
    <w:rsid w:val="00FD5DFD"/>
    <w:rsid w:val="00FD5F03"/>
    <w:rsid w:val="00FD62A3"/>
    <w:rsid w:val="00FD676E"/>
    <w:rsid w:val="00FD6D54"/>
    <w:rsid w:val="00FD7214"/>
    <w:rsid w:val="00FD7548"/>
    <w:rsid w:val="00FE132E"/>
    <w:rsid w:val="00FE18E6"/>
    <w:rsid w:val="00FE2642"/>
    <w:rsid w:val="00FE3642"/>
    <w:rsid w:val="00FE4E59"/>
    <w:rsid w:val="00FE544C"/>
    <w:rsid w:val="00FE596D"/>
    <w:rsid w:val="00FE5C66"/>
    <w:rsid w:val="00FE69E5"/>
    <w:rsid w:val="00FE6D8D"/>
    <w:rsid w:val="00FE7B37"/>
    <w:rsid w:val="00FE7B94"/>
    <w:rsid w:val="00FE7BC1"/>
    <w:rsid w:val="00FF03F9"/>
    <w:rsid w:val="00FF0833"/>
    <w:rsid w:val="00FF0AFA"/>
    <w:rsid w:val="00FF106E"/>
    <w:rsid w:val="00FF148D"/>
    <w:rsid w:val="00FF2142"/>
    <w:rsid w:val="00FF3052"/>
    <w:rsid w:val="00FF326C"/>
    <w:rsid w:val="00FF340E"/>
    <w:rsid w:val="00FF38CE"/>
    <w:rsid w:val="00FF46EC"/>
    <w:rsid w:val="00FF4FA5"/>
    <w:rsid w:val="00FF56F7"/>
    <w:rsid w:val="00FF5DBA"/>
    <w:rsid w:val="00FF5DCF"/>
    <w:rsid w:val="00FF60CE"/>
    <w:rsid w:val="00FF681E"/>
    <w:rsid w:val="00FF69A6"/>
    <w:rsid w:val="00FF6BF1"/>
    <w:rsid w:val="00FF6D09"/>
    <w:rsid w:val="00FF6E0D"/>
    <w:rsid w:val="00FF75A2"/>
    <w:rsid w:val="00FF7745"/>
    <w:rsid w:val="00FF7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84D692-B321-475C-8555-7EC82932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7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32252"/>
    <w:pPr>
      <w:autoSpaceDE w:val="0"/>
      <w:autoSpaceDN w:val="0"/>
      <w:adjustRightInd w:val="0"/>
      <w:spacing w:before="108" w:after="108"/>
      <w:jc w:val="center"/>
      <w:outlineLvl w:val="0"/>
    </w:pPr>
    <w:rPr>
      <w:rFonts w:ascii="Arial" w:eastAsiaTheme="minorHAnsi" w:hAnsi="Arial" w:cs="Arial"/>
      <w:b/>
      <w:bCs/>
      <w:color w:val="26282F"/>
      <w:lang w:eastAsia="en-US"/>
    </w:rPr>
  </w:style>
  <w:style w:type="paragraph" w:styleId="20">
    <w:name w:val="heading 2"/>
    <w:basedOn w:val="a"/>
    <w:next w:val="a"/>
    <w:link w:val="21"/>
    <w:uiPriority w:val="9"/>
    <w:unhideWhenUsed/>
    <w:qFormat/>
    <w:rsid w:val="00830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30F4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F77DFC"/>
    <w:pPr>
      <w:keepNext/>
      <w:tabs>
        <w:tab w:val="left" w:pos="885"/>
      </w:tabs>
      <w:outlineLvl w:val="3"/>
    </w:pPr>
    <w:rPr>
      <w:rFonts w:ascii="Calibri" w:hAnsi="Calibri"/>
      <w:b/>
      <w:bCs/>
      <w:sz w:val="28"/>
      <w:szCs w:val="28"/>
    </w:rPr>
  </w:style>
  <w:style w:type="paragraph" w:styleId="5">
    <w:name w:val="heading 5"/>
    <w:basedOn w:val="a"/>
    <w:next w:val="a"/>
    <w:link w:val="50"/>
    <w:uiPriority w:val="9"/>
    <w:qFormat/>
    <w:rsid w:val="00F77DFC"/>
    <w:pPr>
      <w:keepNext/>
      <w:autoSpaceDE w:val="0"/>
      <w:autoSpaceDN w:val="0"/>
      <w:adjustRightInd w:val="0"/>
      <w:jc w:val="center"/>
      <w:outlineLvl w:val="4"/>
    </w:pPr>
    <w:rPr>
      <w:rFonts w:ascii="Calibri" w:hAnsi="Calibri"/>
      <w:b/>
      <w:bCs/>
      <w:i/>
      <w:iCs/>
      <w:sz w:val="26"/>
      <w:szCs w:val="26"/>
    </w:rPr>
  </w:style>
  <w:style w:type="paragraph" w:styleId="6">
    <w:name w:val="heading 6"/>
    <w:basedOn w:val="a"/>
    <w:next w:val="a"/>
    <w:link w:val="60"/>
    <w:uiPriority w:val="9"/>
    <w:qFormat/>
    <w:rsid w:val="00F77DFC"/>
    <w:pPr>
      <w:keepNext/>
      <w:ind w:firstLine="709"/>
      <w:jc w:val="both"/>
      <w:outlineLvl w:val="5"/>
    </w:pPr>
    <w:rPr>
      <w:rFonts w:ascii="Calibri" w:hAnsi="Calibri"/>
      <w:b/>
      <w:bCs/>
      <w:sz w:val="20"/>
      <w:szCs w:val="20"/>
    </w:rPr>
  </w:style>
  <w:style w:type="paragraph" w:styleId="7">
    <w:name w:val="heading 7"/>
    <w:basedOn w:val="a"/>
    <w:next w:val="a"/>
    <w:link w:val="70"/>
    <w:uiPriority w:val="9"/>
    <w:qFormat/>
    <w:rsid w:val="00F77DFC"/>
    <w:pPr>
      <w:keepNext/>
      <w:ind w:right="-108"/>
      <w:jc w:val="center"/>
      <w:outlineLvl w:val="6"/>
    </w:pPr>
    <w:rPr>
      <w:rFonts w:ascii="Calibri" w:hAnsi="Calibri"/>
    </w:rPr>
  </w:style>
  <w:style w:type="paragraph" w:styleId="8">
    <w:name w:val="heading 8"/>
    <w:basedOn w:val="a"/>
    <w:next w:val="a"/>
    <w:link w:val="80"/>
    <w:qFormat/>
    <w:rsid w:val="00F77DFC"/>
    <w:pPr>
      <w:keepNext/>
      <w:jc w:val="center"/>
      <w:outlineLvl w:val="7"/>
    </w:pPr>
    <w:rPr>
      <w:rFonts w:ascii="Calibri" w:hAnsi="Calibri"/>
      <w:i/>
      <w:iCs/>
    </w:rPr>
  </w:style>
  <w:style w:type="paragraph" w:styleId="9">
    <w:name w:val="heading 9"/>
    <w:basedOn w:val="a"/>
    <w:next w:val="a"/>
    <w:link w:val="90"/>
    <w:uiPriority w:val="9"/>
    <w:qFormat/>
    <w:rsid w:val="00F77DFC"/>
    <w:pPr>
      <w:keepNext/>
      <w:widowControl w:val="0"/>
      <w:autoSpaceDE w:val="0"/>
      <w:autoSpaceDN w:val="0"/>
      <w:adjustRightInd w:val="0"/>
      <w:ind w:firstLine="709"/>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1"/>
    <w:qFormat/>
    <w:rsid w:val="00D92BB6"/>
    <w:pPr>
      <w:autoSpaceDE w:val="0"/>
      <w:autoSpaceDN w:val="0"/>
      <w:jc w:val="center"/>
    </w:pPr>
    <w:rPr>
      <w:b/>
      <w:bCs/>
      <w:sz w:val="28"/>
      <w:szCs w:val="28"/>
    </w:rPr>
  </w:style>
  <w:style w:type="character" w:customStyle="1" w:styleId="11">
    <w:name w:val="Название Знак1"/>
    <w:basedOn w:val="a0"/>
    <w:link w:val="a3"/>
    <w:rsid w:val="00D92BB6"/>
    <w:rPr>
      <w:rFonts w:ascii="Times New Roman" w:eastAsia="Times New Roman" w:hAnsi="Times New Roman" w:cs="Times New Roman"/>
      <w:b/>
      <w:bCs/>
      <w:sz w:val="28"/>
      <w:szCs w:val="28"/>
      <w:lang w:eastAsia="ru-RU"/>
    </w:rPr>
  </w:style>
  <w:style w:type="paragraph" w:styleId="a4">
    <w:name w:val="List"/>
    <w:basedOn w:val="a"/>
    <w:rsid w:val="00D92BB6"/>
    <w:pPr>
      <w:widowControl w:val="0"/>
      <w:ind w:left="283" w:hanging="283"/>
    </w:pPr>
    <w:rPr>
      <w:sz w:val="20"/>
      <w:szCs w:val="20"/>
    </w:rPr>
  </w:style>
  <w:style w:type="paragraph" w:styleId="a5">
    <w:name w:val="Balloon Text"/>
    <w:basedOn w:val="a"/>
    <w:link w:val="a6"/>
    <w:uiPriority w:val="99"/>
    <w:semiHidden/>
    <w:unhideWhenUsed/>
    <w:rsid w:val="00A66186"/>
    <w:rPr>
      <w:rFonts w:ascii="Tahoma" w:hAnsi="Tahoma" w:cs="Tahoma"/>
      <w:sz w:val="16"/>
      <w:szCs w:val="16"/>
    </w:rPr>
  </w:style>
  <w:style w:type="character" w:customStyle="1" w:styleId="a6">
    <w:name w:val="Текст выноски Знак"/>
    <w:basedOn w:val="a0"/>
    <w:link w:val="a5"/>
    <w:uiPriority w:val="99"/>
    <w:semiHidden/>
    <w:rsid w:val="00A66186"/>
    <w:rPr>
      <w:rFonts w:ascii="Tahoma" w:eastAsia="Times New Roman" w:hAnsi="Tahoma" w:cs="Tahoma"/>
      <w:sz w:val="16"/>
      <w:szCs w:val="16"/>
      <w:lang w:eastAsia="ru-RU"/>
    </w:rPr>
  </w:style>
  <w:style w:type="paragraph" w:customStyle="1" w:styleId="ConsPlusNormal">
    <w:name w:val="ConsPlusNormal"/>
    <w:link w:val="ConsPlusNormal0"/>
    <w:rsid w:val="009C46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Normal (Web)"/>
    <w:aliases w:val="Обычный (Web)"/>
    <w:basedOn w:val="a"/>
    <w:link w:val="a8"/>
    <w:uiPriority w:val="99"/>
    <w:rsid w:val="009C4627"/>
    <w:pPr>
      <w:spacing w:before="100" w:beforeAutospacing="1" w:after="100" w:afterAutospacing="1"/>
    </w:pPr>
  </w:style>
  <w:style w:type="paragraph" w:styleId="a9">
    <w:name w:val="footnote text"/>
    <w:aliases w:val="Знак, Знак, Знак Знак Знак Знак,Текст сноски НИВ,Текст сноски Знак Знак,fn,Знак Знак Знак Знак,Footnote Text Char,Table_Footnote_last,Текст сноски Знак1 Знак,Footnote Text Char Знак Знак,Текст сноски Знак1, Знак Знак Знак,Знак2,З,Char Char"/>
    <w:basedOn w:val="a"/>
    <w:link w:val="aa"/>
    <w:uiPriority w:val="99"/>
    <w:qFormat/>
    <w:rsid w:val="00B15F18"/>
    <w:pPr>
      <w:autoSpaceDE w:val="0"/>
      <w:autoSpaceDN w:val="0"/>
    </w:pPr>
    <w:rPr>
      <w:sz w:val="20"/>
      <w:szCs w:val="20"/>
    </w:rPr>
  </w:style>
  <w:style w:type="character" w:customStyle="1" w:styleId="aa">
    <w:name w:val="Текст сноски Знак"/>
    <w:aliases w:val="Знак Знак, Знак Знак, Знак Знак Знак Знак Знак,Текст сноски НИВ Знак,Текст сноски Знак Знак Знак,fn Знак,Знак Знак Знак Знак Знак,Footnote Text Char Знак,Table_Footnote_last Знак,Текст сноски Знак1 Знак Знак,Текст сноски Знак1 Знак1"/>
    <w:basedOn w:val="a0"/>
    <w:link w:val="a9"/>
    <w:uiPriority w:val="99"/>
    <w:rsid w:val="00B15F18"/>
    <w:rPr>
      <w:rFonts w:ascii="Times New Roman" w:eastAsia="Times New Roman" w:hAnsi="Times New Roman" w:cs="Times New Roman"/>
      <w:sz w:val="20"/>
      <w:szCs w:val="20"/>
      <w:lang w:eastAsia="ru-RU"/>
    </w:rPr>
  </w:style>
  <w:style w:type="character" w:styleId="ab">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iPriority w:val="99"/>
    <w:qFormat/>
    <w:rsid w:val="00B15F18"/>
    <w:rPr>
      <w:vertAlign w:val="superscript"/>
    </w:rPr>
  </w:style>
  <w:style w:type="paragraph" w:customStyle="1" w:styleId="ac">
    <w:name w:val="Таблицы (моноширинный)"/>
    <w:basedOn w:val="a"/>
    <w:next w:val="a"/>
    <w:uiPriority w:val="99"/>
    <w:rsid w:val="0046006D"/>
    <w:pPr>
      <w:widowControl w:val="0"/>
      <w:autoSpaceDE w:val="0"/>
      <w:autoSpaceDN w:val="0"/>
      <w:adjustRightInd w:val="0"/>
      <w:jc w:val="both"/>
    </w:pPr>
    <w:rPr>
      <w:rFonts w:ascii="Courier New" w:hAnsi="Courier New" w:cs="Courier New"/>
    </w:rPr>
  </w:style>
  <w:style w:type="character" w:customStyle="1" w:styleId="ad">
    <w:name w:val="Цветовое выделение"/>
    <w:uiPriority w:val="99"/>
    <w:rsid w:val="0046006D"/>
    <w:rPr>
      <w:b/>
      <w:bCs/>
      <w:color w:val="000080"/>
    </w:rPr>
  </w:style>
  <w:style w:type="paragraph" w:customStyle="1" w:styleId="12">
    <w:name w:val="Основной текст1"/>
    <w:basedOn w:val="a"/>
    <w:link w:val="ae"/>
    <w:rsid w:val="0046006D"/>
    <w:pPr>
      <w:jc w:val="both"/>
    </w:pPr>
    <w:rPr>
      <w:sz w:val="28"/>
      <w:szCs w:val="20"/>
    </w:rPr>
  </w:style>
  <w:style w:type="character" w:customStyle="1" w:styleId="ae">
    <w:name w:val="Основной текст_"/>
    <w:basedOn w:val="a0"/>
    <w:link w:val="12"/>
    <w:rsid w:val="0046006D"/>
    <w:rPr>
      <w:rFonts w:ascii="Times New Roman" w:eastAsia="Times New Roman" w:hAnsi="Times New Roman" w:cs="Times New Roman"/>
      <w:sz w:val="28"/>
      <w:szCs w:val="20"/>
      <w:lang w:eastAsia="ru-RU"/>
    </w:rPr>
  </w:style>
  <w:style w:type="paragraph" w:styleId="af">
    <w:name w:val="List Paragraph"/>
    <w:aliases w:val="SL_Абзац списка,_Абзац списка,A_маркированный_список,Абзац Стас,lp1,Bullet List,FooterText,numbered,ТЗ список,Абзац списка литеральный,Bullet 1,Use Case List Paragraph,Маркер,Table-Normal,RSHB_Table-Normal,Список дефисный,Нумерация 1),А"/>
    <w:basedOn w:val="a"/>
    <w:link w:val="af0"/>
    <w:uiPriority w:val="34"/>
    <w:qFormat/>
    <w:rsid w:val="0046006D"/>
    <w:pPr>
      <w:spacing w:after="200" w:line="276" w:lineRule="auto"/>
      <w:ind w:left="720"/>
      <w:contextualSpacing/>
    </w:pPr>
    <w:rPr>
      <w:rFonts w:asciiTheme="minorHAnsi" w:eastAsiaTheme="minorEastAsia" w:hAnsiTheme="minorHAnsi" w:cstheme="minorBidi"/>
      <w:sz w:val="22"/>
      <w:szCs w:val="22"/>
    </w:rPr>
  </w:style>
  <w:style w:type="paragraph" w:styleId="af1">
    <w:name w:val="header"/>
    <w:basedOn w:val="a"/>
    <w:link w:val="af2"/>
    <w:uiPriority w:val="99"/>
    <w:unhideWhenUsed/>
    <w:rsid w:val="007C7C77"/>
    <w:pPr>
      <w:tabs>
        <w:tab w:val="center" w:pos="4677"/>
        <w:tab w:val="right" w:pos="9355"/>
      </w:tabs>
    </w:pPr>
  </w:style>
  <w:style w:type="character" w:customStyle="1" w:styleId="af2">
    <w:name w:val="Верхний колонтитул Знак"/>
    <w:basedOn w:val="a0"/>
    <w:link w:val="af1"/>
    <w:uiPriority w:val="99"/>
    <w:rsid w:val="007C7C77"/>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7C7C77"/>
    <w:pPr>
      <w:tabs>
        <w:tab w:val="center" w:pos="4677"/>
        <w:tab w:val="right" w:pos="9355"/>
      </w:tabs>
    </w:pPr>
  </w:style>
  <w:style w:type="character" w:customStyle="1" w:styleId="af4">
    <w:name w:val="Нижний колонтитул Знак"/>
    <w:basedOn w:val="a0"/>
    <w:link w:val="af3"/>
    <w:uiPriority w:val="99"/>
    <w:rsid w:val="007C7C77"/>
    <w:rPr>
      <w:rFonts w:ascii="Times New Roman" w:eastAsia="Times New Roman" w:hAnsi="Times New Roman" w:cs="Times New Roman"/>
      <w:sz w:val="24"/>
      <w:szCs w:val="24"/>
      <w:lang w:eastAsia="ru-RU"/>
    </w:rPr>
  </w:style>
  <w:style w:type="table" w:styleId="af5">
    <w:name w:val="Table Grid"/>
    <w:basedOn w:val="a1"/>
    <w:uiPriority w:val="59"/>
    <w:rsid w:val="007C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832252"/>
    <w:rPr>
      <w:rFonts w:ascii="Arial" w:hAnsi="Arial" w:cs="Arial"/>
      <w:b/>
      <w:bCs/>
      <w:color w:val="26282F"/>
      <w:sz w:val="24"/>
      <w:szCs w:val="24"/>
    </w:rPr>
  </w:style>
  <w:style w:type="character" w:customStyle="1" w:styleId="af6">
    <w:name w:val="Гипертекстовая ссылка"/>
    <w:basedOn w:val="ad"/>
    <w:uiPriority w:val="99"/>
    <w:rsid w:val="0041658E"/>
    <w:rPr>
      <w:b/>
      <w:bCs/>
      <w:color w:val="106BBE"/>
    </w:rPr>
  </w:style>
  <w:style w:type="character" w:styleId="af7">
    <w:name w:val="Hyperlink"/>
    <w:basedOn w:val="a0"/>
    <w:uiPriority w:val="99"/>
    <w:unhideWhenUsed/>
    <w:rsid w:val="0001559B"/>
    <w:rPr>
      <w:color w:val="0000FF" w:themeColor="hyperlink"/>
      <w:u w:val="single"/>
    </w:rPr>
  </w:style>
  <w:style w:type="character" w:customStyle="1" w:styleId="21">
    <w:name w:val="Заголовок 2 Знак"/>
    <w:basedOn w:val="a0"/>
    <w:link w:val="20"/>
    <w:uiPriority w:val="9"/>
    <w:rsid w:val="00830F4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830F48"/>
    <w:rPr>
      <w:rFonts w:asciiTheme="majorHAnsi" w:eastAsiaTheme="majorEastAsia" w:hAnsiTheme="majorHAnsi" w:cstheme="majorBidi"/>
      <w:b/>
      <w:bCs/>
      <w:color w:val="4F81BD" w:themeColor="accent1"/>
      <w:sz w:val="24"/>
      <w:szCs w:val="24"/>
      <w:lang w:eastAsia="ru-RU"/>
    </w:rPr>
  </w:style>
  <w:style w:type="paragraph" w:customStyle="1" w:styleId="formula">
    <w:name w:val="formula"/>
    <w:basedOn w:val="a"/>
    <w:rsid w:val="00830F48"/>
    <w:pPr>
      <w:spacing w:before="100" w:beforeAutospacing="1" w:after="100" w:afterAutospacing="1"/>
    </w:pPr>
  </w:style>
  <w:style w:type="paragraph" w:customStyle="1" w:styleId="Oaeno">
    <w:name w:val="Oaeno"/>
    <w:basedOn w:val="a"/>
    <w:rsid w:val="00BA6000"/>
    <w:pPr>
      <w:widowControl w:val="0"/>
    </w:pPr>
    <w:rPr>
      <w:rFonts w:ascii="Courier New" w:hAnsi="Courier New"/>
      <w:sz w:val="20"/>
      <w:szCs w:val="20"/>
    </w:rPr>
  </w:style>
  <w:style w:type="paragraph" w:customStyle="1" w:styleId="Style2">
    <w:name w:val="Style2"/>
    <w:basedOn w:val="a"/>
    <w:uiPriority w:val="99"/>
    <w:rsid w:val="00B912AE"/>
    <w:pPr>
      <w:widowControl w:val="0"/>
      <w:autoSpaceDE w:val="0"/>
      <w:autoSpaceDN w:val="0"/>
      <w:adjustRightInd w:val="0"/>
      <w:spacing w:line="322" w:lineRule="exact"/>
      <w:ind w:firstLine="696"/>
      <w:jc w:val="both"/>
    </w:pPr>
  </w:style>
  <w:style w:type="character" w:customStyle="1" w:styleId="FontStyle31">
    <w:name w:val="Font Style31"/>
    <w:basedOn w:val="a0"/>
    <w:uiPriority w:val="99"/>
    <w:rsid w:val="00B912AE"/>
    <w:rPr>
      <w:rFonts w:ascii="Times New Roman" w:hAnsi="Times New Roman" w:cs="Times New Roman" w:hint="default"/>
      <w:sz w:val="26"/>
      <w:szCs w:val="26"/>
    </w:rPr>
  </w:style>
  <w:style w:type="character" w:customStyle="1" w:styleId="FontStyle39">
    <w:name w:val="Font Style39"/>
    <w:basedOn w:val="a0"/>
    <w:uiPriority w:val="99"/>
    <w:rsid w:val="00B912AE"/>
    <w:rPr>
      <w:rFonts w:ascii="Times New Roman" w:hAnsi="Times New Roman" w:cs="Times New Roman" w:hint="default"/>
      <w:sz w:val="26"/>
      <w:szCs w:val="26"/>
    </w:rPr>
  </w:style>
  <w:style w:type="paragraph" w:customStyle="1" w:styleId="Style15">
    <w:name w:val="Style15"/>
    <w:basedOn w:val="a"/>
    <w:uiPriority w:val="99"/>
    <w:rsid w:val="00B912AE"/>
    <w:pPr>
      <w:widowControl w:val="0"/>
      <w:autoSpaceDE w:val="0"/>
      <w:autoSpaceDN w:val="0"/>
      <w:adjustRightInd w:val="0"/>
      <w:jc w:val="right"/>
    </w:pPr>
  </w:style>
  <w:style w:type="paragraph" w:customStyle="1" w:styleId="ConsPlusTitle">
    <w:name w:val="ConsPlusTitle"/>
    <w:rsid w:val="00B912A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22">
    <w:name w:val="Body Text Indent 2"/>
    <w:basedOn w:val="a"/>
    <w:link w:val="23"/>
    <w:uiPriority w:val="99"/>
    <w:unhideWhenUsed/>
    <w:rsid w:val="00183D6B"/>
    <w:pPr>
      <w:ind w:firstLine="851"/>
      <w:jc w:val="both"/>
    </w:pPr>
    <w:rPr>
      <w:sz w:val="22"/>
      <w:szCs w:val="20"/>
    </w:rPr>
  </w:style>
  <w:style w:type="character" w:customStyle="1" w:styleId="23">
    <w:name w:val="Основной текст с отступом 2 Знак"/>
    <w:basedOn w:val="a0"/>
    <w:link w:val="22"/>
    <w:uiPriority w:val="99"/>
    <w:rsid w:val="00183D6B"/>
    <w:rPr>
      <w:rFonts w:ascii="Times New Roman" w:eastAsia="Times New Roman" w:hAnsi="Times New Roman" w:cs="Times New Roman"/>
      <w:szCs w:val="20"/>
      <w:lang w:eastAsia="ru-RU"/>
    </w:rPr>
  </w:style>
  <w:style w:type="paragraph" w:styleId="af8">
    <w:name w:val="No Spacing"/>
    <w:aliases w:val="стандарт,БОРИСОВ"/>
    <w:link w:val="af9"/>
    <w:uiPriority w:val="1"/>
    <w:qFormat/>
    <w:rsid w:val="00335772"/>
    <w:pPr>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6430BD"/>
  </w:style>
  <w:style w:type="character" w:customStyle="1" w:styleId="date6">
    <w:name w:val="date6"/>
    <w:basedOn w:val="a0"/>
    <w:rsid w:val="00C93AF1"/>
  </w:style>
  <w:style w:type="character" w:styleId="afa">
    <w:name w:val="annotation reference"/>
    <w:basedOn w:val="a0"/>
    <w:uiPriority w:val="99"/>
    <w:semiHidden/>
    <w:unhideWhenUsed/>
    <w:rsid w:val="00E711A5"/>
    <w:rPr>
      <w:sz w:val="16"/>
      <w:szCs w:val="16"/>
    </w:rPr>
  </w:style>
  <w:style w:type="paragraph" w:styleId="afb">
    <w:name w:val="annotation text"/>
    <w:basedOn w:val="a"/>
    <w:link w:val="afc"/>
    <w:uiPriority w:val="99"/>
    <w:unhideWhenUsed/>
    <w:rsid w:val="00E711A5"/>
    <w:rPr>
      <w:sz w:val="20"/>
      <w:szCs w:val="20"/>
    </w:rPr>
  </w:style>
  <w:style w:type="character" w:customStyle="1" w:styleId="afc">
    <w:name w:val="Текст примечания Знак"/>
    <w:basedOn w:val="a0"/>
    <w:link w:val="afb"/>
    <w:uiPriority w:val="99"/>
    <w:rsid w:val="00E711A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E711A5"/>
    <w:rPr>
      <w:b/>
      <w:bCs/>
    </w:rPr>
  </w:style>
  <w:style w:type="character" w:customStyle="1" w:styleId="afe">
    <w:name w:val="Тема примечания Знак"/>
    <w:basedOn w:val="afc"/>
    <w:link w:val="afd"/>
    <w:uiPriority w:val="99"/>
    <w:semiHidden/>
    <w:rsid w:val="00E711A5"/>
    <w:rPr>
      <w:rFonts w:ascii="Times New Roman" w:eastAsia="Times New Roman" w:hAnsi="Times New Roman" w:cs="Times New Roman"/>
      <w:b/>
      <w:bCs/>
      <w:sz w:val="20"/>
      <w:szCs w:val="20"/>
      <w:lang w:eastAsia="ru-RU"/>
    </w:rPr>
  </w:style>
  <w:style w:type="paragraph" w:customStyle="1" w:styleId="ConsPlusCell">
    <w:name w:val="ConsPlusCell"/>
    <w:uiPriority w:val="99"/>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nformat">
    <w:name w:val="ConsPlusNonformat"/>
    <w:link w:val="ConsPlusNonformat0"/>
    <w:uiPriority w:val="99"/>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FontStyle15">
    <w:name w:val="Font Style15"/>
    <w:uiPriority w:val="99"/>
    <w:rsid w:val="005C2213"/>
    <w:rPr>
      <w:rFonts w:ascii="Times New Roman" w:hAnsi="Times New Roman" w:cs="Times New Roman"/>
      <w:sz w:val="22"/>
      <w:szCs w:val="22"/>
    </w:rPr>
  </w:style>
  <w:style w:type="character" w:customStyle="1" w:styleId="ConsPlusNormal0">
    <w:name w:val="ConsPlusNormal Знак"/>
    <w:basedOn w:val="a0"/>
    <w:link w:val="ConsPlusNormal"/>
    <w:locked/>
    <w:rsid w:val="005C286A"/>
    <w:rPr>
      <w:rFonts w:ascii="Arial" w:eastAsia="Times New Roman" w:hAnsi="Arial" w:cs="Arial"/>
      <w:sz w:val="20"/>
      <w:szCs w:val="20"/>
      <w:lang w:eastAsia="ru-RU"/>
    </w:rPr>
  </w:style>
  <w:style w:type="character" w:customStyle="1" w:styleId="40">
    <w:name w:val="Заголовок 4 Знак"/>
    <w:basedOn w:val="a0"/>
    <w:link w:val="4"/>
    <w:uiPriority w:val="9"/>
    <w:rsid w:val="00F77DFC"/>
    <w:rPr>
      <w:rFonts w:ascii="Calibri" w:eastAsia="Times New Roman" w:hAnsi="Calibri" w:cs="Times New Roman"/>
      <w:b/>
      <w:bCs/>
      <w:sz w:val="28"/>
      <w:szCs w:val="28"/>
    </w:rPr>
  </w:style>
  <w:style w:type="character" w:customStyle="1" w:styleId="50">
    <w:name w:val="Заголовок 5 Знак"/>
    <w:basedOn w:val="a0"/>
    <w:link w:val="5"/>
    <w:uiPriority w:val="9"/>
    <w:rsid w:val="00F77DFC"/>
    <w:rPr>
      <w:rFonts w:ascii="Calibri" w:eastAsia="Times New Roman" w:hAnsi="Calibri" w:cs="Times New Roman"/>
      <w:b/>
      <w:bCs/>
      <w:i/>
      <w:iCs/>
      <w:sz w:val="26"/>
      <w:szCs w:val="26"/>
    </w:rPr>
  </w:style>
  <w:style w:type="character" w:customStyle="1" w:styleId="60">
    <w:name w:val="Заголовок 6 Знак"/>
    <w:basedOn w:val="a0"/>
    <w:link w:val="6"/>
    <w:uiPriority w:val="9"/>
    <w:rsid w:val="00F77DFC"/>
    <w:rPr>
      <w:rFonts w:ascii="Calibri" w:eastAsia="Times New Roman" w:hAnsi="Calibri" w:cs="Times New Roman"/>
      <w:b/>
      <w:bCs/>
      <w:sz w:val="20"/>
      <w:szCs w:val="20"/>
    </w:rPr>
  </w:style>
  <w:style w:type="character" w:customStyle="1" w:styleId="70">
    <w:name w:val="Заголовок 7 Знак"/>
    <w:basedOn w:val="a0"/>
    <w:link w:val="7"/>
    <w:uiPriority w:val="9"/>
    <w:rsid w:val="00F77DFC"/>
    <w:rPr>
      <w:rFonts w:ascii="Calibri" w:eastAsia="Times New Roman" w:hAnsi="Calibri" w:cs="Times New Roman"/>
      <w:sz w:val="24"/>
      <w:szCs w:val="24"/>
    </w:rPr>
  </w:style>
  <w:style w:type="character" w:customStyle="1" w:styleId="80">
    <w:name w:val="Заголовок 8 Знак"/>
    <w:basedOn w:val="a0"/>
    <w:link w:val="8"/>
    <w:rsid w:val="00F77DFC"/>
    <w:rPr>
      <w:rFonts w:ascii="Calibri" w:eastAsia="Times New Roman" w:hAnsi="Calibri" w:cs="Times New Roman"/>
      <w:i/>
      <w:iCs/>
      <w:sz w:val="24"/>
      <w:szCs w:val="24"/>
    </w:rPr>
  </w:style>
  <w:style w:type="character" w:customStyle="1" w:styleId="90">
    <w:name w:val="Заголовок 9 Знак"/>
    <w:basedOn w:val="a0"/>
    <w:link w:val="9"/>
    <w:uiPriority w:val="9"/>
    <w:rsid w:val="00F77DFC"/>
    <w:rPr>
      <w:rFonts w:ascii="Cambria" w:eastAsia="Times New Roman" w:hAnsi="Cambria" w:cs="Times New Roman"/>
      <w:sz w:val="20"/>
      <w:szCs w:val="20"/>
    </w:rPr>
  </w:style>
  <w:style w:type="character" w:customStyle="1" w:styleId="110">
    <w:name w:val="Заголовок 1 Знак1"/>
    <w:uiPriority w:val="9"/>
    <w:rsid w:val="00F77DFC"/>
    <w:rPr>
      <w:rFonts w:ascii="Cambria" w:eastAsia="Times New Roman" w:hAnsi="Cambria" w:cs="Times New Roman"/>
      <w:b/>
      <w:bCs/>
      <w:kern w:val="32"/>
      <w:sz w:val="32"/>
      <w:szCs w:val="32"/>
    </w:rPr>
  </w:style>
  <w:style w:type="paragraph" w:styleId="aff">
    <w:name w:val="Body Text"/>
    <w:aliases w:val="Основной текст 2a,Знак Знак Знак Знак Знак Знак Знак Знак Знак Знак Знак Знак Знак Знак Знак Знак,Основной текст Знак Знак Знак,Знак Знак Знак Знак Знак Знак Знак Знак Знак Знак Знак Знак Знак Знак Знак Знак Знак Знак Знак Знак Знак"/>
    <w:basedOn w:val="a"/>
    <w:link w:val="aff0"/>
    <w:uiPriority w:val="99"/>
    <w:rsid w:val="00F77DFC"/>
    <w:pPr>
      <w:jc w:val="both"/>
    </w:pPr>
  </w:style>
  <w:style w:type="character" w:customStyle="1" w:styleId="aff0">
    <w:name w:val="Основной текст Знак"/>
    <w:aliases w:val="Основной текст 2a Знак,Знак Знак Знак Знак Знак Знак Знак Знак Знак Знак Знак Знак Знак Знак Знак Знак Знак,Основной текст Знак Знак Знак Знак"/>
    <w:basedOn w:val="a0"/>
    <w:link w:val="aff"/>
    <w:uiPriority w:val="99"/>
    <w:rsid w:val="00F77DFC"/>
    <w:rPr>
      <w:rFonts w:ascii="Times New Roman" w:eastAsia="Times New Roman" w:hAnsi="Times New Roman" w:cs="Times New Roman"/>
      <w:sz w:val="24"/>
      <w:szCs w:val="24"/>
    </w:rPr>
  </w:style>
  <w:style w:type="paragraph" w:styleId="aff1">
    <w:name w:val="Body Text Indent"/>
    <w:aliases w:val="Основной текст 1,Нумерованный список !!,Надин стиль Знак,Надин стиль"/>
    <w:basedOn w:val="a"/>
    <w:link w:val="aff2"/>
    <w:rsid w:val="00F77DFC"/>
    <w:pPr>
      <w:spacing w:after="120" w:line="480" w:lineRule="auto"/>
      <w:jc w:val="center"/>
    </w:pPr>
  </w:style>
  <w:style w:type="character" w:customStyle="1" w:styleId="aff2">
    <w:name w:val="Основной текст с отступом Знак"/>
    <w:aliases w:val="Основной текст 1 Знак,Нумерованный список !! Знак,Надин стиль Знак Знак,Надин стиль Знак1"/>
    <w:basedOn w:val="a0"/>
    <w:link w:val="aff1"/>
    <w:rsid w:val="00F77DFC"/>
    <w:rPr>
      <w:rFonts w:ascii="Times New Roman" w:eastAsia="Times New Roman" w:hAnsi="Times New Roman" w:cs="Times New Roman"/>
      <w:sz w:val="24"/>
      <w:szCs w:val="24"/>
    </w:rPr>
  </w:style>
  <w:style w:type="character" w:styleId="aff3">
    <w:name w:val="page number"/>
    <w:rsid w:val="00F77DFC"/>
    <w:rPr>
      <w:rFonts w:cs="Times New Roman"/>
    </w:rPr>
  </w:style>
  <w:style w:type="paragraph" w:styleId="24">
    <w:name w:val="Body Text 2"/>
    <w:basedOn w:val="a"/>
    <w:link w:val="25"/>
    <w:uiPriority w:val="99"/>
    <w:rsid w:val="00F77DFC"/>
    <w:pPr>
      <w:jc w:val="center"/>
    </w:pPr>
  </w:style>
  <w:style w:type="character" w:customStyle="1" w:styleId="25">
    <w:name w:val="Основной текст 2 Знак"/>
    <w:basedOn w:val="a0"/>
    <w:link w:val="24"/>
    <w:uiPriority w:val="99"/>
    <w:rsid w:val="00F77DFC"/>
    <w:rPr>
      <w:rFonts w:ascii="Times New Roman" w:eastAsia="Times New Roman" w:hAnsi="Times New Roman" w:cs="Times New Roman"/>
      <w:sz w:val="24"/>
      <w:szCs w:val="24"/>
    </w:rPr>
  </w:style>
  <w:style w:type="paragraph" w:customStyle="1" w:styleId="aff4">
    <w:name w:val="Прижатый влево"/>
    <w:basedOn w:val="a"/>
    <w:next w:val="a"/>
    <w:uiPriority w:val="99"/>
    <w:rsid w:val="00F77DFC"/>
    <w:pPr>
      <w:autoSpaceDE w:val="0"/>
      <w:autoSpaceDN w:val="0"/>
      <w:adjustRightInd w:val="0"/>
      <w:jc w:val="center"/>
    </w:pPr>
    <w:rPr>
      <w:rFonts w:ascii="Arial" w:hAnsi="Arial" w:cs="Arial"/>
      <w:sz w:val="20"/>
      <w:szCs w:val="20"/>
    </w:rPr>
  </w:style>
  <w:style w:type="paragraph" w:customStyle="1" w:styleId="13">
    <w:name w:val="Обычный1"/>
    <w:uiPriority w:val="99"/>
    <w:rsid w:val="00F77DFC"/>
    <w:pPr>
      <w:spacing w:after="0" w:line="240" w:lineRule="auto"/>
    </w:pPr>
    <w:rPr>
      <w:rFonts w:ascii="Times New Roman" w:eastAsia="Times New Roman" w:hAnsi="Times New Roman" w:cs="Times New Roman"/>
      <w:sz w:val="24"/>
      <w:szCs w:val="20"/>
      <w:lang w:eastAsia="ru-RU"/>
    </w:rPr>
  </w:style>
  <w:style w:type="paragraph" w:styleId="31">
    <w:name w:val="Body Text Indent 3"/>
    <w:basedOn w:val="a"/>
    <w:link w:val="32"/>
    <w:uiPriority w:val="99"/>
    <w:rsid w:val="00F77DFC"/>
    <w:pPr>
      <w:ind w:firstLine="709"/>
      <w:jc w:val="both"/>
    </w:pPr>
  </w:style>
  <w:style w:type="character" w:customStyle="1" w:styleId="32">
    <w:name w:val="Основной текст с отступом 3 Знак"/>
    <w:basedOn w:val="a0"/>
    <w:link w:val="31"/>
    <w:uiPriority w:val="99"/>
    <w:rsid w:val="00F77DFC"/>
    <w:rPr>
      <w:rFonts w:ascii="Times New Roman" w:eastAsia="Times New Roman" w:hAnsi="Times New Roman" w:cs="Times New Roman"/>
      <w:sz w:val="24"/>
      <w:szCs w:val="24"/>
    </w:rPr>
  </w:style>
  <w:style w:type="paragraph" w:styleId="33">
    <w:name w:val="Body Text 3"/>
    <w:basedOn w:val="a"/>
    <w:link w:val="34"/>
    <w:uiPriority w:val="99"/>
    <w:semiHidden/>
    <w:rsid w:val="00F77DFC"/>
    <w:pPr>
      <w:jc w:val="center"/>
    </w:pPr>
    <w:rPr>
      <w:sz w:val="16"/>
      <w:szCs w:val="16"/>
    </w:rPr>
  </w:style>
  <w:style w:type="character" w:customStyle="1" w:styleId="34">
    <w:name w:val="Основной текст 3 Знак"/>
    <w:basedOn w:val="a0"/>
    <w:link w:val="33"/>
    <w:uiPriority w:val="99"/>
    <w:semiHidden/>
    <w:rsid w:val="00F77DFC"/>
    <w:rPr>
      <w:rFonts w:ascii="Times New Roman" w:eastAsia="Times New Roman" w:hAnsi="Times New Roman" w:cs="Times New Roman"/>
      <w:sz w:val="16"/>
      <w:szCs w:val="16"/>
    </w:rPr>
  </w:style>
  <w:style w:type="paragraph" w:customStyle="1" w:styleId="aff5">
    <w:name w:val="Комментарий"/>
    <w:basedOn w:val="a"/>
    <w:next w:val="a"/>
    <w:uiPriority w:val="99"/>
    <w:rsid w:val="00F77DFC"/>
    <w:pPr>
      <w:widowControl w:val="0"/>
      <w:autoSpaceDE w:val="0"/>
      <w:autoSpaceDN w:val="0"/>
      <w:adjustRightInd w:val="0"/>
      <w:ind w:left="170"/>
      <w:jc w:val="both"/>
    </w:pPr>
    <w:rPr>
      <w:rFonts w:ascii="Arial" w:hAnsi="Arial" w:cs="Arial"/>
      <w:i/>
      <w:iCs/>
      <w:color w:val="800080"/>
      <w:sz w:val="20"/>
      <w:szCs w:val="20"/>
    </w:rPr>
  </w:style>
  <w:style w:type="character" w:styleId="aff6">
    <w:name w:val="Strong"/>
    <w:uiPriority w:val="22"/>
    <w:qFormat/>
    <w:rsid w:val="00F77DFC"/>
    <w:rPr>
      <w:rFonts w:cs="Times New Roman"/>
      <w:b/>
      <w:bCs/>
    </w:rPr>
  </w:style>
  <w:style w:type="character" w:customStyle="1" w:styleId="style41">
    <w:name w:val="style41"/>
    <w:uiPriority w:val="99"/>
    <w:rsid w:val="00F77DFC"/>
    <w:rPr>
      <w:rFonts w:cs="Times New Roman"/>
      <w:sz w:val="27"/>
      <w:szCs w:val="27"/>
    </w:rPr>
  </w:style>
  <w:style w:type="character" w:customStyle="1" w:styleId="textspanview">
    <w:name w:val="textspanview"/>
    <w:uiPriority w:val="99"/>
    <w:rsid w:val="00F77DFC"/>
  </w:style>
  <w:style w:type="paragraph" w:customStyle="1" w:styleId="aff7">
    <w:name w:val="Нормальный (таблица)"/>
    <w:basedOn w:val="a"/>
    <w:next w:val="a"/>
    <w:uiPriority w:val="99"/>
    <w:rsid w:val="00F77DFC"/>
    <w:pPr>
      <w:widowControl w:val="0"/>
      <w:autoSpaceDE w:val="0"/>
      <w:autoSpaceDN w:val="0"/>
      <w:adjustRightInd w:val="0"/>
      <w:jc w:val="both"/>
    </w:pPr>
    <w:rPr>
      <w:rFonts w:ascii="Arial" w:hAnsi="Arial" w:cs="Arial"/>
    </w:rPr>
  </w:style>
  <w:style w:type="character" w:customStyle="1" w:styleId="af0">
    <w:name w:val="Абзац списка Знак"/>
    <w:aliases w:val="SL_Абзац списка Знак,_Абзац списка Знак,A_маркированный_список Знак,Абзац Стас Знак,lp1 Знак,Bullet List Знак,FooterText Знак,numbered Знак,ТЗ список Знак,Абзац списка литеральный Знак,Bullet 1 Знак,Use Case List Paragraph Знак,А Знак"/>
    <w:link w:val="af"/>
    <w:uiPriority w:val="34"/>
    <w:qFormat/>
    <w:locked/>
    <w:rsid w:val="00F77DFC"/>
    <w:rPr>
      <w:rFonts w:eastAsiaTheme="minorEastAsia"/>
      <w:lang w:eastAsia="ru-RU"/>
    </w:rPr>
  </w:style>
  <w:style w:type="paragraph" w:customStyle="1" w:styleId="Default">
    <w:name w:val="Default"/>
    <w:rsid w:val="00F77D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unhideWhenUsed/>
    <w:rsid w:val="00F7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77DFC"/>
    <w:rPr>
      <w:rFonts w:ascii="Courier New" w:eastAsia="Times New Roman" w:hAnsi="Courier New" w:cs="Courier New"/>
      <w:sz w:val="20"/>
      <w:szCs w:val="20"/>
      <w:lang w:eastAsia="ru-RU"/>
    </w:rPr>
  </w:style>
  <w:style w:type="paragraph" w:customStyle="1" w:styleId="111">
    <w:name w:val="Заголовок 11"/>
    <w:basedOn w:val="a"/>
    <w:next w:val="a"/>
    <w:uiPriority w:val="99"/>
    <w:qFormat/>
    <w:rsid w:val="0026094D"/>
    <w:pPr>
      <w:autoSpaceDE w:val="0"/>
      <w:autoSpaceDN w:val="0"/>
      <w:adjustRightInd w:val="0"/>
      <w:spacing w:before="108" w:after="108"/>
      <w:jc w:val="center"/>
      <w:outlineLvl w:val="0"/>
    </w:pPr>
    <w:rPr>
      <w:rFonts w:ascii="Arial" w:eastAsiaTheme="minorHAnsi" w:hAnsi="Arial" w:cs="Arial"/>
      <w:b/>
      <w:bCs/>
      <w:color w:val="26282F"/>
      <w:lang w:eastAsia="en-US"/>
    </w:rPr>
  </w:style>
  <w:style w:type="numbering" w:customStyle="1" w:styleId="14">
    <w:name w:val="Нет списка1"/>
    <w:next w:val="a2"/>
    <w:uiPriority w:val="99"/>
    <w:semiHidden/>
    <w:unhideWhenUsed/>
    <w:rsid w:val="0026094D"/>
  </w:style>
  <w:style w:type="paragraph" w:customStyle="1" w:styleId="aff8">
    <w:name w:val="Заголовок статьи"/>
    <w:basedOn w:val="a"/>
    <w:next w:val="a"/>
    <w:uiPriority w:val="99"/>
    <w:rsid w:val="0026094D"/>
    <w:pPr>
      <w:autoSpaceDE w:val="0"/>
      <w:autoSpaceDN w:val="0"/>
      <w:adjustRightInd w:val="0"/>
      <w:ind w:left="1612" w:hanging="892"/>
      <w:jc w:val="both"/>
    </w:pPr>
    <w:rPr>
      <w:rFonts w:ascii="Arial" w:eastAsiaTheme="minorHAnsi" w:hAnsi="Arial" w:cs="Arial"/>
      <w:lang w:eastAsia="en-US"/>
    </w:rPr>
  </w:style>
  <w:style w:type="character" w:customStyle="1" w:styleId="15">
    <w:name w:val="Гиперссылка1"/>
    <w:basedOn w:val="a0"/>
    <w:unhideWhenUsed/>
    <w:rsid w:val="0026094D"/>
    <w:rPr>
      <w:color w:val="0000FF"/>
      <w:u w:val="single"/>
    </w:rPr>
  </w:style>
  <w:style w:type="paragraph" w:customStyle="1" w:styleId="16">
    <w:name w:val="Булеты1"/>
    <w:basedOn w:val="a"/>
    <w:uiPriority w:val="99"/>
    <w:rsid w:val="0026094D"/>
    <w:pPr>
      <w:tabs>
        <w:tab w:val="left" w:pos="2977"/>
      </w:tabs>
      <w:spacing w:after="200" w:line="276" w:lineRule="auto"/>
      <w:contextualSpacing/>
      <w:jc w:val="both"/>
    </w:pPr>
    <w:rPr>
      <w:sz w:val="22"/>
      <w:szCs w:val="22"/>
    </w:rPr>
  </w:style>
  <w:style w:type="character" w:styleId="aff9">
    <w:name w:val="FollowedHyperlink"/>
    <w:basedOn w:val="a0"/>
    <w:uiPriority w:val="99"/>
    <w:semiHidden/>
    <w:unhideWhenUsed/>
    <w:rsid w:val="0026094D"/>
    <w:rPr>
      <w:color w:val="800080" w:themeColor="followedHyperlink"/>
      <w:u w:val="single"/>
    </w:rPr>
  </w:style>
  <w:style w:type="paragraph" w:customStyle="1" w:styleId="51">
    <w:name w:val="Основной текст5"/>
    <w:basedOn w:val="a"/>
    <w:rsid w:val="004633CC"/>
    <w:pPr>
      <w:shd w:val="clear" w:color="auto" w:fill="FFFFFF"/>
      <w:spacing w:after="120" w:line="0" w:lineRule="atLeast"/>
    </w:pPr>
    <w:rPr>
      <w:color w:val="000000"/>
      <w:sz w:val="27"/>
      <w:szCs w:val="27"/>
    </w:rPr>
  </w:style>
  <w:style w:type="paragraph" w:styleId="affa">
    <w:name w:val="Revision"/>
    <w:hidden/>
    <w:uiPriority w:val="99"/>
    <w:semiHidden/>
    <w:rsid w:val="004633CC"/>
    <w:pPr>
      <w:spacing w:after="0" w:line="240" w:lineRule="auto"/>
    </w:pPr>
  </w:style>
  <w:style w:type="paragraph" w:customStyle="1" w:styleId="ConsNormal">
    <w:name w:val="ConsNormal"/>
    <w:rsid w:val="004633CC"/>
    <w:pPr>
      <w:widowControl w:val="0"/>
      <w:autoSpaceDE w:val="0"/>
      <w:autoSpaceDN w:val="0"/>
      <w:adjustRightInd w:val="0"/>
      <w:spacing w:after="0" w:line="240" w:lineRule="auto"/>
      <w:ind w:firstLine="720"/>
    </w:pPr>
    <w:rPr>
      <w:rFonts w:ascii="Arial" w:eastAsia="MS Mincho" w:hAnsi="Arial" w:cs="Arial"/>
      <w:sz w:val="20"/>
      <w:szCs w:val="20"/>
      <w:lang w:eastAsia="ja-JP"/>
    </w:rPr>
  </w:style>
  <w:style w:type="character" w:styleId="affb">
    <w:name w:val="Emphasis"/>
    <w:basedOn w:val="a0"/>
    <w:uiPriority w:val="20"/>
    <w:qFormat/>
    <w:rsid w:val="00343E1A"/>
    <w:rPr>
      <w:i/>
      <w:iCs/>
    </w:rPr>
  </w:style>
  <w:style w:type="character" w:customStyle="1" w:styleId="af9">
    <w:name w:val="Без интервала Знак"/>
    <w:aliases w:val="стандарт Знак,БОРИСОВ Знак"/>
    <w:link w:val="af8"/>
    <w:uiPriority w:val="1"/>
    <w:rsid w:val="00A414E6"/>
    <w:rPr>
      <w:rFonts w:ascii="Times New Roman" w:eastAsia="Times New Roman" w:hAnsi="Times New Roman" w:cs="Times New Roman"/>
      <w:sz w:val="24"/>
      <w:szCs w:val="24"/>
      <w:lang w:eastAsia="ru-RU"/>
    </w:rPr>
  </w:style>
  <w:style w:type="paragraph" w:customStyle="1" w:styleId="35">
    <w:name w:val="Основной текст3"/>
    <w:basedOn w:val="a"/>
    <w:rsid w:val="00A414E6"/>
    <w:pPr>
      <w:widowControl w:val="0"/>
      <w:shd w:val="clear" w:color="auto" w:fill="FFFFFF"/>
      <w:spacing w:line="312" w:lineRule="exact"/>
      <w:ind w:hanging="360"/>
      <w:jc w:val="center"/>
    </w:pPr>
    <w:rPr>
      <w:sz w:val="23"/>
      <w:szCs w:val="23"/>
      <w:lang w:eastAsia="en-US"/>
    </w:rPr>
  </w:style>
  <w:style w:type="paragraph" w:customStyle="1" w:styleId="affc">
    <w:name w:val="Акты"/>
    <w:basedOn w:val="a"/>
    <w:link w:val="affd"/>
    <w:qFormat/>
    <w:rsid w:val="00A414E6"/>
    <w:pPr>
      <w:ind w:firstLine="709"/>
      <w:jc w:val="both"/>
    </w:pPr>
    <w:rPr>
      <w:sz w:val="28"/>
      <w:szCs w:val="28"/>
    </w:rPr>
  </w:style>
  <w:style w:type="character" w:customStyle="1" w:styleId="affd">
    <w:name w:val="Акты Знак"/>
    <w:link w:val="affc"/>
    <w:rsid w:val="00A414E6"/>
    <w:rPr>
      <w:rFonts w:ascii="Times New Roman" w:eastAsia="Times New Roman" w:hAnsi="Times New Roman" w:cs="Times New Roman"/>
      <w:sz w:val="28"/>
      <w:szCs w:val="28"/>
      <w:lang w:eastAsia="ru-RU"/>
    </w:rPr>
  </w:style>
  <w:style w:type="paragraph" w:customStyle="1" w:styleId="17">
    <w:name w:val="1"/>
    <w:rsid w:val="00A414E6"/>
    <w:pPr>
      <w:spacing w:after="0" w:line="240" w:lineRule="auto"/>
    </w:pPr>
    <w:rPr>
      <w:rFonts w:ascii="Times New Roman" w:eastAsia="Times New Roman" w:hAnsi="Times New Roman" w:cs="Times New Roman"/>
      <w:sz w:val="24"/>
      <w:szCs w:val="20"/>
      <w:lang w:eastAsia="ru-RU"/>
    </w:rPr>
  </w:style>
  <w:style w:type="paragraph" w:styleId="affe">
    <w:name w:val="endnote text"/>
    <w:basedOn w:val="a"/>
    <w:link w:val="afff"/>
    <w:uiPriority w:val="99"/>
    <w:semiHidden/>
    <w:unhideWhenUsed/>
    <w:rsid w:val="00A414E6"/>
    <w:pPr>
      <w:spacing w:after="200" w:line="276" w:lineRule="auto"/>
    </w:pPr>
    <w:rPr>
      <w:rFonts w:ascii="Calibri" w:hAnsi="Calibri"/>
      <w:sz w:val="20"/>
      <w:szCs w:val="20"/>
    </w:rPr>
  </w:style>
  <w:style w:type="character" w:customStyle="1" w:styleId="afff">
    <w:name w:val="Текст концевой сноски Знак"/>
    <w:basedOn w:val="a0"/>
    <w:link w:val="affe"/>
    <w:uiPriority w:val="99"/>
    <w:semiHidden/>
    <w:rsid w:val="00A414E6"/>
    <w:rPr>
      <w:rFonts w:ascii="Calibri" w:eastAsia="Times New Roman" w:hAnsi="Calibri" w:cs="Times New Roman"/>
      <w:sz w:val="20"/>
      <w:szCs w:val="20"/>
      <w:lang w:eastAsia="ru-RU"/>
    </w:rPr>
  </w:style>
  <w:style w:type="character" w:styleId="afff0">
    <w:name w:val="endnote reference"/>
    <w:basedOn w:val="a0"/>
    <w:uiPriority w:val="99"/>
    <w:semiHidden/>
    <w:unhideWhenUsed/>
    <w:rsid w:val="00A414E6"/>
    <w:rPr>
      <w:vertAlign w:val="superscript"/>
    </w:rPr>
  </w:style>
  <w:style w:type="paragraph" w:styleId="z-">
    <w:name w:val="HTML Top of Form"/>
    <w:basedOn w:val="a"/>
    <w:next w:val="a"/>
    <w:link w:val="z-0"/>
    <w:hidden/>
    <w:uiPriority w:val="99"/>
    <w:semiHidden/>
    <w:unhideWhenUsed/>
    <w:rsid w:val="00F37CC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37CCE"/>
    <w:rPr>
      <w:rFonts w:ascii="Arial" w:eastAsia="Times New Roman" w:hAnsi="Arial" w:cs="Arial"/>
      <w:vanish/>
      <w:sz w:val="16"/>
      <w:szCs w:val="16"/>
      <w:lang w:eastAsia="ru-RU"/>
    </w:rPr>
  </w:style>
  <w:style w:type="character" w:customStyle="1" w:styleId="hlnormal">
    <w:name w:val="hlnormal"/>
    <w:basedOn w:val="a0"/>
    <w:rsid w:val="00F37CCE"/>
  </w:style>
  <w:style w:type="paragraph" w:styleId="z-1">
    <w:name w:val="HTML Bottom of Form"/>
    <w:basedOn w:val="a"/>
    <w:next w:val="a"/>
    <w:link w:val="z-2"/>
    <w:hidden/>
    <w:uiPriority w:val="99"/>
    <w:unhideWhenUsed/>
    <w:rsid w:val="00F37CC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F37CCE"/>
    <w:rPr>
      <w:rFonts w:ascii="Arial" w:eastAsia="Times New Roman" w:hAnsi="Arial" w:cs="Arial"/>
      <w:vanish/>
      <w:sz w:val="16"/>
      <w:szCs w:val="16"/>
      <w:lang w:eastAsia="ru-RU"/>
    </w:rPr>
  </w:style>
  <w:style w:type="character" w:customStyle="1" w:styleId="hl2">
    <w:name w:val="hl2"/>
    <w:basedOn w:val="a0"/>
    <w:rsid w:val="00F37CCE"/>
  </w:style>
  <w:style w:type="character" w:customStyle="1" w:styleId="hlcopyright">
    <w:name w:val="hlcopyright"/>
    <w:basedOn w:val="a0"/>
    <w:rsid w:val="00F37CCE"/>
  </w:style>
  <w:style w:type="character" w:customStyle="1" w:styleId="hl4">
    <w:name w:val="hl4"/>
    <w:basedOn w:val="a0"/>
    <w:rsid w:val="00F37CCE"/>
  </w:style>
  <w:style w:type="paragraph" w:customStyle="1" w:styleId="pc">
    <w:name w:val="pc"/>
    <w:basedOn w:val="a"/>
    <w:rsid w:val="00F37CCE"/>
    <w:pPr>
      <w:spacing w:before="100" w:beforeAutospacing="1" w:after="100" w:afterAutospacing="1"/>
    </w:pPr>
  </w:style>
  <w:style w:type="character" w:customStyle="1" w:styleId="310">
    <w:name w:val="Заголовок 3 Знак1"/>
    <w:rsid w:val="002264E4"/>
    <w:rPr>
      <w:color w:val="000000"/>
      <w:sz w:val="24"/>
      <w:szCs w:val="26"/>
      <w:lang w:val="ru-RU" w:eastAsia="ru-RU" w:bidi="ar-SA"/>
    </w:rPr>
  </w:style>
  <w:style w:type="paragraph" w:customStyle="1" w:styleId="afff1">
    <w:name w:val="Документ"/>
    <w:basedOn w:val="a"/>
    <w:link w:val="afff2"/>
    <w:rsid w:val="002264E4"/>
    <w:pPr>
      <w:spacing w:line="360" w:lineRule="auto"/>
      <w:ind w:firstLine="709"/>
      <w:jc w:val="both"/>
    </w:pPr>
    <w:rPr>
      <w:rFonts w:eastAsia="Calibri"/>
      <w:sz w:val="28"/>
      <w:szCs w:val="20"/>
    </w:rPr>
  </w:style>
  <w:style w:type="character" w:customStyle="1" w:styleId="afff2">
    <w:name w:val="Документ Знак"/>
    <w:link w:val="afff1"/>
    <w:locked/>
    <w:rsid w:val="002264E4"/>
    <w:rPr>
      <w:rFonts w:ascii="Times New Roman" w:eastAsia="Calibri" w:hAnsi="Times New Roman" w:cs="Times New Roman"/>
      <w:sz w:val="28"/>
      <w:szCs w:val="20"/>
      <w:lang w:eastAsia="ru-RU"/>
    </w:rPr>
  </w:style>
  <w:style w:type="character" w:customStyle="1" w:styleId="afff3">
    <w:name w:val="Схема документа Знак"/>
    <w:basedOn w:val="a0"/>
    <w:link w:val="afff4"/>
    <w:uiPriority w:val="99"/>
    <w:semiHidden/>
    <w:rsid w:val="002264E4"/>
    <w:rPr>
      <w:rFonts w:ascii="Tahoma" w:eastAsia="Times New Roman" w:hAnsi="Tahoma" w:cs="Tahoma"/>
      <w:sz w:val="16"/>
      <w:szCs w:val="16"/>
    </w:rPr>
  </w:style>
  <w:style w:type="paragraph" w:styleId="afff4">
    <w:name w:val="Document Map"/>
    <w:basedOn w:val="a"/>
    <w:link w:val="afff3"/>
    <w:uiPriority w:val="99"/>
    <w:semiHidden/>
    <w:unhideWhenUsed/>
    <w:rsid w:val="002264E4"/>
    <w:pPr>
      <w:spacing w:after="200" w:line="276" w:lineRule="auto"/>
    </w:pPr>
    <w:rPr>
      <w:rFonts w:ascii="Tahoma" w:hAnsi="Tahoma" w:cs="Tahoma"/>
      <w:sz w:val="16"/>
      <w:szCs w:val="16"/>
      <w:lang w:eastAsia="en-US"/>
    </w:rPr>
  </w:style>
  <w:style w:type="character" w:customStyle="1" w:styleId="18">
    <w:name w:val="Схема документа Знак1"/>
    <w:basedOn w:val="a0"/>
    <w:uiPriority w:val="99"/>
    <w:semiHidden/>
    <w:rsid w:val="002264E4"/>
    <w:rPr>
      <w:rFonts w:ascii="Tahoma" w:eastAsia="Times New Roman" w:hAnsi="Tahoma" w:cs="Tahoma"/>
      <w:sz w:val="16"/>
      <w:szCs w:val="16"/>
      <w:lang w:eastAsia="ru-RU"/>
    </w:rPr>
  </w:style>
  <w:style w:type="paragraph" w:customStyle="1" w:styleId="rtejustify">
    <w:name w:val="rtejustify"/>
    <w:basedOn w:val="a"/>
    <w:rsid w:val="002264E4"/>
    <w:pPr>
      <w:spacing w:before="100" w:beforeAutospacing="1" w:after="100" w:afterAutospacing="1"/>
    </w:pPr>
  </w:style>
  <w:style w:type="paragraph" w:customStyle="1" w:styleId="19">
    <w:name w:val="Стиль1"/>
    <w:basedOn w:val="a"/>
    <w:qFormat/>
    <w:rsid w:val="002264E4"/>
    <w:pPr>
      <w:ind w:firstLine="567"/>
      <w:jc w:val="both"/>
    </w:pPr>
    <w:rPr>
      <w:rFonts w:eastAsiaTheme="minorHAnsi"/>
      <w:color w:val="000000" w:themeColor="text1"/>
      <w:sz w:val="28"/>
      <w:szCs w:val="28"/>
      <w:lang w:eastAsia="en-US"/>
    </w:rPr>
  </w:style>
  <w:style w:type="paragraph" w:customStyle="1" w:styleId="41">
    <w:name w:val="Стиль4"/>
    <w:basedOn w:val="a"/>
    <w:qFormat/>
    <w:rsid w:val="002264E4"/>
    <w:pPr>
      <w:ind w:right="-2" w:firstLine="709"/>
      <w:jc w:val="both"/>
    </w:pPr>
    <w:rPr>
      <w:rFonts w:eastAsiaTheme="minorHAnsi"/>
      <w:color w:val="FF0000"/>
      <w:sz w:val="28"/>
      <w:szCs w:val="28"/>
      <w:lang w:eastAsia="en-US"/>
    </w:rPr>
  </w:style>
  <w:style w:type="character" w:customStyle="1" w:styleId="1a">
    <w:name w:val="Основной текст Знак1"/>
    <w:basedOn w:val="a0"/>
    <w:uiPriority w:val="99"/>
    <w:semiHidden/>
    <w:rsid w:val="002264E4"/>
  </w:style>
  <w:style w:type="paragraph" w:customStyle="1" w:styleId="s1">
    <w:name w:val="s_1"/>
    <w:basedOn w:val="a"/>
    <w:rsid w:val="002264E4"/>
    <w:pPr>
      <w:ind w:firstLine="720"/>
      <w:jc w:val="both"/>
    </w:pPr>
    <w:rPr>
      <w:rFonts w:ascii="Arial" w:hAnsi="Arial" w:cs="Arial"/>
      <w:sz w:val="26"/>
      <w:szCs w:val="26"/>
    </w:rPr>
  </w:style>
  <w:style w:type="paragraph" w:customStyle="1" w:styleId="Pa7">
    <w:name w:val="Pa7"/>
    <w:basedOn w:val="a"/>
    <w:next w:val="a"/>
    <w:uiPriority w:val="99"/>
    <w:rsid w:val="002264E4"/>
    <w:pPr>
      <w:autoSpaceDE w:val="0"/>
      <w:autoSpaceDN w:val="0"/>
      <w:adjustRightInd w:val="0"/>
      <w:spacing w:line="221" w:lineRule="atLeast"/>
    </w:pPr>
    <w:rPr>
      <w:rFonts w:ascii="Arial" w:hAnsi="Arial" w:cs="Arial"/>
    </w:rPr>
  </w:style>
  <w:style w:type="paragraph" w:customStyle="1" w:styleId="Pa4">
    <w:name w:val="Pa4"/>
    <w:basedOn w:val="a"/>
    <w:next w:val="a"/>
    <w:uiPriority w:val="99"/>
    <w:rsid w:val="002264E4"/>
    <w:pPr>
      <w:autoSpaceDE w:val="0"/>
      <w:autoSpaceDN w:val="0"/>
      <w:adjustRightInd w:val="0"/>
      <w:spacing w:line="241" w:lineRule="atLeast"/>
    </w:pPr>
    <w:rPr>
      <w:rFonts w:ascii="Arial" w:hAnsi="Arial" w:cs="Arial"/>
    </w:rPr>
  </w:style>
  <w:style w:type="character" w:customStyle="1" w:styleId="A20">
    <w:name w:val="A2"/>
    <w:uiPriority w:val="99"/>
    <w:rsid w:val="002264E4"/>
    <w:rPr>
      <w:i/>
      <w:iCs/>
      <w:color w:val="000000"/>
      <w:sz w:val="20"/>
      <w:szCs w:val="20"/>
    </w:rPr>
  </w:style>
  <w:style w:type="paragraph" w:customStyle="1" w:styleId="Style1">
    <w:name w:val="Style1"/>
    <w:basedOn w:val="a"/>
    <w:uiPriority w:val="99"/>
    <w:rsid w:val="002264E4"/>
    <w:pPr>
      <w:widowControl w:val="0"/>
      <w:autoSpaceDE w:val="0"/>
      <w:autoSpaceDN w:val="0"/>
      <w:adjustRightInd w:val="0"/>
      <w:spacing w:line="409" w:lineRule="exact"/>
      <w:ind w:firstLine="682"/>
      <w:jc w:val="both"/>
    </w:pPr>
  </w:style>
  <w:style w:type="paragraph" w:customStyle="1" w:styleId="afff5">
    <w:name w:val="адрес"/>
    <w:basedOn w:val="a"/>
    <w:rsid w:val="005133BF"/>
    <w:pPr>
      <w:overflowPunct w:val="0"/>
      <w:autoSpaceDE w:val="0"/>
      <w:autoSpaceDN w:val="0"/>
      <w:adjustRightInd w:val="0"/>
      <w:jc w:val="center"/>
      <w:textAlignment w:val="baseline"/>
    </w:pPr>
    <w:rPr>
      <w:sz w:val="28"/>
      <w:szCs w:val="28"/>
    </w:rPr>
  </w:style>
  <w:style w:type="paragraph" w:customStyle="1" w:styleId="afff6">
    <w:name w:val="уважаемый"/>
    <w:basedOn w:val="a"/>
    <w:rsid w:val="005133BF"/>
    <w:pPr>
      <w:overflowPunct w:val="0"/>
      <w:autoSpaceDE w:val="0"/>
      <w:autoSpaceDN w:val="0"/>
      <w:adjustRightInd w:val="0"/>
      <w:ind w:left="284" w:right="-284"/>
      <w:jc w:val="center"/>
      <w:textAlignment w:val="baseline"/>
    </w:pPr>
    <w:rPr>
      <w:sz w:val="28"/>
      <w:szCs w:val="28"/>
    </w:rPr>
  </w:style>
  <w:style w:type="character" w:customStyle="1" w:styleId="address2">
    <w:name w:val="address2"/>
    <w:basedOn w:val="a0"/>
    <w:rsid w:val="005133BF"/>
  </w:style>
  <w:style w:type="paragraph" w:customStyle="1" w:styleId="txt-1">
    <w:name w:val="txt-1"/>
    <w:basedOn w:val="a"/>
    <w:rsid w:val="007766C6"/>
    <w:pPr>
      <w:spacing w:before="100" w:beforeAutospacing="1" w:after="100" w:afterAutospacing="1"/>
    </w:pPr>
  </w:style>
  <w:style w:type="paragraph" w:customStyle="1" w:styleId="pboth1">
    <w:name w:val="pboth1"/>
    <w:basedOn w:val="a"/>
    <w:rsid w:val="007766C6"/>
    <w:pPr>
      <w:spacing w:before="100" w:beforeAutospacing="1" w:after="180" w:line="330" w:lineRule="atLeast"/>
      <w:jc w:val="both"/>
    </w:pPr>
  </w:style>
  <w:style w:type="paragraph" w:customStyle="1" w:styleId="Style3">
    <w:name w:val="Style3"/>
    <w:basedOn w:val="a"/>
    <w:rsid w:val="000009BD"/>
    <w:pPr>
      <w:widowControl w:val="0"/>
      <w:autoSpaceDE w:val="0"/>
      <w:autoSpaceDN w:val="0"/>
      <w:adjustRightInd w:val="0"/>
      <w:spacing w:line="323" w:lineRule="exact"/>
      <w:ind w:firstLine="670"/>
      <w:jc w:val="both"/>
    </w:pPr>
    <w:rPr>
      <w:rFonts w:eastAsiaTheme="minorEastAsia"/>
    </w:rPr>
  </w:style>
  <w:style w:type="character" w:customStyle="1" w:styleId="FontStyle12">
    <w:name w:val="Font Style12"/>
    <w:basedOn w:val="a0"/>
    <w:uiPriority w:val="99"/>
    <w:rsid w:val="000009BD"/>
    <w:rPr>
      <w:rFonts w:ascii="Times New Roman" w:hAnsi="Times New Roman" w:cs="Times New Roman"/>
      <w:spacing w:val="20"/>
      <w:sz w:val="20"/>
      <w:szCs w:val="20"/>
    </w:rPr>
  </w:style>
  <w:style w:type="character" w:customStyle="1" w:styleId="FontStyle13">
    <w:name w:val="Font Style13"/>
    <w:basedOn w:val="a0"/>
    <w:uiPriority w:val="99"/>
    <w:rsid w:val="000009BD"/>
    <w:rPr>
      <w:rFonts w:ascii="Times New Roman" w:hAnsi="Times New Roman" w:cs="Times New Roman"/>
      <w:spacing w:val="10"/>
      <w:sz w:val="20"/>
      <w:szCs w:val="20"/>
    </w:rPr>
  </w:style>
  <w:style w:type="character" w:customStyle="1" w:styleId="36">
    <w:name w:val="Основной текст (3)_"/>
    <w:basedOn w:val="a0"/>
    <w:link w:val="37"/>
    <w:locked/>
    <w:rsid w:val="000009BD"/>
    <w:rPr>
      <w:sz w:val="27"/>
      <w:szCs w:val="27"/>
      <w:shd w:val="clear" w:color="auto" w:fill="FFFFFF"/>
    </w:rPr>
  </w:style>
  <w:style w:type="paragraph" w:customStyle="1" w:styleId="37">
    <w:name w:val="Основной текст (3)"/>
    <w:basedOn w:val="a"/>
    <w:link w:val="36"/>
    <w:rsid w:val="000009BD"/>
    <w:pPr>
      <w:shd w:val="clear" w:color="auto" w:fill="FFFFFF"/>
      <w:spacing w:line="317" w:lineRule="exact"/>
    </w:pPr>
    <w:rPr>
      <w:rFonts w:asciiTheme="minorHAnsi" w:eastAsiaTheme="minorHAnsi" w:hAnsiTheme="minorHAnsi" w:cstheme="minorBidi"/>
      <w:sz w:val="27"/>
      <w:szCs w:val="27"/>
      <w:lang w:eastAsia="en-US"/>
    </w:rPr>
  </w:style>
  <w:style w:type="paragraph" w:styleId="afff7">
    <w:name w:val="Subtitle"/>
    <w:basedOn w:val="a"/>
    <w:next w:val="a"/>
    <w:link w:val="afff8"/>
    <w:uiPriority w:val="11"/>
    <w:qFormat/>
    <w:rsid w:val="009C505E"/>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ff8">
    <w:name w:val="Подзаголовок Знак"/>
    <w:basedOn w:val="a0"/>
    <w:link w:val="afff7"/>
    <w:uiPriority w:val="11"/>
    <w:rsid w:val="009C505E"/>
    <w:rPr>
      <w:rFonts w:asciiTheme="majorHAnsi" w:eastAsiaTheme="majorEastAsia" w:hAnsiTheme="majorHAnsi" w:cstheme="majorBidi"/>
      <w:i/>
      <w:iCs/>
      <w:color w:val="4F81BD" w:themeColor="accent1"/>
      <w:spacing w:val="15"/>
      <w:sz w:val="24"/>
      <w:szCs w:val="24"/>
    </w:rPr>
  </w:style>
  <w:style w:type="paragraph" w:customStyle="1" w:styleId="000cxspmiddle">
    <w:name w:val="000cxspmiddle"/>
    <w:basedOn w:val="a"/>
    <w:rsid w:val="009C505E"/>
    <w:pPr>
      <w:spacing w:before="100" w:beforeAutospacing="1" w:after="100" w:afterAutospacing="1"/>
    </w:pPr>
  </w:style>
  <w:style w:type="paragraph" w:customStyle="1" w:styleId="1b">
    <w:name w:val="Абзац списка1"/>
    <w:basedOn w:val="a"/>
    <w:link w:val="ListParagraphChar"/>
    <w:rsid w:val="009C505E"/>
    <w:pPr>
      <w:spacing w:after="200" w:line="276" w:lineRule="auto"/>
      <w:ind w:left="720"/>
      <w:jc w:val="both"/>
    </w:pPr>
    <w:rPr>
      <w:rFonts w:ascii="Calibri" w:hAnsi="Calibri"/>
      <w:sz w:val="28"/>
      <w:szCs w:val="22"/>
    </w:rPr>
  </w:style>
  <w:style w:type="character" w:customStyle="1" w:styleId="1c">
    <w:name w:val="Нижний колонтитул Знак1"/>
    <w:basedOn w:val="a0"/>
    <w:uiPriority w:val="99"/>
    <w:semiHidden/>
    <w:rsid w:val="009C505E"/>
    <w:rPr>
      <w:rFonts w:ascii="Times New Roman" w:eastAsia="Times New Roman" w:hAnsi="Times New Roman" w:cs="Times New Roman"/>
      <w:sz w:val="24"/>
      <w:szCs w:val="24"/>
      <w:lang w:eastAsia="ru-RU"/>
    </w:rPr>
  </w:style>
  <w:style w:type="character" w:customStyle="1" w:styleId="1d">
    <w:name w:val="Текст концевой сноски Знак1"/>
    <w:basedOn w:val="a0"/>
    <w:uiPriority w:val="99"/>
    <w:semiHidden/>
    <w:rsid w:val="009C505E"/>
    <w:rPr>
      <w:rFonts w:ascii="Times New Roman" w:eastAsia="Times New Roman" w:hAnsi="Times New Roman" w:cs="Times New Roman"/>
      <w:sz w:val="20"/>
      <w:szCs w:val="20"/>
      <w:lang w:eastAsia="ru-RU"/>
    </w:rPr>
  </w:style>
  <w:style w:type="paragraph" w:customStyle="1" w:styleId="26">
    <w:name w:val="Обычный2"/>
    <w:rsid w:val="009C505E"/>
    <w:pPr>
      <w:spacing w:after="0" w:line="240" w:lineRule="auto"/>
    </w:pPr>
    <w:rPr>
      <w:rFonts w:ascii="Times New Roman" w:eastAsia="Times New Roman" w:hAnsi="Times New Roman" w:cs="Times New Roman"/>
      <w:sz w:val="20"/>
      <w:szCs w:val="20"/>
      <w:lang w:eastAsia="ru-RU"/>
    </w:rPr>
  </w:style>
  <w:style w:type="paragraph" w:customStyle="1" w:styleId="afff9">
    <w:name w:val="Текст_"/>
    <w:rsid w:val="009C505E"/>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Style5">
    <w:name w:val="Style5"/>
    <w:basedOn w:val="a"/>
    <w:rsid w:val="009C505E"/>
    <w:pPr>
      <w:widowControl w:val="0"/>
      <w:suppressAutoHyphens/>
      <w:autoSpaceDE w:val="0"/>
      <w:spacing w:line="276" w:lineRule="exact"/>
      <w:ind w:firstLine="720"/>
      <w:jc w:val="both"/>
    </w:pPr>
    <w:rPr>
      <w:lang w:eastAsia="ar-SA"/>
    </w:rPr>
  </w:style>
  <w:style w:type="paragraph" w:customStyle="1" w:styleId="27">
    <w:name w:val="Без интервала2"/>
    <w:rsid w:val="007721E9"/>
    <w:pPr>
      <w:widowControl w:val="0"/>
      <w:spacing w:after="0" w:line="240" w:lineRule="auto"/>
    </w:pPr>
    <w:rPr>
      <w:rFonts w:ascii="Calibri" w:eastAsia="Calibri" w:hAnsi="Calibri" w:cs="Times New Roman"/>
      <w:lang w:val="en-US"/>
    </w:rPr>
  </w:style>
  <w:style w:type="character" w:customStyle="1" w:styleId="ListParagraphChar">
    <w:name w:val="List Paragraph Char"/>
    <w:aliases w:val="Нумерация 1) Char,Нумерованый список Char"/>
    <w:link w:val="1b"/>
    <w:locked/>
    <w:rsid w:val="007721E9"/>
    <w:rPr>
      <w:rFonts w:ascii="Calibri" w:eastAsia="Times New Roman" w:hAnsi="Calibri" w:cs="Times New Roman"/>
      <w:sz w:val="28"/>
      <w:lang w:eastAsia="ru-RU"/>
    </w:rPr>
  </w:style>
  <w:style w:type="paragraph" w:customStyle="1" w:styleId="28">
    <w:name w:val="Абзац списка2"/>
    <w:basedOn w:val="a"/>
    <w:rsid w:val="007721E9"/>
    <w:pPr>
      <w:spacing w:after="160" w:line="259" w:lineRule="auto"/>
      <w:ind w:left="720"/>
      <w:contextualSpacing/>
    </w:pPr>
    <w:rPr>
      <w:rFonts w:ascii="Calibri" w:eastAsia="Calibri" w:hAnsi="Calibri"/>
      <w:sz w:val="22"/>
      <w:szCs w:val="22"/>
      <w:lang w:eastAsia="en-US"/>
    </w:rPr>
  </w:style>
  <w:style w:type="character" w:customStyle="1" w:styleId="FontStyle83">
    <w:name w:val="Font Style83"/>
    <w:uiPriority w:val="99"/>
    <w:rsid w:val="007721E9"/>
    <w:rPr>
      <w:rFonts w:ascii="Times New Roman" w:hAnsi="Times New Roman" w:cs="Times New Roman"/>
      <w:sz w:val="26"/>
      <w:szCs w:val="26"/>
    </w:rPr>
  </w:style>
  <w:style w:type="paragraph" w:customStyle="1" w:styleId="1e">
    <w:name w:val="Без интервала1"/>
    <w:link w:val="NoSpacingChar"/>
    <w:rsid w:val="007721E9"/>
    <w:pPr>
      <w:widowControl w:val="0"/>
      <w:spacing w:after="0" w:line="240" w:lineRule="auto"/>
    </w:pPr>
    <w:rPr>
      <w:rFonts w:ascii="Calibri" w:eastAsia="Calibri" w:hAnsi="Calibri" w:cs="Times New Roman"/>
      <w:lang w:val="en-US"/>
    </w:rPr>
  </w:style>
  <w:style w:type="character" w:customStyle="1" w:styleId="NoSpacingChar">
    <w:name w:val="No Spacing Char"/>
    <w:link w:val="1e"/>
    <w:locked/>
    <w:rsid w:val="007721E9"/>
    <w:rPr>
      <w:rFonts w:ascii="Calibri" w:eastAsia="Calibri" w:hAnsi="Calibri" w:cs="Times New Roman"/>
      <w:lang w:val="en-US"/>
    </w:rPr>
  </w:style>
  <w:style w:type="character" w:styleId="afffa">
    <w:name w:val="line number"/>
    <w:basedOn w:val="a0"/>
    <w:uiPriority w:val="99"/>
    <w:semiHidden/>
    <w:unhideWhenUsed/>
    <w:rsid w:val="00D50D0E"/>
  </w:style>
  <w:style w:type="paragraph" w:customStyle="1" w:styleId="29">
    <w:name w:val="Обычный (веб)2"/>
    <w:rsid w:val="00227023"/>
    <w:pPr>
      <w:widowControl w:val="0"/>
      <w:suppressAutoHyphens/>
    </w:pPr>
    <w:rPr>
      <w:rFonts w:ascii="Calibri" w:eastAsia="DejaVu Sans" w:hAnsi="Calibri" w:cs="font184"/>
      <w:kern w:val="1"/>
      <w:lang w:eastAsia="ar-SA"/>
    </w:rPr>
  </w:style>
  <w:style w:type="character" w:customStyle="1" w:styleId="100">
    <w:name w:val="Основной текст (10)_"/>
    <w:basedOn w:val="a0"/>
    <w:link w:val="101"/>
    <w:rsid w:val="00227023"/>
    <w:rPr>
      <w:rFonts w:ascii="Times New Roman" w:eastAsia="Times New Roman" w:hAnsi="Times New Roman" w:cs="Times New Roman"/>
      <w:b/>
      <w:bCs/>
      <w:i/>
      <w:iCs/>
      <w:sz w:val="23"/>
      <w:szCs w:val="23"/>
      <w:shd w:val="clear" w:color="auto" w:fill="FFFFFF"/>
    </w:rPr>
  </w:style>
  <w:style w:type="paragraph" w:customStyle="1" w:styleId="101">
    <w:name w:val="Основной текст (10)"/>
    <w:basedOn w:val="a"/>
    <w:link w:val="100"/>
    <w:rsid w:val="00227023"/>
    <w:pPr>
      <w:widowControl w:val="0"/>
      <w:shd w:val="clear" w:color="auto" w:fill="FFFFFF"/>
      <w:spacing w:before="60" w:line="312" w:lineRule="exact"/>
      <w:jc w:val="both"/>
    </w:pPr>
    <w:rPr>
      <w:b/>
      <w:bCs/>
      <w:i/>
      <w:iCs/>
      <w:sz w:val="23"/>
      <w:szCs w:val="23"/>
      <w:lang w:eastAsia="en-US"/>
    </w:rPr>
  </w:style>
  <w:style w:type="paragraph" w:customStyle="1" w:styleId="afffb">
    <w:basedOn w:val="a"/>
    <w:next w:val="a3"/>
    <w:link w:val="afffc"/>
    <w:uiPriority w:val="10"/>
    <w:qFormat/>
    <w:rsid w:val="00A83289"/>
    <w:pPr>
      <w:jc w:val="center"/>
    </w:pPr>
  </w:style>
  <w:style w:type="character" w:customStyle="1" w:styleId="afffc">
    <w:name w:val="Название Знак"/>
    <w:link w:val="afffb"/>
    <w:rsid w:val="009D65C2"/>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locked/>
    <w:rsid w:val="005853CE"/>
    <w:rPr>
      <w:rFonts w:ascii="Courier New" w:eastAsiaTheme="minorEastAsia" w:hAnsi="Courier New" w:cs="Courier New"/>
      <w:sz w:val="20"/>
      <w:szCs w:val="20"/>
      <w:lang w:eastAsia="ru-RU"/>
    </w:rPr>
  </w:style>
  <w:style w:type="character" w:customStyle="1" w:styleId="FontStyle11">
    <w:name w:val="Font Style11"/>
    <w:rsid w:val="005853CE"/>
    <w:rPr>
      <w:rFonts w:ascii="Times New Roman" w:hAnsi="Times New Roman" w:cs="Times New Roman"/>
      <w:sz w:val="26"/>
      <w:szCs w:val="26"/>
    </w:rPr>
  </w:style>
  <w:style w:type="character" w:customStyle="1" w:styleId="2a">
    <w:name w:val="Основной текст (2)"/>
    <w:rsid w:val="005853C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b">
    <w:name w:val="Основной текст (2) + Полужирный"/>
    <w:rsid w:val="005853C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ontStyle16">
    <w:name w:val="Font Style16"/>
    <w:uiPriority w:val="99"/>
    <w:rsid w:val="005853CE"/>
    <w:rPr>
      <w:rFonts w:ascii="Times New Roman" w:hAnsi="Times New Roman" w:cs="Times New Roman"/>
      <w:sz w:val="16"/>
      <w:szCs w:val="16"/>
    </w:rPr>
  </w:style>
  <w:style w:type="character" w:customStyle="1" w:styleId="afffd">
    <w:name w:val="Цветовое выделение для Текст"/>
    <w:rsid w:val="005853CE"/>
    <w:rPr>
      <w:sz w:val="24"/>
    </w:rPr>
  </w:style>
  <w:style w:type="paragraph" w:styleId="afffe">
    <w:name w:val="Plain Text"/>
    <w:aliases w:val="Знак1"/>
    <w:basedOn w:val="a"/>
    <w:link w:val="affff"/>
    <w:rsid w:val="005853CE"/>
    <w:rPr>
      <w:rFonts w:ascii="Courier New" w:hAnsi="Courier New"/>
      <w:sz w:val="20"/>
      <w:szCs w:val="20"/>
    </w:rPr>
  </w:style>
  <w:style w:type="character" w:customStyle="1" w:styleId="affff">
    <w:name w:val="Текст Знак"/>
    <w:aliases w:val="Знак1 Знак"/>
    <w:basedOn w:val="a0"/>
    <w:link w:val="afffe"/>
    <w:rsid w:val="005853CE"/>
    <w:rPr>
      <w:rFonts w:ascii="Courier New" w:eastAsia="Times New Roman" w:hAnsi="Courier New" w:cs="Times New Roman"/>
      <w:sz w:val="20"/>
      <w:szCs w:val="20"/>
      <w:lang w:eastAsia="ru-RU"/>
    </w:rPr>
  </w:style>
  <w:style w:type="paragraph" w:styleId="affff0">
    <w:name w:val="caption"/>
    <w:basedOn w:val="a"/>
    <w:next w:val="a"/>
    <w:uiPriority w:val="35"/>
    <w:unhideWhenUsed/>
    <w:qFormat/>
    <w:rsid w:val="00A83289"/>
    <w:pPr>
      <w:jc w:val="center"/>
    </w:pPr>
    <w:rPr>
      <w:b/>
      <w:bCs/>
      <w:sz w:val="20"/>
      <w:szCs w:val="20"/>
    </w:rPr>
  </w:style>
  <w:style w:type="character" w:customStyle="1" w:styleId="apple-converted-space">
    <w:name w:val="apple-converted-space"/>
    <w:rsid w:val="00A83289"/>
  </w:style>
  <w:style w:type="character" w:styleId="affff1">
    <w:name w:val="Subtle Emphasis"/>
    <w:uiPriority w:val="19"/>
    <w:qFormat/>
    <w:rsid w:val="00A83289"/>
    <w:rPr>
      <w:i/>
      <w:iCs/>
      <w:color w:val="808080"/>
    </w:rPr>
  </w:style>
  <w:style w:type="character" w:customStyle="1" w:styleId="ya-share2counter">
    <w:name w:val="ya-share2__counter"/>
    <w:basedOn w:val="a0"/>
    <w:rsid w:val="00A83289"/>
  </w:style>
  <w:style w:type="character" w:customStyle="1" w:styleId="a8">
    <w:name w:val="Обычный (веб) Знак"/>
    <w:aliases w:val="Обычный (Web) Знак"/>
    <w:link w:val="a7"/>
    <w:uiPriority w:val="99"/>
    <w:locked/>
    <w:rsid w:val="00A83289"/>
    <w:rPr>
      <w:rFonts w:ascii="Times New Roman" w:eastAsia="Times New Roman" w:hAnsi="Times New Roman" w:cs="Times New Roman"/>
      <w:sz w:val="24"/>
      <w:szCs w:val="24"/>
      <w:lang w:eastAsia="ru-RU"/>
    </w:rPr>
  </w:style>
  <w:style w:type="paragraph" w:customStyle="1" w:styleId="Style20">
    <w:name w:val="Style20"/>
    <w:basedOn w:val="a"/>
    <w:uiPriority w:val="99"/>
    <w:rsid w:val="00A83289"/>
    <w:pPr>
      <w:widowControl w:val="0"/>
      <w:autoSpaceDE w:val="0"/>
      <w:autoSpaceDN w:val="0"/>
      <w:adjustRightInd w:val="0"/>
      <w:jc w:val="right"/>
    </w:pPr>
  </w:style>
  <w:style w:type="paragraph" w:styleId="1f">
    <w:name w:val="toc 1"/>
    <w:basedOn w:val="a"/>
    <w:next w:val="a"/>
    <w:autoRedefine/>
    <w:uiPriority w:val="39"/>
    <w:unhideWhenUsed/>
    <w:qFormat/>
    <w:rsid w:val="00A83289"/>
    <w:pPr>
      <w:tabs>
        <w:tab w:val="right" w:leader="dot" w:pos="9741"/>
      </w:tabs>
      <w:spacing w:before="240" w:after="240"/>
      <w:jc w:val="both"/>
    </w:pPr>
    <w:rPr>
      <w:noProof/>
      <w:sz w:val="28"/>
      <w:szCs w:val="28"/>
    </w:rPr>
  </w:style>
  <w:style w:type="paragraph" w:styleId="2c">
    <w:name w:val="toc 2"/>
    <w:basedOn w:val="a"/>
    <w:next w:val="a"/>
    <w:autoRedefine/>
    <w:uiPriority w:val="39"/>
    <w:unhideWhenUsed/>
    <w:qFormat/>
    <w:rsid w:val="00A83289"/>
    <w:pPr>
      <w:spacing w:after="200" w:line="276" w:lineRule="auto"/>
      <w:ind w:left="220"/>
    </w:pPr>
    <w:rPr>
      <w:rFonts w:ascii="Calibri" w:hAnsi="Calibri"/>
      <w:sz w:val="22"/>
      <w:szCs w:val="22"/>
    </w:rPr>
  </w:style>
  <w:style w:type="paragraph" w:customStyle="1" w:styleId="ConsNonformat">
    <w:name w:val="ConsNonformat"/>
    <w:link w:val="ConsNonformat0"/>
    <w:rsid w:val="00A83289"/>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fff2">
    <w:name w:val="TOC Heading"/>
    <w:basedOn w:val="1"/>
    <w:next w:val="a"/>
    <w:uiPriority w:val="39"/>
    <w:semiHidden/>
    <w:unhideWhenUsed/>
    <w:qFormat/>
    <w:rsid w:val="00A83289"/>
    <w:pPr>
      <w:keepNext/>
      <w:keepLines/>
      <w:autoSpaceDE/>
      <w:autoSpaceDN/>
      <w:adjustRightInd/>
      <w:spacing w:before="480" w:after="0" w:line="276" w:lineRule="auto"/>
      <w:jc w:val="left"/>
      <w:outlineLvl w:val="9"/>
    </w:pPr>
    <w:rPr>
      <w:rFonts w:ascii="Cambria" w:eastAsia="Times New Roman" w:hAnsi="Cambria" w:cs="Times New Roman"/>
      <w:color w:val="365F91"/>
      <w:sz w:val="28"/>
      <w:szCs w:val="28"/>
    </w:rPr>
  </w:style>
  <w:style w:type="paragraph" w:customStyle="1" w:styleId="formattext">
    <w:name w:val="formattext"/>
    <w:basedOn w:val="a"/>
    <w:rsid w:val="00481220"/>
    <w:pPr>
      <w:spacing w:before="100" w:beforeAutospacing="1" w:after="100" w:afterAutospacing="1"/>
    </w:pPr>
  </w:style>
  <w:style w:type="character" w:customStyle="1" w:styleId="2d">
    <w:name w:val="Основной текст (2)_"/>
    <w:rsid w:val="00016EB5"/>
    <w:rPr>
      <w:sz w:val="28"/>
      <w:szCs w:val="28"/>
      <w:shd w:val="clear" w:color="auto" w:fill="FFFFFF"/>
    </w:rPr>
  </w:style>
  <w:style w:type="character" w:customStyle="1" w:styleId="1f0">
    <w:name w:val="Верхний колонтитул Знак1"/>
    <w:basedOn w:val="a0"/>
    <w:uiPriority w:val="99"/>
    <w:semiHidden/>
    <w:rsid w:val="00016EB5"/>
    <w:rPr>
      <w:rFonts w:eastAsiaTheme="minorEastAsia"/>
      <w:lang w:eastAsia="ru-RU"/>
    </w:rPr>
  </w:style>
  <w:style w:type="character" w:customStyle="1" w:styleId="1f1">
    <w:name w:val="Текст выноски Знак1"/>
    <w:basedOn w:val="a0"/>
    <w:uiPriority w:val="99"/>
    <w:semiHidden/>
    <w:rsid w:val="00016EB5"/>
    <w:rPr>
      <w:rFonts w:ascii="Tahoma" w:eastAsiaTheme="minorEastAsia" w:hAnsi="Tahoma" w:cs="Tahoma"/>
      <w:sz w:val="16"/>
      <w:szCs w:val="16"/>
      <w:lang w:eastAsia="ru-RU"/>
    </w:rPr>
  </w:style>
  <w:style w:type="paragraph" w:customStyle="1" w:styleId="Pa9">
    <w:name w:val="Pa9"/>
    <w:basedOn w:val="a"/>
    <w:next w:val="a"/>
    <w:uiPriority w:val="99"/>
    <w:rsid w:val="00991F3D"/>
    <w:pPr>
      <w:autoSpaceDE w:val="0"/>
      <w:autoSpaceDN w:val="0"/>
      <w:adjustRightInd w:val="0"/>
      <w:spacing w:line="271" w:lineRule="atLeast"/>
    </w:pPr>
    <w:rPr>
      <w:rFonts w:ascii="PT Sans" w:eastAsiaTheme="minorEastAsia" w:hAnsi="PT Sans" w:cstheme="minorBidi"/>
    </w:rPr>
  </w:style>
  <w:style w:type="paragraph" w:customStyle="1" w:styleId="Pa12">
    <w:name w:val="Pa12"/>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14">
    <w:name w:val="Pa14"/>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13">
    <w:name w:val="Pa13"/>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3">
    <w:name w:val="Pa3"/>
    <w:basedOn w:val="Default"/>
    <w:next w:val="Default"/>
    <w:uiPriority w:val="99"/>
    <w:rsid w:val="00991F3D"/>
    <w:pPr>
      <w:spacing w:line="201" w:lineRule="atLeast"/>
    </w:pPr>
    <w:rPr>
      <w:rFonts w:ascii="TT Jenevers" w:eastAsiaTheme="minorEastAsia" w:hAnsi="TT Jenevers" w:cstheme="minorBidi"/>
      <w:color w:val="auto"/>
    </w:rPr>
  </w:style>
  <w:style w:type="character" w:customStyle="1" w:styleId="A10">
    <w:name w:val="A10"/>
    <w:uiPriority w:val="99"/>
    <w:rsid w:val="00991F3D"/>
    <w:rPr>
      <w:rFonts w:ascii="PT_Russia Text" w:hAnsi="PT_Russia Text" w:cs="PT_Russia Text"/>
      <w:color w:val="000000"/>
      <w:sz w:val="11"/>
      <w:szCs w:val="11"/>
    </w:rPr>
  </w:style>
  <w:style w:type="character" w:customStyle="1" w:styleId="A40">
    <w:name w:val="A4"/>
    <w:uiPriority w:val="99"/>
    <w:rsid w:val="00991F3D"/>
    <w:rPr>
      <w:rFonts w:cs="TT Jenevers"/>
      <w:color w:val="000000"/>
      <w:sz w:val="20"/>
      <w:szCs w:val="20"/>
    </w:rPr>
  </w:style>
  <w:style w:type="table" w:customStyle="1" w:styleId="38">
    <w:name w:val="Сетка таблицы3"/>
    <w:basedOn w:val="a1"/>
    <w:next w:val="af5"/>
    <w:uiPriority w:val="59"/>
    <w:rsid w:val="00991F3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2">
    <w:name w:val="Основной текст (10) + Не полужирный;Не курсив"/>
    <w:basedOn w:val="100"/>
    <w:rsid w:val="00991F3D"/>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paragraph" w:customStyle="1" w:styleId="affff3">
    <w:name w:val="Текст простой"/>
    <w:basedOn w:val="a"/>
    <w:rsid w:val="00991F3D"/>
    <w:pPr>
      <w:overflowPunct w:val="0"/>
      <w:autoSpaceDE w:val="0"/>
      <w:autoSpaceDN w:val="0"/>
      <w:adjustRightInd w:val="0"/>
      <w:ind w:firstLine="851"/>
      <w:jc w:val="both"/>
      <w:textAlignment w:val="baseline"/>
    </w:pPr>
    <w:rPr>
      <w:sz w:val="28"/>
      <w:szCs w:val="28"/>
    </w:rPr>
  </w:style>
  <w:style w:type="paragraph" w:styleId="2">
    <w:name w:val="List Number 2"/>
    <w:basedOn w:val="a"/>
    <w:uiPriority w:val="99"/>
    <w:unhideWhenUsed/>
    <w:rsid w:val="00991F3D"/>
    <w:pPr>
      <w:numPr>
        <w:numId w:val="1"/>
      </w:numPr>
      <w:ind w:firstLine="709"/>
      <w:contextualSpacing/>
      <w:jc w:val="both"/>
    </w:pPr>
    <w:rPr>
      <w:sz w:val="20"/>
      <w:szCs w:val="20"/>
    </w:rPr>
  </w:style>
  <w:style w:type="character" w:customStyle="1" w:styleId="VL">
    <w:name w:val="VL_Сноска Знак"/>
    <w:link w:val="VL0"/>
    <w:qFormat/>
    <w:locked/>
    <w:rsid w:val="00991F3D"/>
    <w:rPr>
      <w:color w:val="31373C"/>
      <w:sz w:val="18"/>
    </w:rPr>
  </w:style>
  <w:style w:type="paragraph" w:customStyle="1" w:styleId="VL0">
    <w:name w:val="VL_Основной текст"/>
    <w:basedOn w:val="a"/>
    <w:link w:val="VL"/>
    <w:qFormat/>
    <w:rsid w:val="00991F3D"/>
    <w:pPr>
      <w:spacing w:before="240"/>
      <w:jc w:val="both"/>
    </w:pPr>
    <w:rPr>
      <w:rFonts w:asciiTheme="minorHAnsi" w:eastAsiaTheme="minorHAnsi" w:hAnsiTheme="minorHAnsi" w:cstheme="minorBidi"/>
      <w:color w:val="31373C"/>
      <w:sz w:val="18"/>
      <w:szCs w:val="22"/>
      <w:lang w:eastAsia="en-US"/>
    </w:rPr>
  </w:style>
  <w:style w:type="character" w:customStyle="1" w:styleId="fontstyle01">
    <w:name w:val="fontstyle01"/>
    <w:basedOn w:val="a0"/>
    <w:rsid w:val="00991F3D"/>
    <w:rPr>
      <w:rFonts w:ascii="TimesNewRomanPSMT" w:hAnsi="TimesNewRomanPSMT" w:hint="default"/>
      <w:b w:val="0"/>
      <w:bCs w:val="0"/>
      <w:i w:val="0"/>
      <w:iCs w:val="0"/>
      <w:color w:val="000000"/>
      <w:sz w:val="24"/>
      <w:szCs w:val="24"/>
    </w:rPr>
  </w:style>
  <w:style w:type="paragraph" w:customStyle="1" w:styleId="Pa6">
    <w:name w:val="Pa6"/>
    <w:basedOn w:val="a"/>
    <w:next w:val="a"/>
    <w:uiPriority w:val="99"/>
    <w:rsid w:val="00991F3D"/>
    <w:pPr>
      <w:autoSpaceDE w:val="0"/>
      <w:autoSpaceDN w:val="0"/>
      <w:adjustRightInd w:val="0"/>
      <w:spacing w:line="271" w:lineRule="atLeast"/>
    </w:pPr>
    <w:rPr>
      <w:rFonts w:ascii="PT Sans" w:eastAsiaTheme="minorHAnsi" w:hAnsi="PT Sans" w:cstheme="minorBidi"/>
      <w:lang w:eastAsia="en-US"/>
    </w:rPr>
  </w:style>
  <w:style w:type="character" w:customStyle="1" w:styleId="1f2">
    <w:name w:val="Текст примечания Знак1"/>
    <w:uiPriority w:val="99"/>
    <w:semiHidden/>
    <w:rsid w:val="005E541F"/>
    <w:rPr>
      <w:lang w:eastAsia="en-US"/>
    </w:rPr>
  </w:style>
  <w:style w:type="character" w:customStyle="1" w:styleId="1f3">
    <w:name w:val="Тема примечания Знак1"/>
    <w:uiPriority w:val="99"/>
    <w:semiHidden/>
    <w:rsid w:val="005E541F"/>
    <w:rPr>
      <w:b/>
      <w:bCs/>
      <w:lang w:eastAsia="en-US"/>
    </w:rPr>
  </w:style>
  <w:style w:type="paragraph" w:customStyle="1" w:styleId="affff4">
    <w:name w:val="a"/>
    <w:basedOn w:val="a"/>
    <w:rsid w:val="005E541F"/>
    <w:pPr>
      <w:spacing w:before="100" w:beforeAutospacing="1" w:after="100" w:afterAutospacing="1"/>
    </w:pPr>
    <w:rPr>
      <w:rFonts w:eastAsia="Batang"/>
    </w:rPr>
  </w:style>
  <w:style w:type="paragraph" w:styleId="affff5">
    <w:name w:val="Block Text"/>
    <w:basedOn w:val="a"/>
    <w:link w:val="affff6"/>
    <w:rsid w:val="005E541F"/>
    <w:pPr>
      <w:ind w:left="-567" w:right="-483" w:hanging="567"/>
      <w:jc w:val="both"/>
    </w:pPr>
    <w:rPr>
      <w:sz w:val="28"/>
      <w:szCs w:val="20"/>
    </w:rPr>
  </w:style>
  <w:style w:type="character" w:customStyle="1" w:styleId="affff6">
    <w:name w:val="Цитата Знак"/>
    <w:link w:val="affff5"/>
    <w:rsid w:val="005E541F"/>
    <w:rPr>
      <w:rFonts w:ascii="Times New Roman" w:eastAsia="Times New Roman" w:hAnsi="Times New Roman" w:cs="Times New Roman"/>
      <w:sz w:val="28"/>
      <w:szCs w:val="20"/>
      <w:lang w:eastAsia="ru-RU"/>
    </w:rPr>
  </w:style>
  <w:style w:type="character" w:customStyle="1" w:styleId="1f4">
    <w:name w:val="Основной текст с отступом Знак1"/>
    <w:uiPriority w:val="99"/>
    <w:semiHidden/>
    <w:rsid w:val="005E541F"/>
    <w:rPr>
      <w:sz w:val="22"/>
      <w:szCs w:val="22"/>
      <w:lang w:eastAsia="en-US"/>
    </w:rPr>
  </w:style>
  <w:style w:type="paragraph" w:customStyle="1" w:styleId="311">
    <w:name w:val="Основной текст с отступом 31"/>
    <w:basedOn w:val="a"/>
    <w:rsid w:val="005E541F"/>
    <w:pPr>
      <w:suppressAutoHyphens/>
      <w:spacing w:line="312" w:lineRule="auto"/>
      <w:ind w:firstLine="709"/>
      <w:jc w:val="both"/>
    </w:pPr>
    <w:rPr>
      <w:sz w:val="28"/>
      <w:szCs w:val="20"/>
      <w:lang w:eastAsia="ar-SA"/>
    </w:rPr>
  </w:style>
  <w:style w:type="character" w:customStyle="1" w:styleId="ConsNonformat0">
    <w:name w:val="ConsNonformat Знак"/>
    <w:link w:val="ConsNonformat"/>
    <w:rsid w:val="005E541F"/>
    <w:rPr>
      <w:rFonts w:ascii="Courier New" w:eastAsia="Times New Roman" w:hAnsi="Courier New" w:cs="Times New Roman"/>
      <w:sz w:val="20"/>
      <w:szCs w:val="20"/>
      <w:lang w:eastAsia="ru-RU"/>
    </w:rPr>
  </w:style>
  <w:style w:type="character" w:customStyle="1" w:styleId="FontStyle70">
    <w:name w:val="Font Style70"/>
    <w:uiPriority w:val="99"/>
    <w:rsid w:val="005E541F"/>
    <w:rPr>
      <w:rFonts w:ascii="Times New Roman" w:hAnsi="Times New Roman" w:cs="Times New Roman"/>
      <w:sz w:val="26"/>
      <w:szCs w:val="26"/>
    </w:rPr>
  </w:style>
  <w:style w:type="paragraph" w:customStyle="1" w:styleId="Style18">
    <w:name w:val="Style18"/>
    <w:basedOn w:val="a"/>
    <w:uiPriority w:val="99"/>
    <w:rsid w:val="005E541F"/>
    <w:pPr>
      <w:widowControl w:val="0"/>
      <w:autoSpaceDE w:val="0"/>
      <w:autoSpaceDN w:val="0"/>
      <w:adjustRightInd w:val="0"/>
      <w:spacing w:line="370" w:lineRule="exact"/>
      <w:ind w:firstLine="696"/>
      <w:jc w:val="both"/>
    </w:pPr>
  </w:style>
  <w:style w:type="character" w:customStyle="1" w:styleId="FontStyle69">
    <w:name w:val="Font Style69"/>
    <w:basedOn w:val="a0"/>
    <w:uiPriority w:val="99"/>
    <w:rsid w:val="005E541F"/>
    <w:rPr>
      <w:rFonts w:ascii="Times New Roman" w:hAnsi="Times New Roman" w:cs="Times New Roman"/>
      <w:b/>
      <w:bCs/>
      <w:sz w:val="26"/>
      <w:szCs w:val="26"/>
    </w:rPr>
  </w:style>
  <w:style w:type="paragraph" w:customStyle="1" w:styleId="Style56">
    <w:name w:val="Style56"/>
    <w:basedOn w:val="a"/>
    <w:uiPriority w:val="99"/>
    <w:rsid w:val="005E541F"/>
    <w:pPr>
      <w:widowControl w:val="0"/>
      <w:autoSpaceDE w:val="0"/>
      <w:autoSpaceDN w:val="0"/>
      <w:adjustRightInd w:val="0"/>
      <w:spacing w:line="331" w:lineRule="exact"/>
      <w:ind w:firstLine="1176"/>
      <w:jc w:val="both"/>
    </w:pPr>
    <w:rPr>
      <w:rFonts w:eastAsiaTheme="minorEastAsia"/>
    </w:rPr>
  </w:style>
  <w:style w:type="paragraph" w:customStyle="1" w:styleId="Style61">
    <w:name w:val="Style61"/>
    <w:basedOn w:val="a"/>
    <w:uiPriority w:val="99"/>
    <w:rsid w:val="005E541F"/>
    <w:pPr>
      <w:widowControl w:val="0"/>
      <w:autoSpaceDE w:val="0"/>
      <w:autoSpaceDN w:val="0"/>
      <w:adjustRightInd w:val="0"/>
      <w:spacing w:line="321" w:lineRule="exact"/>
      <w:ind w:firstLine="754"/>
      <w:jc w:val="both"/>
    </w:pPr>
    <w:rPr>
      <w:rFonts w:eastAsiaTheme="minorEastAsia"/>
    </w:rPr>
  </w:style>
  <w:style w:type="character" w:customStyle="1" w:styleId="1f5">
    <w:name w:val="Заголовок Знак1"/>
    <w:basedOn w:val="a0"/>
    <w:rsid w:val="00664EE5"/>
    <w:rPr>
      <w:rFonts w:ascii="Arial" w:eastAsia="Times New Roman" w:hAnsi="Arial" w:cs="Arial"/>
      <w:b/>
      <w:bCs/>
      <w:sz w:val="24"/>
      <w:szCs w:val="24"/>
      <w:lang w:eastAsia="ru-RU"/>
    </w:rPr>
  </w:style>
  <w:style w:type="character" w:customStyle="1" w:styleId="affff7">
    <w:name w:val="Основной текст + Полужирный;Курсив"/>
    <w:basedOn w:val="ae"/>
    <w:rsid w:val="009E26F4"/>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paragraph" w:styleId="39">
    <w:name w:val="toc 3"/>
    <w:basedOn w:val="a"/>
    <w:next w:val="a"/>
    <w:autoRedefine/>
    <w:uiPriority w:val="39"/>
    <w:semiHidden/>
    <w:unhideWhenUsed/>
    <w:qFormat/>
    <w:rsid w:val="009E26F4"/>
    <w:pPr>
      <w:spacing w:after="100" w:line="276" w:lineRule="auto"/>
      <w:ind w:left="440"/>
    </w:pPr>
    <w:rPr>
      <w:rFonts w:asciiTheme="minorHAnsi" w:eastAsiaTheme="minorEastAsia" w:hAnsiTheme="minorHAnsi" w:cstheme="minorBidi"/>
      <w:sz w:val="22"/>
      <w:szCs w:val="22"/>
      <w:lang w:eastAsia="en-US"/>
    </w:rPr>
  </w:style>
  <w:style w:type="paragraph" w:customStyle="1" w:styleId="affff8">
    <w:name w:val="Акт Список"/>
    <w:basedOn w:val="a"/>
    <w:qFormat/>
    <w:rsid w:val="009E26F4"/>
    <w:pPr>
      <w:suppressAutoHyphens/>
      <w:ind w:left="992"/>
      <w:jc w:val="both"/>
    </w:pPr>
    <w:rPr>
      <w:sz w:val="28"/>
      <w:szCs w:val="28"/>
    </w:rPr>
  </w:style>
  <w:style w:type="paragraph" w:customStyle="1" w:styleId="1f6">
    <w:name w:val="Название объекта1"/>
    <w:basedOn w:val="a"/>
    <w:rsid w:val="00C404B9"/>
    <w:pPr>
      <w:spacing w:before="240" w:after="60"/>
      <w:ind w:firstLine="567"/>
      <w:jc w:val="center"/>
    </w:pPr>
    <w:rPr>
      <w:rFonts w:ascii="Arial" w:hAnsi="Arial" w:cs="Arial"/>
      <w:b/>
      <w:bCs/>
      <w:sz w:val="32"/>
      <w:szCs w:val="32"/>
    </w:rPr>
  </w:style>
  <w:style w:type="paragraph" w:customStyle="1" w:styleId="affff9">
    <w:basedOn w:val="a"/>
    <w:next w:val="a3"/>
    <w:qFormat/>
    <w:rsid w:val="00C404B9"/>
    <w:pPr>
      <w:autoSpaceDE w:val="0"/>
      <w:autoSpaceDN w:val="0"/>
      <w:jc w:val="center"/>
    </w:pPr>
    <w:rPr>
      <w:b/>
      <w:bCs/>
      <w:sz w:val="28"/>
      <w:szCs w:val="28"/>
      <w:lang w:val="x-none" w:eastAsia="x-none"/>
    </w:rPr>
  </w:style>
  <w:style w:type="character" w:customStyle="1" w:styleId="210">
    <w:name w:val="Основной текст с отступом 2 Знак1"/>
    <w:uiPriority w:val="99"/>
    <w:semiHidden/>
    <w:rsid w:val="00C404B9"/>
    <w:rPr>
      <w:sz w:val="22"/>
      <w:szCs w:val="22"/>
    </w:rPr>
  </w:style>
  <w:style w:type="paragraph" w:customStyle="1" w:styleId="affffa">
    <w:name w:val="Информация об изменениях документа"/>
    <w:basedOn w:val="aff5"/>
    <w:next w:val="a"/>
    <w:uiPriority w:val="99"/>
    <w:rsid w:val="00C404B9"/>
    <w:pPr>
      <w:widowControl/>
      <w:spacing w:before="75"/>
    </w:pPr>
    <w:rPr>
      <w:rFonts w:eastAsia="Calibri"/>
      <w:color w:val="353842"/>
      <w:sz w:val="24"/>
      <w:szCs w:val="24"/>
      <w:shd w:val="clear" w:color="auto" w:fill="F0F0F0"/>
      <w:lang w:eastAsia="en-US"/>
    </w:rPr>
  </w:style>
  <w:style w:type="paragraph" w:customStyle="1" w:styleId="ConsPlusTitlePage">
    <w:name w:val="ConsPlusTitlePage"/>
    <w:rsid w:val="00000E5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Pa15">
    <w:name w:val="Pa15"/>
    <w:basedOn w:val="Default"/>
    <w:next w:val="Default"/>
    <w:uiPriority w:val="99"/>
    <w:rsid w:val="00000E53"/>
    <w:pPr>
      <w:spacing w:line="201" w:lineRule="atLeast"/>
    </w:pPr>
    <w:rPr>
      <w:rFonts w:ascii="TT Jenevers" w:eastAsiaTheme="minorHAnsi" w:hAnsi="TT Jenevers"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738">
      <w:bodyDiv w:val="1"/>
      <w:marLeft w:val="0"/>
      <w:marRight w:val="0"/>
      <w:marTop w:val="0"/>
      <w:marBottom w:val="0"/>
      <w:divBdr>
        <w:top w:val="none" w:sz="0" w:space="0" w:color="auto"/>
        <w:left w:val="none" w:sz="0" w:space="0" w:color="auto"/>
        <w:bottom w:val="none" w:sz="0" w:space="0" w:color="auto"/>
        <w:right w:val="none" w:sz="0" w:space="0" w:color="auto"/>
      </w:divBdr>
    </w:div>
    <w:div w:id="39407234">
      <w:bodyDiv w:val="1"/>
      <w:marLeft w:val="0"/>
      <w:marRight w:val="0"/>
      <w:marTop w:val="0"/>
      <w:marBottom w:val="0"/>
      <w:divBdr>
        <w:top w:val="none" w:sz="0" w:space="0" w:color="auto"/>
        <w:left w:val="none" w:sz="0" w:space="0" w:color="auto"/>
        <w:bottom w:val="none" w:sz="0" w:space="0" w:color="auto"/>
        <w:right w:val="none" w:sz="0" w:space="0" w:color="auto"/>
      </w:divBdr>
    </w:div>
    <w:div w:id="46535619">
      <w:bodyDiv w:val="1"/>
      <w:marLeft w:val="0"/>
      <w:marRight w:val="0"/>
      <w:marTop w:val="0"/>
      <w:marBottom w:val="0"/>
      <w:divBdr>
        <w:top w:val="none" w:sz="0" w:space="0" w:color="auto"/>
        <w:left w:val="none" w:sz="0" w:space="0" w:color="auto"/>
        <w:bottom w:val="none" w:sz="0" w:space="0" w:color="auto"/>
        <w:right w:val="none" w:sz="0" w:space="0" w:color="auto"/>
      </w:divBdr>
    </w:div>
    <w:div w:id="52435291">
      <w:bodyDiv w:val="1"/>
      <w:marLeft w:val="0"/>
      <w:marRight w:val="0"/>
      <w:marTop w:val="0"/>
      <w:marBottom w:val="0"/>
      <w:divBdr>
        <w:top w:val="none" w:sz="0" w:space="0" w:color="auto"/>
        <w:left w:val="none" w:sz="0" w:space="0" w:color="auto"/>
        <w:bottom w:val="none" w:sz="0" w:space="0" w:color="auto"/>
        <w:right w:val="none" w:sz="0" w:space="0" w:color="auto"/>
      </w:divBdr>
    </w:div>
    <w:div w:id="55596613">
      <w:bodyDiv w:val="1"/>
      <w:marLeft w:val="0"/>
      <w:marRight w:val="0"/>
      <w:marTop w:val="0"/>
      <w:marBottom w:val="0"/>
      <w:divBdr>
        <w:top w:val="none" w:sz="0" w:space="0" w:color="auto"/>
        <w:left w:val="none" w:sz="0" w:space="0" w:color="auto"/>
        <w:bottom w:val="none" w:sz="0" w:space="0" w:color="auto"/>
        <w:right w:val="none" w:sz="0" w:space="0" w:color="auto"/>
      </w:divBdr>
    </w:div>
    <w:div w:id="72361005">
      <w:bodyDiv w:val="1"/>
      <w:marLeft w:val="0"/>
      <w:marRight w:val="0"/>
      <w:marTop w:val="0"/>
      <w:marBottom w:val="0"/>
      <w:divBdr>
        <w:top w:val="none" w:sz="0" w:space="0" w:color="auto"/>
        <w:left w:val="none" w:sz="0" w:space="0" w:color="auto"/>
        <w:bottom w:val="none" w:sz="0" w:space="0" w:color="auto"/>
        <w:right w:val="none" w:sz="0" w:space="0" w:color="auto"/>
      </w:divBdr>
    </w:div>
    <w:div w:id="82655192">
      <w:bodyDiv w:val="1"/>
      <w:marLeft w:val="0"/>
      <w:marRight w:val="0"/>
      <w:marTop w:val="0"/>
      <w:marBottom w:val="0"/>
      <w:divBdr>
        <w:top w:val="none" w:sz="0" w:space="0" w:color="auto"/>
        <w:left w:val="none" w:sz="0" w:space="0" w:color="auto"/>
        <w:bottom w:val="none" w:sz="0" w:space="0" w:color="auto"/>
        <w:right w:val="none" w:sz="0" w:space="0" w:color="auto"/>
      </w:divBdr>
    </w:div>
    <w:div w:id="86584335">
      <w:bodyDiv w:val="1"/>
      <w:marLeft w:val="0"/>
      <w:marRight w:val="0"/>
      <w:marTop w:val="0"/>
      <w:marBottom w:val="0"/>
      <w:divBdr>
        <w:top w:val="none" w:sz="0" w:space="0" w:color="auto"/>
        <w:left w:val="none" w:sz="0" w:space="0" w:color="auto"/>
        <w:bottom w:val="none" w:sz="0" w:space="0" w:color="auto"/>
        <w:right w:val="none" w:sz="0" w:space="0" w:color="auto"/>
      </w:divBdr>
    </w:div>
    <w:div w:id="90979889">
      <w:bodyDiv w:val="1"/>
      <w:marLeft w:val="0"/>
      <w:marRight w:val="0"/>
      <w:marTop w:val="0"/>
      <w:marBottom w:val="0"/>
      <w:divBdr>
        <w:top w:val="none" w:sz="0" w:space="0" w:color="auto"/>
        <w:left w:val="none" w:sz="0" w:space="0" w:color="auto"/>
        <w:bottom w:val="none" w:sz="0" w:space="0" w:color="auto"/>
        <w:right w:val="none" w:sz="0" w:space="0" w:color="auto"/>
      </w:divBdr>
    </w:div>
    <w:div w:id="107891655">
      <w:bodyDiv w:val="1"/>
      <w:marLeft w:val="0"/>
      <w:marRight w:val="0"/>
      <w:marTop w:val="0"/>
      <w:marBottom w:val="0"/>
      <w:divBdr>
        <w:top w:val="none" w:sz="0" w:space="0" w:color="auto"/>
        <w:left w:val="none" w:sz="0" w:space="0" w:color="auto"/>
        <w:bottom w:val="none" w:sz="0" w:space="0" w:color="auto"/>
        <w:right w:val="none" w:sz="0" w:space="0" w:color="auto"/>
      </w:divBdr>
    </w:div>
    <w:div w:id="109325140">
      <w:bodyDiv w:val="1"/>
      <w:marLeft w:val="0"/>
      <w:marRight w:val="0"/>
      <w:marTop w:val="0"/>
      <w:marBottom w:val="0"/>
      <w:divBdr>
        <w:top w:val="none" w:sz="0" w:space="0" w:color="auto"/>
        <w:left w:val="none" w:sz="0" w:space="0" w:color="auto"/>
        <w:bottom w:val="none" w:sz="0" w:space="0" w:color="auto"/>
        <w:right w:val="none" w:sz="0" w:space="0" w:color="auto"/>
      </w:divBdr>
    </w:div>
    <w:div w:id="111632799">
      <w:bodyDiv w:val="1"/>
      <w:marLeft w:val="0"/>
      <w:marRight w:val="0"/>
      <w:marTop w:val="0"/>
      <w:marBottom w:val="0"/>
      <w:divBdr>
        <w:top w:val="none" w:sz="0" w:space="0" w:color="auto"/>
        <w:left w:val="none" w:sz="0" w:space="0" w:color="auto"/>
        <w:bottom w:val="none" w:sz="0" w:space="0" w:color="auto"/>
        <w:right w:val="none" w:sz="0" w:space="0" w:color="auto"/>
      </w:divBdr>
    </w:div>
    <w:div w:id="114570017">
      <w:bodyDiv w:val="1"/>
      <w:marLeft w:val="0"/>
      <w:marRight w:val="0"/>
      <w:marTop w:val="0"/>
      <w:marBottom w:val="0"/>
      <w:divBdr>
        <w:top w:val="none" w:sz="0" w:space="0" w:color="auto"/>
        <w:left w:val="none" w:sz="0" w:space="0" w:color="auto"/>
        <w:bottom w:val="none" w:sz="0" w:space="0" w:color="auto"/>
        <w:right w:val="none" w:sz="0" w:space="0" w:color="auto"/>
      </w:divBdr>
    </w:div>
    <w:div w:id="122620780">
      <w:bodyDiv w:val="1"/>
      <w:marLeft w:val="0"/>
      <w:marRight w:val="0"/>
      <w:marTop w:val="0"/>
      <w:marBottom w:val="0"/>
      <w:divBdr>
        <w:top w:val="none" w:sz="0" w:space="0" w:color="auto"/>
        <w:left w:val="none" w:sz="0" w:space="0" w:color="auto"/>
        <w:bottom w:val="none" w:sz="0" w:space="0" w:color="auto"/>
        <w:right w:val="none" w:sz="0" w:space="0" w:color="auto"/>
      </w:divBdr>
    </w:div>
    <w:div w:id="138109430">
      <w:bodyDiv w:val="1"/>
      <w:marLeft w:val="0"/>
      <w:marRight w:val="0"/>
      <w:marTop w:val="0"/>
      <w:marBottom w:val="0"/>
      <w:divBdr>
        <w:top w:val="none" w:sz="0" w:space="0" w:color="auto"/>
        <w:left w:val="none" w:sz="0" w:space="0" w:color="auto"/>
        <w:bottom w:val="none" w:sz="0" w:space="0" w:color="auto"/>
        <w:right w:val="none" w:sz="0" w:space="0" w:color="auto"/>
      </w:divBdr>
    </w:div>
    <w:div w:id="152839189">
      <w:bodyDiv w:val="1"/>
      <w:marLeft w:val="0"/>
      <w:marRight w:val="0"/>
      <w:marTop w:val="0"/>
      <w:marBottom w:val="0"/>
      <w:divBdr>
        <w:top w:val="none" w:sz="0" w:space="0" w:color="auto"/>
        <w:left w:val="none" w:sz="0" w:space="0" w:color="auto"/>
        <w:bottom w:val="none" w:sz="0" w:space="0" w:color="auto"/>
        <w:right w:val="none" w:sz="0" w:space="0" w:color="auto"/>
      </w:divBdr>
    </w:div>
    <w:div w:id="179395184">
      <w:bodyDiv w:val="1"/>
      <w:marLeft w:val="0"/>
      <w:marRight w:val="0"/>
      <w:marTop w:val="0"/>
      <w:marBottom w:val="0"/>
      <w:divBdr>
        <w:top w:val="none" w:sz="0" w:space="0" w:color="auto"/>
        <w:left w:val="none" w:sz="0" w:space="0" w:color="auto"/>
        <w:bottom w:val="none" w:sz="0" w:space="0" w:color="auto"/>
        <w:right w:val="none" w:sz="0" w:space="0" w:color="auto"/>
      </w:divBdr>
    </w:div>
    <w:div w:id="193539754">
      <w:bodyDiv w:val="1"/>
      <w:marLeft w:val="0"/>
      <w:marRight w:val="0"/>
      <w:marTop w:val="0"/>
      <w:marBottom w:val="0"/>
      <w:divBdr>
        <w:top w:val="none" w:sz="0" w:space="0" w:color="auto"/>
        <w:left w:val="none" w:sz="0" w:space="0" w:color="auto"/>
        <w:bottom w:val="none" w:sz="0" w:space="0" w:color="auto"/>
        <w:right w:val="none" w:sz="0" w:space="0" w:color="auto"/>
      </w:divBdr>
    </w:div>
    <w:div w:id="193732864">
      <w:bodyDiv w:val="1"/>
      <w:marLeft w:val="0"/>
      <w:marRight w:val="0"/>
      <w:marTop w:val="0"/>
      <w:marBottom w:val="0"/>
      <w:divBdr>
        <w:top w:val="none" w:sz="0" w:space="0" w:color="auto"/>
        <w:left w:val="none" w:sz="0" w:space="0" w:color="auto"/>
        <w:bottom w:val="none" w:sz="0" w:space="0" w:color="auto"/>
        <w:right w:val="none" w:sz="0" w:space="0" w:color="auto"/>
      </w:divBdr>
    </w:div>
    <w:div w:id="196049955">
      <w:bodyDiv w:val="1"/>
      <w:marLeft w:val="0"/>
      <w:marRight w:val="0"/>
      <w:marTop w:val="0"/>
      <w:marBottom w:val="0"/>
      <w:divBdr>
        <w:top w:val="none" w:sz="0" w:space="0" w:color="auto"/>
        <w:left w:val="none" w:sz="0" w:space="0" w:color="auto"/>
        <w:bottom w:val="none" w:sz="0" w:space="0" w:color="auto"/>
        <w:right w:val="none" w:sz="0" w:space="0" w:color="auto"/>
      </w:divBdr>
    </w:div>
    <w:div w:id="211579468">
      <w:bodyDiv w:val="1"/>
      <w:marLeft w:val="0"/>
      <w:marRight w:val="0"/>
      <w:marTop w:val="0"/>
      <w:marBottom w:val="0"/>
      <w:divBdr>
        <w:top w:val="none" w:sz="0" w:space="0" w:color="auto"/>
        <w:left w:val="none" w:sz="0" w:space="0" w:color="auto"/>
        <w:bottom w:val="none" w:sz="0" w:space="0" w:color="auto"/>
        <w:right w:val="none" w:sz="0" w:space="0" w:color="auto"/>
      </w:divBdr>
    </w:div>
    <w:div w:id="225268472">
      <w:bodyDiv w:val="1"/>
      <w:marLeft w:val="0"/>
      <w:marRight w:val="0"/>
      <w:marTop w:val="0"/>
      <w:marBottom w:val="0"/>
      <w:divBdr>
        <w:top w:val="none" w:sz="0" w:space="0" w:color="auto"/>
        <w:left w:val="none" w:sz="0" w:space="0" w:color="auto"/>
        <w:bottom w:val="none" w:sz="0" w:space="0" w:color="auto"/>
        <w:right w:val="none" w:sz="0" w:space="0" w:color="auto"/>
      </w:divBdr>
    </w:div>
    <w:div w:id="229509569">
      <w:bodyDiv w:val="1"/>
      <w:marLeft w:val="0"/>
      <w:marRight w:val="0"/>
      <w:marTop w:val="0"/>
      <w:marBottom w:val="0"/>
      <w:divBdr>
        <w:top w:val="none" w:sz="0" w:space="0" w:color="auto"/>
        <w:left w:val="none" w:sz="0" w:space="0" w:color="auto"/>
        <w:bottom w:val="none" w:sz="0" w:space="0" w:color="auto"/>
        <w:right w:val="none" w:sz="0" w:space="0" w:color="auto"/>
      </w:divBdr>
    </w:div>
    <w:div w:id="235016364">
      <w:bodyDiv w:val="1"/>
      <w:marLeft w:val="0"/>
      <w:marRight w:val="0"/>
      <w:marTop w:val="0"/>
      <w:marBottom w:val="0"/>
      <w:divBdr>
        <w:top w:val="none" w:sz="0" w:space="0" w:color="auto"/>
        <w:left w:val="none" w:sz="0" w:space="0" w:color="auto"/>
        <w:bottom w:val="none" w:sz="0" w:space="0" w:color="auto"/>
        <w:right w:val="none" w:sz="0" w:space="0" w:color="auto"/>
      </w:divBdr>
    </w:div>
    <w:div w:id="267615867">
      <w:bodyDiv w:val="1"/>
      <w:marLeft w:val="0"/>
      <w:marRight w:val="0"/>
      <w:marTop w:val="0"/>
      <w:marBottom w:val="0"/>
      <w:divBdr>
        <w:top w:val="none" w:sz="0" w:space="0" w:color="auto"/>
        <w:left w:val="none" w:sz="0" w:space="0" w:color="auto"/>
        <w:bottom w:val="none" w:sz="0" w:space="0" w:color="auto"/>
        <w:right w:val="none" w:sz="0" w:space="0" w:color="auto"/>
      </w:divBdr>
    </w:div>
    <w:div w:id="269164988">
      <w:bodyDiv w:val="1"/>
      <w:marLeft w:val="0"/>
      <w:marRight w:val="0"/>
      <w:marTop w:val="0"/>
      <w:marBottom w:val="0"/>
      <w:divBdr>
        <w:top w:val="none" w:sz="0" w:space="0" w:color="auto"/>
        <w:left w:val="none" w:sz="0" w:space="0" w:color="auto"/>
        <w:bottom w:val="none" w:sz="0" w:space="0" w:color="auto"/>
        <w:right w:val="none" w:sz="0" w:space="0" w:color="auto"/>
      </w:divBdr>
    </w:div>
    <w:div w:id="283002412">
      <w:bodyDiv w:val="1"/>
      <w:marLeft w:val="0"/>
      <w:marRight w:val="0"/>
      <w:marTop w:val="0"/>
      <w:marBottom w:val="0"/>
      <w:divBdr>
        <w:top w:val="none" w:sz="0" w:space="0" w:color="auto"/>
        <w:left w:val="none" w:sz="0" w:space="0" w:color="auto"/>
        <w:bottom w:val="none" w:sz="0" w:space="0" w:color="auto"/>
        <w:right w:val="none" w:sz="0" w:space="0" w:color="auto"/>
      </w:divBdr>
    </w:div>
    <w:div w:id="314727587">
      <w:bodyDiv w:val="1"/>
      <w:marLeft w:val="0"/>
      <w:marRight w:val="0"/>
      <w:marTop w:val="0"/>
      <w:marBottom w:val="0"/>
      <w:divBdr>
        <w:top w:val="none" w:sz="0" w:space="0" w:color="auto"/>
        <w:left w:val="none" w:sz="0" w:space="0" w:color="auto"/>
        <w:bottom w:val="none" w:sz="0" w:space="0" w:color="auto"/>
        <w:right w:val="none" w:sz="0" w:space="0" w:color="auto"/>
      </w:divBdr>
    </w:div>
    <w:div w:id="333338876">
      <w:bodyDiv w:val="1"/>
      <w:marLeft w:val="0"/>
      <w:marRight w:val="0"/>
      <w:marTop w:val="0"/>
      <w:marBottom w:val="0"/>
      <w:divBdr>
        <w:top w:val="none" w:sz="0" w:space="0" w:color="auto"/>
        <w:left w:val="none" w:sz="0" w:space="0" w:color="auto"/>
        <w:bottom w:val="none" w:sz="0" w:space="0" w:color="auto"/>
        <w:right w:val="none" w:sz="0" w:space="0" w:color="auto"/>
      </w:divBdr>
    </w:div>
    <w:div w:id="340545896">
      <w:bodyDiv w:val="1"/>
      <w:marLeft w:val="0"/>
      <w:marRight w:val="0"/>
      <w:marTop w:val="0"/>
      <w:marBottom w:val="0"/>
      <w:divBdr>
        <w:top w:val="none" w:sz="0" w:space="0" w:color="auto"/>
        <w:left w:val="none" w:sz="0" w:space="0" w:color="auto"/>
        <w:bottom w:val="none" w:sz="0" w:space="0" w:color="auto"/>
        <w:right w:val="none" w:sz="0" w:space="0" w:color="auto"/>
      </w:divBdr>
    </w:div>
    <w:div w:id="343410185">
      <w:bodyDiv w:val="1"/>
      <w:marLeft w:val="0"/>
      <w:marRight w:val="0"/>
      <w:marTop w:val="0"/>
      <w:marBottom w:val="0"/>
      <w:divBdr>
        <w:top w:val="none" w:sz="0" w:space="0" w:color="auto"/>
        <w:left w:val="none" w:sz="0" w:space="0" w:color="auto"/>
        <w:bottom w:val="none" w:sz="0" w:space="0" w:color="auto"/>
        <w:right w:val="none" w:sz="0" w:space="0" w:color="auto"/>
      </w:divBdr>
    </w:div>
    <w:div w:id="352463432">
      <w:bodyDiv w:val="1"/>
      <w:marLeft w:val="0"/>
      <w:marRight w:val="0"/>
      <w:marTop w:val="0"/>
      <w:marBottom w:val="0"/>
      <w:divBdr>
        <w:top w:val="none" w:sz="0" w:space="0" w:color="auto"/>
        <w:left w:val="none" w:sz="0" w:space="0" w:color="auto"/>
        <w:bottom w:val="none" w:sz="0" w:space="0" w:color="auto"/>
        <w:right w:val="none" w:sz="0" w:space="0" w:color="auto"/>
      </w:divBdr>
    </w:div>
    <w:div w:id="354774552">
      <w:bodyDiv w:val="1"/>
      <w:marLeft w:val="0"/>
      <w:marRight w:val="0"/>
      <w:marTop w:val="0"/>
      <w:marBottom w:val="0"/>
      <w:divBdr>
        <w:top w:val="none" w:sz="0" w:space="0" w:color="auto"/>
        <w:left w:val="none" w:sz="0" w:space="0" w:color="auto"/>
        <w:bottom w:val="none" w:sz="0" w:space="0" w:color="auto"/>
        <w:right w:val="none" w:sz="0" w:space="0" w:color="auto"/>
      </w:divBdr>
    </w:div>
    <w:div w:id="373383295">
      <w:bodyDiv w:val="1"/>
      <w:marLeft w:val="0"/>
      <w:marRight w:val="0"/>
      <w:marTop w:val="0"/>
      <w:marBottom w:val="0"/>
      <w:divBdr>
        <w:top w:val="none" w:sz="0" w:space="0" w:color="auto"/>
        <w:left w:val="none" w:sz="0" w:space="0" w:color="auto"/>
        <w:bottom w:val="none" w:sz="0" w:space="0" w:color="auto"/>
        <w:right w:val="none" w:sz="0" w:space="0" w:color="auto"/>
      </w:divBdr>
    </w:div>
    <w:div w:id="377776795">
      <w:bodyDiv w:val="1"/>
      <w:marLeft w:val="0"/>
      <w:marRight w:val="0"/>
      <w:marTop w:val="0"/>
      <w:marBottom w:val="0"/>
      <w:divBdr>
        <w:top w:val="none" w:sz="0" w:space="0" w:color="auto"/>
        <w:left w:val="none" w:sz="0" w:space="0" w:color="auto"/>
        <w:bottom w:val="none" w:sz="0" w:space="0" w:color="auto"/>
        <w:right w:val="none" w:sz="0" w:space="0" w:color="auto"/>
      </w:divBdr>
    </w:div>
    <w:div w:id="380445768">
      <w:bodyDiv w:val="1"/>
      <w:marLeft w:val="0"/>
      <w:marRight w:val="0"/>
      <w:marTop w:val="0"/>
      <w:marBottom w:val="0"/>
      <w:divBdr>
        <w:top w:val="none" w:sz="0" w:space="0" w:color="auto"/>
        <w:left w:val="none" w:sz="0" w:space="0" w:color="auto"/>
        <w:bottom w:val="none" w:sz="0" w:space="0" w:color="auto"/>
        <w:right w:val="none" w:sz="0" w:space="0" w:color="auto"/>
      </w:divBdr>
    </w:div>
    <w:div w:id="380515139">
      <w:bodyDiv w:val="1"/>
      <w:marLeft w:val="0"/>
      <w:marRight w:val="0"/>
      <w:marTop w:val="0"/>
      <w:marBottom w:val="0"/>
      <w:divBdr>
        <w:top w:val="none" w:sz="0" w:space="0" w:color="auto"/>
        <w:left w:val="none" w:sz="0" w:space="0" w:color="auto"/>
        <w:bottom w:val="none" w:sz="0" w:space="0" w:color="auto"/>
        <w:right w:val="none" w:sz="0" w:space="0" w:color="auto"/>
      </w:divBdr>
    </w:div>
    <w:div w:id="392043156">
      <w:bodyDiv w:val="1"/>
      <w:marLeft w:val="0"/>
      <w:marRight w:val="0"/>
      <w:marTop w:val="0"/>
      <w:marBottom w:val="0"/>
      <w:divBdr>
        <w:top w:val="none" w:sz="0" w:space="0" w:color="auto"/>
        <w:left w:val="none" w:sz="0" w:space="0" w:color="auto"/>
        <w:bottom w:val="none" w:sz="0" w:space="0" w:color="auto"/>
        <w:right w:val="none" w:sz="0" w:space="0" w:color="auto"/>
      </w:divBdr>
    </w:div>
    <w:div w:id="395664483">
      <w:bodyDiv w:val="1"/>
      <w:marLeft w:val="0"/>
      <w:marRight w:val="0"/>
      <w:marTop w:val="0"/>
      <w:marBottom w:val="0"/>
      <w:divBdr>
        <w:top w:val="none" w:sz="0" w:space="0" w:color="auto"/>
        <w:left w:val="none" w:sz="0" w:space="0" w:color="auto"/>
        <w:bottom w:val="none" w:sz="0" w:space="0" w:color="auto"/>
        <w:right w:val="none" w:sz="0" w:space="0" w:color="auto"/>
      </w:divBdr>
    </w:div>
    <w:div w:id="402218600">
      <w:bodyDiv w:val="1"/>
      <w:marLeft w:val="0"/>
      <w:marRight w:val="0"/>
      <w:marTop w:val="0"/>
      <w:marBottom w:val="0"/>
      <w:divBdr>
        <w:top w:val="none" w:sz="0" w:space="0" w:color="auto"/>
        <w:left w:val="none" w:sz="0" w:space="0" w:color="auto"/>
        <w:bottom w:val="none" w:sz="0" w:space="0" w:color="auto"/>
        <w:right w:val="none" w:sz="0" w:space="0" w:color="auto"/>
      </w:divBdr>
    </w:div>
    <w:div w:id="403995618">
      <w:bodyDiv w:val="1"/>
      <w:marLeft w:val="0"/>
      <w:marRight w:val="0"/>
      <w:marTop w:val="0"/>
      <w:marBottom w:val="0"/>
      <w:divBdr>
        <w:top w:val="none" w:sz="0" w:space="0" w:color="auto"/>
        <w:left w:val="none" w:sz="0" w:space="0" w:color="auto"/>
        <w:bottom w:val="none" w:sz="0" w:space="0" w:color="auto"/>
        <w:right w:val="none" w:sz="0" w:space="0" w:color="auto"/>
      </w:divBdr>
    </w:div>
    <w:div w:id="437405741">
      <w:bodyDiv w:val="1"/>
      <w:marLeft w:val="0"/>
      <w:marRight w:val="0"/>
      <w:marTop w:val="0"/>
      <w:marBottom w:val="0"/>
      <w:divBdr>
        <w:top w:val="none" w:sz="0" w:space="0" w:color="auto"/>
        <w:left w:val="none" w:sz="0" w:space="0" w:color="auto"/>
        <w:bottom w:val="none" w:sz="0" w:space="0" w:color="auto"/>
        <w:right w:val="none" w:sz="0" w:space="0" w:color="auto"/>
      </w:divBdr>
    </w:div>
    <w:div w:id="448546402">
      <w:bodyDiv w:val="1"/>
      <w:marLeft w:val="0"/>
      <w:marRight w:val="0"/>
      <w:marTop w:val="0"/>
      <w:marBottom w:val="0"/>
      <w:divBdr>
        <w:top w:val="none" w:sz="0" w:space="0" w:color="auto"/>
        <w:left w:val="none" w:sz="0" w:space="0" w:color="auto"/>
        <w:bottom w:val="none" w:sz="0" w:space="0" w:color="auto"/>
        <w:right w:val="none" w:sz="0" w:space="0" w:color="auto"/>
      </w:divBdr>
    </w:div>
    <w:div w:id="474957554">
      <w:bodyDiv w:val="1"/>
      <w:marLeft w:val="0"/>
      <w:marRight w:val="0"/>
      <w:marTop w:val="0"/>
      <w:marBottom w:val="0"/>
      <w:divBdr>
        <w:top w:val="none" w:sz="0" w:space="0" w:color="auto"/>
        <w:left w:val="none" w:sz="0" w:space="0" w:color="auto"/>
        <w:bottom w:val="none" w:sz="0" w:space="0" w:color="auto"/>
        <w:right w:val="none" w:sz="0" w:space="0" w:color="auto"/>
      </w:divBdr>
    </w:div>
    <w:div w:id="476999534">
      <w:bodyDiv w:val="1"/>
      <w:marLeft w:val="0"/>
      <w:marRight w:val="0"/>
      <w:marTop w:val="0"/>
      <w:marBottom w:val="0"/>
      <w:divBdr>
        <w:top w:val="none" w:sz="0" w:space="0" w:color="auto"/>
        <w:left w:val="none" w:sz="0" w:space="0" w:color="auto"/>
        <w:bottom w:val="none" w:sz="0" w:space="0" w:color="auto"/>
        <w:right w:val="none" w:sz="0" w:space="0" w:color="auto"/>
      </w:divBdr>
    </w:div>
    <w:div w:id="483399134">
      <w:bodyDiv w:val="1"/>
      <w:marLeft w:val="0"/>
      <w:marRight w:val="0"/>
      <w:marTop w:val="0"/>
      <w:marBottom w:val="0"/>
      <w:divBdr>
        <w:top w:val="none" w:sz="0" w:space="0" w:color="auto"/>
        <w:left w:val="none" w:sz="0" w:space="0" w:color="auto"/>
        <w:bottom w:val="none" w:sz="0" w:space="0" w:color="auto"/>
        <w:right w:val="none" w:sz="0" w:space="0" w:color="auto"/>
      </w:divBdr>
    </w:div>
    <w:div w:id="484664084">
      <w:bodyDiv w:val="1"/>
      <w:marLeft w:val="0"/>
      <w:marRight w:val="0"/>
      <w:marTop w:val="0"/>
      <w:marBottom w:val="0"/>
      <w:divBdr>
        <w:top w:val="none" w:sz="0" w:space="0" w:color="auto"/>
        <w:left w:val="none" w:sz="0" w:space="0" w:color="auto"/>
        <w:bottom w:val="none" w:sz="0" w:space="0" w:color="auto"/>
        <w:right w:val="none" w:sz="0" w:space="0" w:color="auto"/>
      </w:divBdr>
    </w:div>
    <w:div w:id="486825011">
      <w:bodyDiv w:val="1"/>
      <w:marLeft w:val="0"/>
      <w:marRight w:val="0"/>
      <w:marTop w:val="0"/>
      <w:marBottom w:val="0"/>
      <w:divBdr>
        <w:top w:val="none" w:sz="0" w:space="0" w:color="auto"/>
        <w:left w:val="none" w:sz="0" w:space="0" w:color="auto"/>
        <w:bottom w:val="none" w:sz="0" w:space="0" w:color="auto"/>
        <w:right w:val="none" w:sz="0" w:space="0" w:color="auto"/>
      </w:divBdr>
    </w:div>
    <w:div w:id="507644401">
      <w:bodyDiv w:val="1"/>
      <w:marLeft w:val="0"/>
      <w:marRight w:val="0"/>
      <w:marTop w:val="0"/>
      <w:marBottom w:val="0"/>
      <w:divBdr>
        <w:top w:val="none" w:sz="0" w:space="0" w:color="auto"/>
        <w:left w:val="none" w:sz="0" w:space="0" w:color="auto"/>
        <w:bottom w:val="none" w:sz="0" w:space="0" w:color="auto"/>
        <w:right w:val="none" w:sz="0" w:space="0" w:color="auto"/>
      </w:divBdr>
    </w:div>
    <w:div w:id="508720346">
      <w:bodyDiv w:val="1"/>
      <w:marLeft w:val="0"/>
      <w:marRight w:val="0"/>
      <w:marTop w:val="0"/>
      <w:marBottom w:val="0"/>
      <w:divBdr>
        <w:top w:val="none" w:sz="0" w:space="0" w:color="auto"/>
        <w:left w:val="none" w:sz="0" w:space="0" w:color="auto"/>
        <w:bottom w:val="none" w:sz="0" w:space="0" w:color="auto"/>
        <w:right w:val="none" w:sz="0" w:space="0" w:color="auto"/>
      </w:divBdr>
    </w:div>
    <w:div w:id="512719360">
      <w:bodyDiv w:val="1"/>
      <w:marLeft w:val="0"/>
      <w:marRight w:val="0"/>
      <w:marTop w:val="0"/>
      <w:marBottom w:val="0"/>
      <w:divBdr>
        <w:top w:val="none" w:sz="0" w:space="0" w:color="auto"/>
        <w:left w:val="none" w:sz="0" w:space="0" w:color="auto"/>
        <w:bottom w:val="none" w:sz="0" w:space="0" w:color="auto"/>
        <w:right w:val="none" w:sz="0" w:space="0" w:color="auto"/>
      </w:divBdr>
    </w:div>
    <w:div w:id="513806888">
      <w:bodyDiv w:val="1"/>
      <w:marLeft w:val="0"/>
      <w:marRight w:val="0"/>
      <w:marTop w:val="0"/>
      <w:marBottom w:val="0"/>
      <w:divBdr>
        <w:top w:val="none" w:sz="0" w:space="0" w:color="auto"/>
        <w:left w:val="none" w:sz="0" w:space="0" w:color="auto"/>
        <w:bottom w:val="none" w:sz="0" w:space="0" w:color="auto"/>
        <w:right w:val="none" w:sz="0" w:space="0" w:color="auto"/>
      </w:divBdr>
    </w:div>
    <w:div w:id="528487973">
      <w:bodyDiv w:val="1"/>
      <w:marLeft w:val="0"/>
      <w:marRight w:val="0"/>
      <w:marTop w:val="0"/>
      <w:marBottom w:val="0"/>
      <w:divBdr>
        <w:top w:val="none" w:sz="0" w:space="0" w:color="auto"/>
        <w:left w:val="none" w:sz="0" w:space="0" w:color="auto"/>
        <w:bottom w:val="none" w:sz="0" w:space="0" w:color="auto"/>
        <w:right w:val="none" w:sz="0" w:space="0" w:color="auto"/>
      </w:divBdr>
    </w:div>
    <w:div w:id="532378700">
      <w:bodyDiv w:val="1"/>
      <w:marLeft w:val="0"/>
      <w:marRight w:val="0"/>
      <w:marTop w:val="0"/>
      <w:marBottom w:val="0"/>
      <w:divBdr>
        <w:top w:val="none" w:sz="0" w:space="0" w:color="auto"/>
        <w:left w:val="none" w:sz="0" w:space="0" w:color="auto"/>
        <w:bottom w:val="none" w:sz="0" w:space="0" w:color="auto"/>
        <w:right w:val="none" w:sz="0" w:space="0" w:color="auto"/>
      </w:divBdr>
    </w:div>
    <w:div w:id="532691967">
      <w:bodyDiv w:val="1"/>
      <w:marLeft w:val="0"/>
      <w:marRight w:val="0"/>
      <w:marTop w:val="0"/>
      <w:marBottom w:val="0"/>
      <w:divBdr>
        <w:top w:val="none" w:sz="0" w:space="0" w:color="auto"/>
        <w:left w:val="none" w:sz="0" w:space="0" w:color="auto"/>
        <w:bottom w:val="none" w:sz="0" w:space="0" w:color="auto"/>
        <w:right w:val="none" w:sz="0" w:space="0" w:color="auto"/>
      </w:divBdr>
    </w:div>
    <w:div w:id="545988816">
      <w:bodyDiv w:val="1"/>
      <w:marLeft w:val="0"/>
      <w:marRight w:val="0"/>
      <w:marTop w:val="0"/>
      <w:marBottom w:val="0"/>
      <w:divBdr>
        <w:top w:val="none" w:sz="0" w:space="0" w:color="auto"/>
        <w:left w:val="none" w:sz="0" w:space="0" w:color="auto"/>
        <w:bottom w:val="none" w:sz="0" w:space="0" w:color="auto"/>
        <w:right w:val="none" w:sz="0" w:space="0" w:color="auto"/>
      </w:divBdr>
    </w:div>
    <w:div w:id="559707064">
      <w:bodyDiv w:val="1"/>
      <w:marLeft w:val="0"/>
      <w:marRight w:val="0"/>
      <w:marTop w:val="0"/>
      <w:marBottom w:val="0"/>
      <w:divBdr>
        <w:top w:val="none" w:sz="0" w:space="0" w:color="auto"/>
        <w:left w:val="none" w:sz="0" w:space="0" w:color="auto"/>
        <w:bottom w:val="none" w:sz="0" w:space="0" w:color="auto"/>
        <w:right w:val="none" w:sz="0" w:space="0" w:color="auto"/>
      </w:divBdr>
    </w:div>
    <w:div w:id="566957270">
      <w:bodyDiv w:val="1"/>
      <w:marLeft w:val="0"/>
      <w:marRight w:val="0"/>
      <w:marTop w:val="0"/>
      <w:marBottom w:val="0"/>
      <w:divBdr>
        <w:top w:val="none" w:sz="0" w:space="0" w:color="auto"/>
        <w:left w:val="none" w:sz="0" w:space="0" w:color="auto"/>
        <w:bottom w:val="none" w:sz="0" w:space="0" w:color="auto"/>
        <w:right w:val="none" w:sz="0" w:space="0" w:color="auto"/>
      </w:divBdr>
    </w:div>
    <w:div w:id="575087796">
      <w:bodyDiv w:val="1"/>
      <w:marLeft w:val="0"/>
      <w:marRight w:val="0"/>
      <w:marTop w:val="0"/>
      <w:marBottom w:val="0"/>
      <w:divBdr>
        <w:top w:val="none" w:sz="0" w:space="0" w:color="auto"/>
        <w:left w:val="none" w:sz="0" w:space="0" w:color="auto"/>
        <w:bottom w:val="none" w:sz="0" w:space="0" w:color="auto"/>
        <w:right w:val="none" w:sz="0" w:space="0" w:color="auto"/>
      </w:divBdr>
    </w:div>
    <w:div w:id="579215621">
      <w:bodyDiv w:val="1"/>
      <w:marLeft w:val="0"/>
      <w:marRight w:val="0"/>
      <w:marTop w:val="0"/>
      <w:marBottom w:val="0"/>
      <w:divBdr>
        <w:top w:val="none" w:sz="0" w:space="0" w:color="auto"/>
        <w:left w:val="none" w:sz="0" w:space="0" w:color="auto"/>
        <w:bottom w:val="none" w:sz="0" w:space="0" w:color="auto"/>
        <w:right w:val="none" w:sz="0" w:space="0" w:color="auto"/>
      </w:divBdr>
    </w:div>
    <w:div w:id="583032542">
      <w:bodyDiv w:val="1"/>
      <w:marLeft w:val="0"/>
      <w:marRight w:val="0"/>
      <w:marTop w:val="0"/>
      <w:marBottom w:val="0"/>
      <w:divBdr>
        <w:top w:val="none" w:sz="0" w:space="0" w:color="auto"/>
        <w:left w:val="none" w:sz="0" w:space="0" w:color="auto"/>
        <w:bottom w:val="none" w:sz="0" w:space="0" w:color="auto"/>
        <w:right w:val="none" w:sz="0" w:space="0" w:color="auto"/>
      </w:divBdr>
    </w:div>
    <w:div w:id="584919444">
      <w:bodyDiv w:val="1"/>
      <w:marLeft w:val="0"/>
      <w:marRight w:val="0"/>
      <w:marTop w:val="0"/>
      <w:marBottom w:val="0"/>
      <w:divBdr>
        <w:top w:val="none" w:sz="0" w:space="0" w:color="auto"/>
        <w:left w:val="none" w:sz="0" w:space="0" w:color="auto"/>
        <w:bottom w:val="none" w:sz="0" w:space="0" w:color="auto"/>
        <w:right w:val="none" w:sz="0" w:space="0" w:color="auto"/>
      </w:divBdr>
    </w:div>
    <w:div w:id="602345918">
      <w:bodyDiv w:val="1"/>
      <w:marLeft w:val="0"/>
      <w:marRight w:val="0"/>
      <w:marTop w:val="0"/>
      <w:marBottom w:val="0"/>
      <w:divBdr>
        <w:top w:val="none" w:sz="0" w:space="0" w:color="auto"/>
        <w:left w:val="none" w:sz="0" w:space="0" w:color="auto"/>
        <w:bottom w:val="none" w:sz="0" w:space="0" w:color="auto"/>
        <w:right w:val="none" w:sz="0" w:space="0" w:color="auto"/>
      </w:divBdr>
    </w:div>
    <w:div w:id="606542103">
      <w:bodyDiv w:val="1"/>
      <w:marLeft w:val="0"/>
      <w:marRight w:val="0"/>
      <w:marTop w:val="0"/>
      <w:marBottom w:val="0"/>
      <w:divBdr>
        <w:top w:val="none" w:sz="0" w:space="0" w:color="auto"/>
        <w:left w:val="none" w:sz="0" w:space="0" w:color="auto"/>
        <w:bottom w:val="none" w:sz="0" w:space="0" w:color="auto"/>
        <w:right w:val="none" w:sz="0" w:space="0" w:color="auto"/>
      </w:divBdr>
    </w:div>
    <w:div w:id="607200953">
      <w:bodyDiv w:val="1"/>
      <w:marLeft w:val="0"/>
      <w:marRight w:val="0"/>
      <w:marTop w:val="0"/>
      <w:marBottom w:val="0"/>
      <w:divBdr>
        <w:top w:val="none" w:sz="0" w:space="0" w:color="auto"/>
        <w:left w:val="none" w:sz="0" w:space="0" w:color="auto"/>
        <w:bottom w:val="none" w:sz="0" w:space="0" w:color="auto"/>
        <w:right w:val="none" w:sz="0" w:space="0" w:color="auto"/>
      </w:divBdr>
    </w:div>
    <w:div w:id="609975635">
      <w:bodyDiv w:val="1"/>
      <w:marLeft w:val="0"/>
      <w:marRight w:val="0"/>
      <w:marTop w:val="0"/>
      <w:marBottom w:val="0"/>
      <w:divBdr>
        <w:top w:val="none" w:sz="0" w:space="0" w:color="auto"/>
        <w:left w:val="none" w:sz="0" w:space="0" w:color="auto"/>
        <w:bottom w:val="none" w:sz="0" w:space="0" w:color="auto"/>
        <w:right w:val="none" w:sz="0" w:space="0" w:color="auto"/>
      </w:divBdr>
    </w:div>
    <w:div w:id="610208371">
      <w:bodyDiv w:val="1"/>
      <w:marLeft w:val="0"/>
      <w:marRight w:val="0"/>
      <w:marTop w:val="0"/>
      <w:marBottom w:val="0"/>
      <w:divBdr>
        <w:top w:val="none" w:sz="0" w:space="0" w:color="auto"/>
        <w:left w:val="none" w:sz="0" w:space="0" w:color="auto"/>
        <w:bottom w:val="none" w:sz="0" w:space="0" w:color="auto"/>
        <w:right w:val="none" w:sz="0" w:space="0" w:color="auto"/>
      </w:divBdr>
    </w:div>
    <w:div w:id="656420730">
      <w:bodyDiv w:val="1"/>
      <w:marLeft w:val="0"/>
      <w:marRight w:val="0"/>
      <w:marTop w:val="0"/>
      <w:marBottom w:val="0"/>
      <w:divBdr>
        <w:top w:val="none" w:sz="0" w:space="0" w:color="auto"/>
        <w:left w:val="none" w:sz="0" w:space="0" w:color="auto"/>
        <w:bottom w:val="none" w:sz="0" w:space="0" w:color="auto"/>
        <w:right w:val="none" w:sz="0" w:space="0" w:color="auto"/>
      </w:divBdr>
    </w:div>
    <w:div w:id="663433752">
      <w:bodyDiv w:val="1"/>
      <w:marLeft w:val="0"/>
      <w:marRight w:val="0"/>
      <w:marTop w:val="0"/>
      <w:marBottom w:val="0"/>
      <w:divBdr>
        <w:top w:val="none" w:sz="0" w:space="0" w:color="auto"/>
        <w:left w:val="none" w:sz="0" w:space="0" w:color="auto"/>
        <w:bottom w:val="none" w:sz="0" w:space="0" w:color="auto"/>
        <w:right w:val="none" w:sz="0" w:space="0" w:color="auto"/>
      </w:divBdr>
    </w:div>
    <w:div w:id="670834825">
      <w:bodyDiv w:val="1"/>
      <w:marLeft w:val="0"/>
      <w:marRight w:val="0"/>
      <w:marTop w:val="0"/>
      <w:marBottom w:val="0"/>
      <w:divBdr>
        <w:top w:val="none" w:sz="0" w:space="0" w:color="auto"/>
        <w:left w:val="none" w:sz="0" w:space="0" w:color="auto"/>
        <w:bottom w:val="none" w:sz="0" w:space="0" w:color="auto"/>
        <w:right w:val="none" w:sz="0" w:space="0" w:color="auto"/>
      </w:divBdr>
    </w:div>
    <w:div w:id="682513517">
      <w:bodyDiv w:val="1"/>
      <w:marLeft w:val="0"/>
      <w:marRight w:val="0"/>
      <w:marTop w:val="0"/>
      <w:marBottom w:val="0"/>
      <w:divBdr>
        <w:top w:val="none" w:sz="0" w:space="0" w:color="auto"/>
        <w:left w:val="none" w:sz="0" w:space="0" w:color="auto"/>
        <w:bottom w:val="none" w:sz="0" w:space="0" w:color="auto"/>
        <w:right w:val="none" w:sz="0" w:space="0" w:color="auto"/>
      </w:divBdr>
    </w:div>
    <w:div w:id="700127621">
      <w:bodyDiv w:val="1"/>
      <w:marLeft w:val="0"/>
      <w:marRight w:val="0"/>
      <w:marTop w:val="0"/>
      <w:marBottom w:val="0"/>
      <w:divBdr>
        <w:top w:val="none" w:sz="0" w:space="0" w:color="auto"/>
        <w:left w:val="none" w:sz="0" w:space="0" w:color="auto"/>
        <w:bottom w:val="none" w:sz="0" w:space="0" w:color="auto"/>
        <w:right w:val="none" w:sz="0" w:space="0" w:color="auto"/>
      </w:divBdr>
    </w:div>
    <w:div w:id="721903830">
      <w:bodyDiv w:val="1"/>
      <w:marLeft w:val="0"/>
      <w:marRight w:val="0"/>
      <w:marTop w:val="0"/>
      <w:marBottom w:val="0"/>
      <w:divBdr>
        <w:top w:val="none" w:sz="0" w:space="0" w:color="auto"/>
        <w:left w:val="none" w:sz="0" w:space="0" w:color="auto"/>
        <w:bottom w:val="none" w:sz="0" w:space="0" w:color="auto"/>
        <w:right w:val="none" w:sz="0" w:space="0" w:color="auto"/>
      </w:divBdr>
    </w:div>
    <w:div w:id="721906507">
      <w:bodyDiv w:val="1"/>
      <w:marLeft w:val="0"/>
      <w:marRight w:val="0"/>
      <w:marTop w:val="0"/>
      <w:marBottom w:val="0"/>
      <w:divBdr>
        <w:top w:val="none" w:sz="0" w:space="0" w:color="auto"/>
        <w:left w:val="none" w:sz="0" w:space="0" w:color="auto"/>
        <w:bottom w:val="none" w:sz="0" w:space="0" w:color="auto"/>
        <w:right w:val="none" w:sz="0" w:space="0" w:color="auto"/>
      </w:divBdr>
    </w:div>
    <w:div w:id="731654746">
      <w:bodyDiv w:val="1"/>
      <w:marLeft w:val="0"/>
      <w:marRight w:val="0"/>
      <w:marTop w:val="0"/>
      <w:marBottom w:val="0"/>
      <w:divBdr>
        <w:top w:val="none" w:sz="0" w:space="0" w:color="auto"/>
        <w:left w:val="none" w:sz="0" w:space="0" w:color="auto"/>
        <w:bottom w:val="none" w:sz="0" w:space="0" w:color="auto"/>
        <w:right w:val="none" w:sz="0" w:space="0" w:color="auto"/>
      </w:divBdr>
    </w:div>
    <w:div w:id="734014538">
      <w:bodyDiv w:val="1"/>
      <w:marLeft w:val="0"/>
      <w:marRight w:val="0"/>
      <w:marTop w:val="0"/>
      <w:marBottom w:val="0"/>
      <w:divBdr>
        <w:top w:val="none" w:sz="0" w:space="0" w:color="auto"/>
        <w:left w:val="none" w:sz="0" w:space="0" w:color="auto"/>
        <w:bottom w:val="none" w:sz="0" w:space="0" w:color="auto"/>
        <w:right w:val="none" w:sz="0" w:space="0" w:color="auto"/>
      </w:divBdr>
    </w:div>
    <w:div w:id="769736151">
      <w:bodyDiv w:val="1"/>
      <w:marLeft w:val="0"/>
      <w:marRight w:val="0"/>
      <w:marTop w:val="0"/>
      <w:marBottom w:val="0"/>
      <w:divBdr>
        <w:top w:val="none" w:sz="0" w:space="0" w:color="auto"/>
        <w:left w:val="none" w:sz="0" w:space="0" w:color="auto"/>
        <w:bottom w:val="none" w:sz="0" w:space="0" w:color="auto"/>
        <w:right w:val="none" w:sz="0" w:space="0" w:color="auto"/>
      </w:divBdr>
    </w:div>
    <w:div w:id="778069682">
      <w:bodyDiv w:val="1"/>
      <w:marLeft w:val="0"/>
      <w:marRight w:val="0"/>
      <w:marTop w:val="0"/>
      <w:marBottom w:val="0"/>
      <w:divBdr>
        <w:top w:val="none" w:sz="0" w:space="0" w:color="auto"/>
        <w:left w:val="none" w:sz="0" w:space="0" w:color="auto"/>
        <w:bottom w:val="none" w:sz="0" w:space="0" w:color="auto"/>
        <w:right w:val="none" w:sz="0" w:space="0" w:color="auto"/>
      </w:divBdr>
    </w:div>
    <w:div w:id="779375447">
      <w:bodyDiv w:val="1"/>
      <w:marLeft w:val="0"/>
      <w:marRight w:val="0"/>
      <w:marTop w:val="0"/>
      <w:marBottom w:val="0"/>
      <w:divBdr>
        <w:top w:val="none" w:sz="0" w:space="0" w:color="auto"/>
        <w:left w:val="none" w:sz="0" w:space="0" w:color="auto"/>
        <w:bottom w:val="none" w:sz="0" w:space="0" w:color="auto"/>
        <w:right w:val="none" w:sz="0" w:space="0" w:color="auto"/>
      </w:divBdr>
    </w:div>
    <w:div w:id="785002344">
      <w:bodyDiv w:val="1"/>
      <w:marLeft w:val="0"/>
      <w:marRight w:val="0"/>
      <w:marTop w:val="0"/>
      <w:marBottom w:val="0"/>
      <w:divBdr>
        <w:top w:val="none" w:sz="0" w:space="0" w:color="auto"/>
        <w:left w:val="none" w:sz="0" w:space="0" w:color="auto"/>
        <w:bottom w:val="none" w:sz="0" w:space="0" w:color="auto"/>
        <w:right w:val="none" w:sz="0" w:space="0" w:color="auto"/>
      </w:divBdr>
    </w:div>
    <w:div w:id="788864973">
      <w:bodyDiv w:val="1"/>
      <w:marLeft w:val="0"/>
      <w:marRight w:val="0"/>
      <w:marTop w:val="0"/>
      <w:marBottom w:val="0"/>
      <w:divBdr>
        <w:top w:val="none" w:sz="0" w:space="0" w:color="auto"/>
        <w:left w:val="none" w:sz="0" w:space="0" w:color="auto"/>
        <w:bottom w:val="none" w:sz="0" w:space="0" w:color="auto"/>
        <w:right w:val="none" w:sz="0" w:space="0" w:color="auto"/>
      </w:divBdr>
    </w:div>
    <w:div w:id="815338788">
      <w:bodyDiv w:val="1"/>
      <w:marLeft w:val="0"/>
      <w:marRight w:val="0"/>
      <w:marTop w:val="0"/>
      <w:marBottom w:val="0"/>
      <w:divBdr>
        <w:top w:val="none" w:sz="0" w:space="0" w:color="auto"/>
        <w:left w:val="none" w:sz="0" w:space="0" w:color="auto"/>
        <w:bottom w:val="none" w:sz="0" w:space="0" w:color="auto"/>
        <w:right w:val="none" w:sz="0" w:space="0" w:color="auto"/>
      </w:divBdr>
    </w:div>
    <w:div w:id="828252532">
      <w:bodyDiv w:val="1"/>
      <w:marLeft w:val="0"/>
      <w:marRight w:val="0"/>
      <w:marTop w:val="0"/>
      <w:marBottom w:val="0"/>
      <w:divBdr>
        <w:top w:val="none" w:sz="0" w:space="0" w:color="auto"/>
        <w:left w:val="none" w:sz="0" w:space="0" w:color="auto"/>
        <w:bottom w:val="none" w:sz="0" w:space="0" w:color="auto"/>
        <w:right w:val="none" w:sz="0" w:space="0" w:color="auto"/>
      </w:divBdr>
    </w:div>
    <w:div w:id="831139714">
      <w:bodyDiv w:val="1"/>
      <w:marLeft w:val="0"/>
      <w:marRight w:val="0"/>
      <w:marTop w:val="0"/>
      <w:marBottom w:val="0"/>
      <w:divBdr>
        <w:top w:val="none" w:sz="0" w:space="0" w:color="auto"/>
        <w:left w:val="none" w:sz="0" w:space="0" w:color="auto"/>
        <w:bottom w:val="none" w:sz="0" w:space="0" w:color="auto"/>
        <w:right w:val="none" w:sz="0" w:space="0" w:color="auto"/>
      </w:divBdr>
    </w:div>
    <w:div w:id="831607645">
      <w:bodyDiv w:val="1"/>
      <w:marLeft w:val="0"/>
      <w:marRight w:val="0"/>
      <w:marTop w:val="0"/>
      <w:marBottom w:val="0"/>
      <w:divBdr>
        <w:top w:val="none" w:sz="0" w:space="0" w:color="auto"/>
        <w:left w:val="none" w:sz="0" w:space="0" w:color="auto"/>
        <w:bottom w:val="none" w:sz="0" w:space="0" w:color="auto"/>
        <w:right w:val="none" w:sz="0" w:space="0" w:color="auto"/>
      </w:divBdr>
    </w:div>
    <w:div w:id="834960164">
      <w:bodyDiv w:val="1"/>
      <w:marLeft w:val="0"/>
      <w:marRight w:val="0"/>
      <w:marTop w:val="0"/>
      <w:marBottom w:val="0"/>
      <w:divBdr>
        <w:top w:val="none" w:sz="0" w:space="0" w:color="auto"/>
        <w:left w:val="none" w:sz="0" w:space="0" w:color="auto"/>
        <w:bottom w:val="none" w:sz="0" w:space="0" w:color="auto"/>
        <w:right w:val="none" w:sz="0" w:space="0" w:color="auto"/>
      </w:divBdr>
    </w:div>
    <w:div w:id="835221112">
      <w:bodyDiv w:val="1"/>
      <w:marLeft w:val="0"/>
      <w:marRight w:val="0"/>
      <w:marTop w:val="0"/>
      <w:marBottom w:val="0"/>
      <w:divBdr>
        <w:top w:val="none" w:sz="0" w:space="0" w:color="auto"/>
        <w:left w:val="none" w:sz="0" w:space="0" w:color="auto"/>
        <w:bottom w:val="none" w:sz="0" w:space="0" w:color="auto"/>
        <w:right w:val="none" w:sz="0" w:space="0" w:color="auto"/>
      </w:divBdr>
    </w:div>
    <w:div w:id="835221737">
      <w:bodyDiv w:val="1"/>
      <w:marLeft w:val="0"/>
      <w:marRight w:val="0"/>
      <w:marTop w:val="0"/>
      <w:marBottom w:val="0"/>
      <w:divBdr>
        <w:top w:val="none" w:sz="0" w:space="0" w:color="auto"/>
        <w:left w:val="none" w:sz="0" w:space="0" w:color="auto"/>
        <w:bottom w:val="none" w:sz="0" w:space="0" w:color="auto"/>
        <w:right w:val="none" w:sz="0" w:space="0" w:color="auto"/>
      </w:divBdr>
    </w:div>
    <w:div w:id="845247658">
      <w:bodyDiv w:val="1"/>
      <w:marLeft w:val="0"/>
      <w:marRight w:val="0"/>
      <w:marTop w:val="0"/>
      <w:marBottom w:val="0"/>
      <w:divBdr>
        <w:top w:val="none" w:sz="0" w:space="0" w:color="auto"/>
        <w:left w:val="none" w:sz="0" w:space="0" w:color="auto"/>
        <w:bottom w:val="none" w:sz="0" w:space="0" w:color="auto"/>
        <w:right w:val="none" w:sz="0" w:space="0" w:color="auto"/>
      </w:divBdr>
    </w:div>
    <w:div w:id="865482737">
      <w:bodyDiv w:val="1"/>
      <w:marLeft w:val="0"/>
      <w:marRight w:val="0"/>
      <w:marTop w:val="0"/>
      <w:marBottom w:val="0"/>
      <w:divBdr>
        <w:top w:val="none" w:sz="0" w:space="0" w:color="auto"/>
        <w:left w:val="none" w:sz="0" w:space="0" w:color="auto"/>
        <w:bottom w:val="none" w:sz="0" w:space="0" w:color="auto"/>
        <w:right w:val="none" w:sz="0" w:space="0" w:color="auto"/>
      </w:divBdr>
    </w:div>
    <w:div w:id="872303452">
      <w:bodyDiv w:val="1"/>
      <w:marLeft w:val="0"/>
      <w:marRight w:val="0"/>
      <w:marTop w:val="0"/>
      <w:marBottom w:val="0"/>
      <w:divBdr>
        <w:top w:val="none" w:sz="0" w:space="0" w:color="auto"/>
        <w:left w:val="none" w:sz="0" w:space="0" w:color="auto"/>
        <w:bottom w:val="none" w:sz="0" w:space="0" w:color="auto"/>
        <w:right w:val="none" w:sz="0" w:space="0" w:color="auto"/>
      </w:divBdr>
    </w:div>
    <w:div w:id="876545755">
      <w:bodyDiv w:val="1"/>
      <w:marLeft w:val="0"/>
      <w:marRight w:val="0"/>
      <w:marTop w:val="0"/>
      <w:marBottom w:val="0"/>
      <w:divBdr>
        <w:top w:val="none" w:sz="0" w:space="0" w:color="auto"/>
        <w:left w:val="none" w:sz="0" w:space="0" w:color="auto"/>
        <w:bottom w:val="none" w:sz="0" w:space="0" w:color="auto"/>
        <w:right w:val="none" w:sz="0" w:space="0" w:color="auto"/>
      </w:divBdr>
    </w:div>
    <w:div w:id="876820318">
      <w:bodyDiv w:val="1"/>
      <w:marLeft w:val="0"/>
      <w:marRight w:val="0"/>
      <w:marTop w:val="0"/>
      <w:marBottom w:val="0"/>
      <w:divBdr>
        <w:top w:val="none" w:sz="0" w:space="0" w:color="auto"/>
        <w:left w:val="none" w:sz="0" w:space="0" w:color="auto"/>
        <w:bottom w:val="none" w:sz="0" w:space="0" w:color="auto"/>
        <w:right w:val="none" w:sz="0" w:space="0" w:color="auto"/>
      </w:divBdr>
    </w:div>
    <w:div w:id="878510860">
      <w:bodyDiv w:val="1"/>
      <w:marLeft w:val="0"/>
      <w:marRight w:val="0"/>
      <w:marTop w:val="0"/>
      <w:marBottom w:val="0"/>
      <w:divBdr>
        <w:top w:val="none" w:sz="0" w:space="0" w:color="auto"/>
        <w:left w:val="none" w:sz="0" w:space="0" w:color="auto"/>
        <w:bottom w:val="none" w:sz="0" w:space="0" w:color="auto"/>
        <w:right w:val="none" w:sz="0" w:space="0" w:color="auto"/>
      </w:divBdr>
    </w:div>
    <w:div w:id="883636962">
      <w:bodyDiv w:val="1"/>
      <w:marLeft w:val="0"/>
      <w:marRight w:val="0"/>
      <w:marTop w:val="0"/>
      <w:marBottom w:val="0"/>
      <w:divBdr>
        <w:top w:val="none" w:sz="0" w:space="0" w:color="auto"/>
        <w:left w:val="none" w:sz="0" w:space="0" w:color="auto"/>
        <w:bottom w:val="none" w:sz="0" w:space="0" w:color="auto"/>
        <w:right w:val="none" w:sz="0" w:space="0" w:color="auto"/>
      </w:divBdr>
    </w:div>
    <w:div w:id="927275143">
      <w:bodyDiv w:val="1"/>
      <w:marLeft w:val="0"/>
      <w:marRight w:val="0"/>
      <w:marTop w:val="0"/>
      <w:marBottom w:val="0"/>
      <w:divBdr>
        <w:top w:val="none" w:sz="0" w:space="0" w:color="auto"/>
        <w:left w:val="none" w:sz="0" w:space="0" w:color="auto"/>
        <w:bottom w:val="none" w:sz="0" w:space="0" w:color="auto"/>
        <w:right w:val="none" w:sz="0" w:space="0" w:color="auto"/>
      </w:divBdr>
    </w:div>
    <w:div w:id="932394493">
      <w:bodyDiv w:val="1"/>
      <w:marLeft w:val="0"/>
      <w:marRight w:val="0"/>
      <w:marTop w:val="0"/>
      <w:marBottom w:val="0"/>
      <w:divBdr>
        <w:top w:val="none" w:sz="0" w:space="0" w:color="auto"/>
        <w:left w:val="none" w:sz="0" w:space="0" w:color="auto"/>
        <w:bottom w:val="none" w:sz="0" w:space="0" w:color="auto"/>
        <w:right w:val="none" w:sz="0" w:space="0" w:color="auto"/>
      </w:divBdr>
    </w:div>
    <w:div w:id="938879039">
      <w:bodyDiv w:val="1"/>
      <w:marLeft w:val="0"/>
      <w:marRight w:val="0"/>
      <w:marTop w:val="0"/>
      <w:marBottom w:val="0"/>
      <w:divBdr>
        <w:top w:val="none" w:sz="0" w:space="0" w:color="auto"/>
        <w:left w:val="none" w:sz="0" w:space="0" w:color="auto"/>
        <w:bottom w:val="none" w:sz="0" w:space="0" w:color="auto"/>
        <w:right w:val="none" w:sz="0" w:space="0" w:color="auto"/>
      </w:divBdr>
    </w:div>
    <w:div w:id="963074132">
      <w:bodyDiv w:val="1"/>
      <w:marLeft w:val="0"/>
      <w:marRight w:val="0"/>
      <w:marTop w:val="0"/>
      <w:marBottom w:val="0"/>
      <w:divBdr>
        <w:top w:val="none" w:sz="0" w:space="0" w:color="auto"/>
        <w:left w:val="none" w:sz="0" w:space="0" w:color="auto"/>
        <w:bottom w:val="none" w:sz="0" w:space="0" w:color="auto"/>
        <w:right w:val="none" w:sz="0" w:space="0" w:color="auto"/>
      </w:divBdr>
    </w:div>
    <w:div w:id="970937682">
      <w:bodyDiv w:val="1"/>
      <w:marLeft w:val="0"/>
      <w:marRight w:val="0"/>
      <w:marTop w:val="0"/>
      <w:marBottom w:val="0"/>
      <w:divBdr>
        <w:top w:val="none" w:sz="0" w:space="0" w:color="auto"/>
        <w:left w:val="none" w:sz="0" w:space="0" w:color="auto"/>
        <w:bottom w:val="none" w:sz="0" w:space="0" w:color="auto"/>
        <w:right w:val="none" w:sz="0" w:space="0" w:color="auto"/>
      </w:divBdr>
    </w:div>
    <w:div w:id="972978334">
      <w:bodyDiv w:val="1"/>
      <w:marLeft w:val="0"/>
      <w:marRight w:val="0"/>
      <w:marTop w:val="0"/>
      <w:marBottom w:val="0"/>
      <w:divBdr>
        <w:top w:val="none" w:sz="0" w:space="0" w:color="auto"/>
        <w:left w:val="none" w:sz="0" w:space="0" w:color="auto"/>
        <w:bottom w:val="none" w:sz="0" w:space="0" w:color="auto"/>
        <w:right w:val="none" w:sz="0" w:space="0" w:color="auto"/>
      </w:divBdr>
    </w:div>
    <w:div w:id="989290262">
      <w:bodyDiv w:val="1"/>
      <w:marLeft w:val="0"/>
      <w:marRight w:val="0"/>
      <w:marTop w:val="0"/>
      <w:marBottom w:val="0"/>
      <w:divBdr>
        <w:top w:val="none" w:sz="0" w:space="0" w:color="auto"/>
        <w:left w:val="none" w:sz="0" w:space="0" w:color="auto"/>
        <w:bottom w:val="none" w:sz="0" w:space="0" w:color="auto"/>
        <w:right w:val="none" w:sz="0" w:space="0" w:color="auto"/>
      </w:divBdr>
    </w:div>
    <w:div w:id="997687198">
      <w:bodyDiv w:val="1"/>
      <w:marLeft w:val="0"/>
      <w:marRight w:val="0"/>
      <w:marTop w:val="0"/>
      <w:marBottom w:val="0"/>
      <w:divBdr>
        <w:top w:val="none" w:sz="0" w:space="0" w:color="auto"/>
        <w:left w:val="none" w:sz="0" w:space="0" w:color="auto"/>
        <w:bottom w:val="none" w:sz="0" w:space="0" w:color="auto"/>
        <w:right w:val="none" w:sz="0" w:space="0" w:color="auto"/>
      </w:divBdr>
    </w:div>
    <w:div w:id="1002003045">
      <w:bodyDiv w:val="1"/>
      <w:marLeft w:val="0"/>
      <w:marRight w:val="0"/>
      <w:marTop w:val="0"/>
      <w:marBottom w:val="0"/>
      <w:divBdr>
        <w:top w:val="none" w:sz="0" w:space="0" w:color="auto"/>
        <w:left w:val="none" w:sz="0" w:space="0" w:color="auto"/>
        <w:bottom w:val="none" w:sz="0" w:space="0" w:color="auto"/>
        <w:right w:val="none" w:sz="0" w:space="0" w:color="auto"/>
      </w:divBdr>
    </w:div>
    <w:div w:id="1006321467">
      <w:bodyDiv w:val="1"/>
      <w:marLeft w:val="0"/>
      <w:marRight w:val="0"/>
      <w:marTop w:val="0"/>
      <w:marBottom w:val="0"/>
      <w:divBdr>
        <w:top w:val="none" w:sz="0" w:space="0" w:color="auto"/>
        <w:left w:val="none" w:sz="0" w:space="0" w:color="auto"/>
        <w:bottom w:val="none" w:sz="0" w:space="0" w:color="auto"/>
        <w:right w:val="none" w:sz="0" w:space="0" w:color="auto"/>
      </w:divBdr>
    </w:div>
    <w:div w:id="1020862372">
      <w:bodyDiv w:val="1"/>
      <w:marLeft w:val="0"/>
      <w:marRight w:val="0"/>
      <w:marTop w:val="0"/>
      <w:marBottom w:val="0"/>
      <w:divBdr>
        <w:top w:val="none" w:sz="0" w:space="0" w:color="auto"/>
        <w:left w:val="none" w:sz="0" w:space="0" w:color="auto"/>
        <w:bottom w:val="none" w:sz="0" w:space="0" w:color="auto"/>
        <w:right w:val="none" w:sz="0" w:space="0" w:color="auto"/>
      </w:divBdr>
    </w:div>
    <w:div w:id="1022558546">
      <w:bodyDiv w:val="1"/>
      <w:marLeft w:val="0"/>
      <w:marRight w:val="0"/>
      <w:marTop w:val="0"/>
      <w:marBottom w:val="0"/>
      <w:divBdr>
        <w:top w:val="none" w:sz="0" w:space="0" w:color="auto"/>
        <w:left w:val="none" w:sz="0" w:space="0" w:color="auto"/>
        <w:bottom w:val="none" w:sz="0" w:space="0" w:color="auto"/>
        <w:right w:val="none" w:sz="0" w:space="0" w:color="auto"/>
      </w:divBdr>
    </w:div>
    <w:div w:id="1028530258">
      <w:bodyDiv w:val="1"/>
      <w:marLeft w:val="0"/>
      <w:marRight w:val="0"/>
      <w:marTop w:val="0"/>
      <w:marBottom w:val="0"/>
      <w:divBdr>
        <w:top w:val="none" w:sz="0" w:space="0" w:color="auto"/>
        <w:left w:val="none" w:sz="0" w:space="0" w:color="auto"/>
        <w:bottom w:val="none" w:sz="0" w:space="0" w:color="auto"/>
        <w:right w:val="none" w:sz="0" w:space="0" w:color="auto"/>
      </w:divBdr>
    </w:div>
    <w:div w:id="1032922912">
      <w:bodyDiv w:val="1"/>
      <w:marLeft w:val="0"/>
      <w:marRight w:val="0"/>
      <w:marTop w:val="0"/>
      <w:marBottom w:val="0"/>
      <w:divBdr>
        <w:top w:val="none" w:sz="0" w:space="0" w:color="auto"/>
        <w:left w:val="none" w:sz="0" w:space="0" w:color="auto"/>
        <w:bottom w:val="none" w:sz="0" w:space="0" w:color="auto"/>
        <w:right w:val="none" w:sz="0" w:space="0" w:color="auto"/>
      </w:divBdr>
    </w:div>
    <w:div w:id="1034500484">
      <w:bodyDiv w:val="1"/>
      <w:marLeft w:val="0"/>
      <w:marRight w:val="0"/>
      <w:marTop w:val="0"/>
      <w:marBottom w:val="0"/>
      <w:divBdr>
        <w:top w:val="none" w:sz="0" w:space="0" w:color="auto"/>
        <w:left w:val="none" w:sz="0" w:space="0" w:color="auto"/>
        <w:bottom w:val="none" w:sz="0" w:space="0" w:color="auto"/>
        <w:right w:val="none" w:sz="0" w:space="0" w:color="auto"/>
      </w:divBdr>
    </w:div>
    <w:div w:id="1063218159">
      <w:bodyDiv w:val="1"/>
      <w:marLeft w:val="0"/>
      <w:marRight w:val="0"/>
      <w:marTop w:val="0"/>
      <w:marBottom w:val="0"/>
      <w:divBdr>
        <w:top w:val="none" w:sz="0" w:space="0" w:color="auto"/>
        <w:left w:val="none" w:sz="0" w:space="0" w:color="auto"/>
        <w:bottom w:val="none" w:sz="0" w:space="0" w:color="auto"/>
        <w:right w:val="none" w:sz="0" w:space="0" w:color="auto"/>
      </w:divBdr>
    </w:div>
    <w:div w:id="1073309679">
      <w:bodyDiv w:val="1"/>
      <w:marLeft w:val="0"/>
      <w:marRight w:val="0"/>
      <w:marTop w:val="0"/>
      <w:marBottom w:val="0"/>
      <w:divBdr>
        <w:top w:val="none" w:sz="0" w:space="0" w:color="auto"/>
        <w:left w:val="none" w:sz="0" w:space="0" w:color="auto"/>
        <w:bottom w:val="none" w:sz="0" w:space="0" w:color="auto"/>
        <w:right w:val="none" w:sz="0" w:space="0" w:color="auto"/>
      </w:divBdr>
    </w:div>
    <w:div w:id="1076513134">
      <w:bodyDiv w:val="1"/>
      <w:marLeft w:val="0"/>
      <w:marRight w:val="0"/>
      <w:marTop w:val="0"/>
      <w:marBottom w:val="0"/>
      <w:divBdr>
        <w:top w:val="none" w:sz="0" w:space="0" w:color="auto"/>
        <w:left w:val="none" w:sz="0" w:space="0" w:color="auto"/>
        <w:bottom w:val="none" w:sz="0" w:space="0" w:color="auto"/>
        <w:right w:val="none" w:sz="0" w:space="0" w:color="auto"/>
      </w:divBdr>
    </w:div>
    <w:div w:id="1081290526">
      <w:bodyDiv w:val="1"/>
      <w:marLeft w:val="0"/>
      <w:marRight w:val="0"/>
      <w:marTop w:val="0"/>
      <w:marBottom w:val="0"/>
      <w:divBdr>
        <w:top w:val="none" w:sz="0" w:space="0" w:color="auto"/>
        <w:left w:val="none" w:sz="0" w:space="0" w:color="auto"/>
        <w:bottom w:val="none" w:sz="0" w:space="0" w:color="auto"/>
        <w:right w:val="none" w:sz="0" w:space="0" w:color="auto"/>
      </w:divBdr>
    </w:div>
    <w:div w:id="1086416940">
      <w:bodyDiv w:val="1"/>
      <w:marLeft w:val="0"/>
      <w:marRight w:val="0"/>
      <w:marTop w:val="0"/>
      <w:marBottom w:val="0"/>
      <w:divBdr>
        <w:top w:val="none" w:sz="0" w:space="0" w:color="auto"/>
        <w:left w:val="none" w:sz="0" w:space="0" w:color="auto"/>
        <w:bottom w:val="none" w:sz="0" w:space="0" w:color="auto"/>
        <w:right w:val="none" w:sz="0" w:space="0" w:color="auto"/>
      </w:divBdr>
    </w:div>
    <w:div w:id="1093278896">
      <w:bodyDiv w:val="1"/>
      <w:marLeft w:val="0"/>
      <w:marRight w:val="0"/>
      <w:marTop w:val="0"/>
      <w:marBottom w:val="0"/>
      <w:divBdr>
        <w:top w:val="none" w:sz="0" w:space="0" w:color="auto"/>
        <w:left w:val="none" w:sz="0" w:space="0" w:color="auto"/>
        <w:bottom w:val="none" w:sz="0" w:space="0" w:color="auto"/>
        <w:right w:val="none" w:sz="0" w:space="0" w:color="auto"/>
      </w:divBdr>
    </w:div>
    <w:div w:id="1102140931">
      <w:bodyDiv w:val="1"/>
      <w:marLeft w:val="0"/>
      <w:marRight w:val="0"/>
      <w:marTop w:val="0"/>
      <w:marBottom w:val="0"/>
      <w:divBdr>
        <w:top w:val="none" w:sz="0" w:space="0" w:color="auto"/>
        <w:left w:val="none" w:sz="0" w:space="0" w:color="auto"/>
        <w:bottom w:val="none" w:sz="0" w:space="0" w:color="auto"/>
        <w:right w:val="none" w:sz="0" w:space="0" w:color="auto"/>
      </w:divBdr>
    </w:div>
    <w:div w:id="1112742988">
      <w:bodyDiv w:val="1"/>
      <w:marLeft w:val="0"/>
      <w:marRight w:val="0"/>
      <w:marTop w:val="0"/>
      <w:marBottom w:val="0"/>
      <w:divBdr>
        <w:top w:val="none" w:sz="0" w:space="0" w:color="auto"/>
        <w:left w:val="none" w:sz="0" w:space="0" w:color="auto"/>
        <w:bottom w:val="none" w:sz="0" w:space="0" w:color="auto"/>
        <w:right w:val="none" w:sz="0" w:space="0" w:color="auto"/>
      </w:divBdr>
    </w:div>
    <w:div w:id="1132286900">
      <w:bodyDiv w:val="1"/>
      <w:marLeft w:val="0"/>
      <w:marRight w:val="0"/>
      <w:marTop w:val="0"/>
      <w:marBottom w:val="0"/>
      <w:divBdr>
        <w:top w:val="none" w:sz="0" w:space="0" w:color="auto"/>
        <w:left w:val="none" w:sz="0" w:space="0" w:color="auto"/>
        <w:bottom w:val="none" w:sz="0" w:space="0" w:color="auto"/>
        <w:right w:val="none" w:sz="0" w:space="0" w:color="auto"/>
      </w:divBdr>
    </w:div>
    <w:div w:id="1133988510">
      <w:bodyDiv w:val="1"/>
      <w:marLeft w:val="0"/>
      <w:marRight w:val="0"/>
      <w:marTop w:val="0"/>
      <w:marBottom w:val="0"/>
      <w:divBdr>
        <w:top w:val="none" w:sz="0" w:space="0" w:color="auto"/>
        <w:left w:val="none" w:sz="0" w:space="0" w:color="auto"/>
        <w:bottom w:val="none" w:sz="0" w:space="0" w:color="auto"/>
        <w:right w:val="none" w:sz="0" w:space="0" w:color="auto"/>
      </w:divBdr>
    </w:div>
    <w:div w:id="1142842756">
      <w:bodyDiv w:val="1"/>
      <w:marLeft w:val="0"/>
      <w:marRight w:val="0"/>
      <w:marTop w:val="0"/>
      <w:marBottom w:val="0"/>
      <w:divBdr>
        <w:top w:val="none" w:sz="0" w:space="0" w:color="auto"/>
        <w:left w:val="none" w:sz="0" w:space="0" w:color="auto"/>
        <w:bottom w:val="none" w:sz="0" w:space="0" w:color="auto"/>
        <w:right w:val="none" w:sz="0" w:space="0" w:color="auto"/>
      </w:divBdr>
    </w:div>
    <w:div w:id="1144809088">
      <w:bodyDiv w:val="1"/>
      <w:marLeft w:val="0"/>
      <w:marRight w:val="0"/>
      <w:marTop w:val="0"/>
      <w:marBottom w:val="0"/>
      <w:divBdr>
        <w:top w:val="none" w:sz="0" w:space="0" w:color="auto"/>
        <w:left w:val="none" w:sz="0" w:space="0" w:color="auto"/>
        <w:bottom w:val="none" w:sz="0" w:space="0" w:color="auto"/>
        <w:right w:val="none" w:sz="0" w:space="0" w:color="auto"/>
      </w:divBdr>
    </w:div>
    <w:div w:id="1155486118">
      <w:bodyDiv w:val="1"/>
      <w:marLeft w:val="0"/>
      <w:marRight w:val="0"/>
      <w:marTop w:val="0"/>
      <w:marBottom w:val="0"/>
      <w:divBdr>
        <w:top w:val="none" w:sz="0" w:space="0" w:color="auto"/>
        <w:left w:val="none" w:sz="0" w:space="0" w:color="auto"/>
        <w:bottom w:val="none" w:sz="0" w:space="0" w:color="auto"/>
        <w:right w:val="none" w:sz="0" w:space="0" w:color="auto"/>
      </w:divBdr>
    </w:div>
    <w:div w:id="1159930576">
      <w:bodyDiv w:val="1"/>
      <w:marLeft w:val="0"/>
      <w:marRight w:val="0"/>
      <w:marTop w:val="0"/>
      <w:marBottom w:val="0"/>
      <w:divBdr>
        <w:top w:val="none" w:sz="0" w:space="0" w:color="auto"/>
        <w:left w:val="none" w:sz="0" w:space="0" w:color="auto"/>
        <w:bottom w:val="none" w:sz="0" w:space="0" w:color="auto"/>
        <w:right w:val="none" w:sz="0" w:space="0" w:color="auto"/>
      </w:divBdr>
    </w:div>
    <w:div w:id="1201935244">
      <w:bodyDiv w:val="1"/>
      <w:marLeft w:val="0"/>
      <w:marRight w:val="0"/>
      <w:marTop w:val="0"/>
      <w:marBottom w:val="0"/>
      <w:divBdr>
        <w:top w:val="none" w:sz="0" w:space="0" w:color="auto"/>
        <w:left w:val="none" w:sz="0" w:space="0" w:color="auto"/>
        <w:bottom w:val="none" w:sz="0" w:space="0" w:color="auto"/>
        <w:right w:val="none" w:sz="0" w:space="0" w:color="auto"/>
      </w:divBdr>
    </w:div>
    <w:div w:id="1204945464">
      <w:bodyDiv w:val="1"/>
      <w:marLeft w:val="0"/>
      <w:marRight w:val="0"/>
      <w:marTop w:val="0"/>
      <w:marBottom w:val="0"/>
      <w:divBdr>
        <w:top w:val="none" w:sz="0" w:space="0" w:color="auto"/>
        <w:left w:val="none" w:sz="0" w:space="0" w:color="auto"/>
        <w:bottom w:val="none" w:sz="0" w:space="0" w:color="auto"/>
        <w:right w:val="none" w:sz="0" w:space="0" w:color="auto"/>
      </w:divBdr>
    </w:div>
    <w:div w:id="1207789415">
      <w:bodyDiv w:val="1"/>
      <w:marLeft w:val="0"/>
      <w:marRight w:val="0"/>
      <w:marTop w:val="0"/>
      <w:marBottom w:val="0"/>
      <w:divBdr>
        <w:top w:val="none" w:sz="0" w:space="0" w:color="auto"/>
        <w:left w:val="none" w:sz="0" w:space="0" w:color="auto"/>
        <w:bottom w:val="none" w:sz="0" w:space="0" w:color="auto"/>
        <w:right w:val="none" w:sz="0" w:space="0" w:color="auto"/>
      </w:divBdr>
    </w:div>
    <w:div w:id="1233735455">
      <w:bodyDiv w:val="1"/>
      <w:marLeft w:val="0"/>
      <w:marRight w:val="0"/>
      <w:marTop w:val="0"/>
      <w:marBottom w:val="0"/>
      <w:divBdr>
        <w:top w:val="none" w:sz="0" w:space="0" w:color="auto"/>
        <w:left w:val="none" w:sz="0" w:space="0" w:color="auto"/>
        <w:bottom w:val="none" w:sz="0" w:space="0" w:color="auto"/>
        <w:right w:val="none" w:sz="0" w:space="0" w:color="auto"/>
      </w:divBdr>
    </w:div>
    <w:div w:id="1240752563">
      <w:bodyDiv w:val="1"/>
      <w:marLeft w:val="0"/>
      <w:marRight w:val="0"/>
      <w:marTop w:val="0"/>
      <w:marBottom w:val="0"/>
      <w:divBdr>
        <w:top w:val="none" w:sz="0" w:space="0" w:color="auto"/>
        <w:left w:val="none" w:sz="0" w:space="0" w:color="auto"/>
        <w:bottom w:val="none" w:sz="0" w:space="0" w:color="auto"/>
        <w:right w:val="none" w:sz="0" w:space="0" w:color="auto"/>
      </w:divBdr>
    </w:div>
    <w:div w:id="1247962975">
      <w:bodyDiv w:val="1"/>
      <w:marLeft w:val="0"/>
      <w:marRight w:val="0"/>
      <w:marTop w:val="0"/>
      <w:marBottom w:val="0"/>
      <w:divBdr>
        <w:top w:val="none" w:sz="0" w:space="0" w:color="auto"/>
        <w:left w:val="none" w:sz="0" w:space="0" w:color="auto"/>
        <w:bottom w:val="none" w:sz="0" w:space="0" w:color="auto"/>
        <w:right w:val="none" w:sz="0" w:space="0" w:color="auto"/>
      </w:divBdr>
    </w:div>
    <w:div w:id="1253585920">
      <w:bodyDiv w:val="1"/>
      <w:marLeft w:val="0"/>
      <w:marRight w:val="0"/>
      <w:marTop w:val="0"/>
      <w:marBottom w:val="0"/>
      <w:divBdr>
        <w:top w:val="none" w:sz="0" w:space="0" w:color="auto"/>
        <w:left w:val="none" w:sz="0" w:space="0" w:color="auto"/>
        <w:bottom w:val="none" w:sz="0" w:space="0" w:color="auto"/>
        <w:right w:val="none" w:sz="0" w:space="0" w:color="auto"/>
      </w:divBdr>
    </w:div>
    <w:div w:id="1268847684">
      <w:bodyDiv w:val="1"/>
      <w:marLeft w:val="0"/>
      <w:marRight w:val="0"/>
      <w:marTop w:val="0"/>
      <w:marBottom w:val="0"/>
      <w:divBdr>
        <w:top w:val="none" w:sz="0" w:space="0" w:color="auto"/>
        <w:left w:val="none" w:sz="0" w:space="0" w:color="auto"/>
        <w:bottom w:val="none" w:sz="0" w:space="0" w:color="auto"/>
        <w:right w:val="none" w:sz="0" w:space="0" w:color="auto"/>
      </w:divBdr>
    </w:div>
    <w:div w:id="1272318120">
      <w:bodyDiv w:val="1"/>
      <w:marLeft w:val="0"/>
      <w:marRight w:val="0"/>
      <w:marTop w:val="0"/>
      <w:marBottom w:val="0"/>
      <w:divBdr>
        <w:top w:val="none" w:sz="0" w:space="0" w:color="auto"/>
        <w:left w:val="none" w:sz="0" w:space="0" w:color="auto"/>
        <w:bottom w:val="none" w:sz="0" w:space="0" w:color="auto"/>
        <w:right w:val="none" w:sz="0" w:space="0" w:color="auto"/>
      </w:divBdr>
    </w:div>
    <w:div w:id="1277365405">
      <w:bodyDiv w:val="1"/>
      <w:marLeft w:val="0"/>
      <w:marRight w:val="0"/>
      <w:marTop w:val="0"/>
      <w:marBottom w:val="0"/>
      <w:divBdr>
        <w:top w:val="none" w:sz="0" w:space="0" w:color="auto"/>
        <w:left w:val="none" w:sz="0" w:space="0" w:color="auto"/>
        <w:bottom w:val="none" w:sz="0" w:space="0" w:color="auto"/>
        <w:right w:val="none" w:sz="0" w:space="0" w:color="auto"/>
      </w:divBdr>
    </w:div>
    <w:div w:id="1280575040">
      <w:bodyDiv w:val="1"/>
      <w:marLeft w:val="0"/>
      <w:marRight w:val="0"/>
      <w:marTop w:val="0"/>
      <w:marBottom w:val="0"/>
      <w:divBdr>
        <w:top w:val="none" w:sz="0" w:space="0" w:color="auto"/>
        <w:left w:val="none" w:sz="0" w:space="0" w:color="auto"/>
        <w:bottom w:val="none" w:sz="0" w:space="0" w:color="auto"/>
        <w:right w:val="none" w:sz="0" w:space="0" w:color="auto"/>
      </w:divBdr>
    </w:div>
    <w:div w:id="1289900563">
      <w:bodyDiv w:val="1"/>
      <w:marLeft w:val="0"/>
      <w:marRight w:val="0"/>
      <w:marTop w:val="0"/>
      <w:marBottom w:val="0"/>
      <w:divBdr>
        <w:top w:val="none" w:sz="0" w:space="0" w:color="auto"/>
        <w:left w:val="none" w:sz="0" w:space="0" w:color="auto"/>
        <w:bottom w:val="none" w:sz="0" w:space="0" w:color="auto"/>
        <w:right w:val="none" w:sz="0" w:space="0" w:color="auto"/>
      </w:divBdr>
    </w:div>
    <w:div w:id="1294561874">
      <w:bodyDiv w:val="1"/>
      <w:marLeft w:val="0"/>
      <w:marRight w:val="0"/>
      <w:marTop w:val="0"/>
      <w:marBottom w:val="0"/>
      <w:divBdr>
        <w:top w:val="none" w:sz="0" w:space="0" w:color="auto"/>
        <w:left w:val="none" w:sz="0" w:space="0" w:color="auto"/>
        <w:bottom w:val="none" w:sz="0" w:space="0" w:color="auto"/>
        <w:right w:val="none" w:sz="0" w:space="0" w:color="auto"/>
      </w:divBdr>
    </w:div>
    <w:div w:id="1302686682">
      <w:bodyDiv w:val="1"/>
      <w:marLeft w:val="0"/>
      <w:marRight w:val="0"/>
      <w:marTop w:val="0"/>
      <w:marBottom w:val="0"/>
      <w:divBdr>
        <w:top w:val="none" w:sz="0" w:space="0" w:color="auto"/>
        <w:left w:val="none" w:sz="0" w:space="0" w:color="auto"/>
        <w:bottom w:val="none" w:sz="0" w:space="0" w:color="auto"/>
        <w:right w:val="none" w:sz="0" w:space="0" w:color="auto"/>
      </w:divBdr>
    </w:div>
    <w:div w:id="1307203470">
      <w:bodyDiv w:val="1"/>
      <w:marLeft w:val="0"/>
      <w:marRight w:val="0"/>
      <w:marTop w:val="0"/>
      <w:marBottom w:val="0"/>
      <w:divBdr>
        <w:top w:val="none" w:sz="0" w:space="0" w:color="auto"/>
        <w:left w:val="none" w:sz="0" w:space="0" w:color="auto"/>
        <w:bottom w:val="none" w:sz="0" w:space="0" w:color="auto"/>
        <w:right w:val="none" w:sz="0" w:space="0" w:color="auto"/>
      </w:divBdr>
    </w:div>
    <w:div w:id="1309166711">
      <w:bodyDiv w:val="1"/>
      <w:marLeft w:val="0"/>
      <w:marRight w:val="0"/>
      <w:marTop w:val="0"/>
      <w:marBottom w:val="0"/>
      <w:divBdr>
        <w:top w:val="none" w:sz="0" w:space="0" w:color="auto"/>
        <w:left w:val="none" w:sz="0" w:space="0" w:color="auto"/>
        <w:bottom w:val="none" w:sz="0" w:space="0" w:color="auto"/>
        <w:right w:val="none" w:sz="0" w:space="0" w:color="auto"/>
      </w:divBdr>
    </w:div>
    <w:div w:id="1318878023">
      <w:bodyDiv w:val="1"/>
      <w:marLeft w:val="0"/>
      <w:marRight w:val="0"/>
      <w:marTop w:val="0"/>
      <w:marBottom w:val="0"/>
      <w:divBdr>
        <w:top w:val="none" w:sz="0" w:space="0" w:color="auto"/>
        <w:left w:val="none" w:sz="0" w:space="0" w:color="auto"/>
        <w:bottom w:val="none" w:sz="0" w:space="0" w:color="auto"/>
        <w:right w:val="none" w:sz="0" w:space="0" w:color="auto"/>
      </w:divBdr>
    </w:div>
    <w:div w:id="1326084191">
      <w:bodyDiv w:val="1"/>
      <w:marLeft w:val="0"/>
      <w:marRight w:val="0"/>
      <w:marTop w:val="0"/>
      <w:marBottom w:val="0"/>
      <w:divBdr>
        <w:top w:val="none" w:sz="0" w:space="0" w:color="auto"/>
        <w:left w:val="none" w:sz="0" w:space="0" w:color="auto"/>
        <w:bottom w:val="none" w:sz="0" w:space="0" w:color="auto"/>
        <w:right w:val="none" w:sz="0" w:space="0" w:color="auto"/>
      </w:divBdr>
    </w:div>
    <w:div w:id="1326741950">
      <w:bodyDiv w:val="1"/>
      <w:marLeft w:val="0"/>
      <w:marRight w:val="0"/>
      <w:marTop w:val="0"/>
      <w:marBottom w:val="0"/>
      <w:divBdr>
        <w:top w:val="none" w:sz="0" w:space="0" w:color="auto"/>
        <w:left w:val="none" w:sz="0" w:space="0" w:color="auto"/>
        <w:bottom w:val="none" w:sz="0" w:space="0" w:color="auto"/>
        <w:right w:val="none" w:sz="0" w:space="0" w:color="auto"/>
      </w:divBdr>
    </w:div>
    <w:div w:id="1338002350">
      <w:bodyDiv w:val="1"/>
      <w:marLeft w:val="0"/>
      <w:marRight w:val="0"/>
      <w:marTop w:val="0"/>
      <w:marBottom w:val="0"/>
      <w:divBdr>
        <w:top w:val="none" w:sz="0" w:space="0" w:color="auto"/>
        <w:left w:val="none" w:sz="0" w:space="0" w:color="auto"/>
        <w:bottom w:val="none" w:sz="0" w:space="0" w:color="auto"/>
        <w:right w:val="none" w:sz="0" w:space="0" w:color="auto"/>
      </w:divBdr>
    </w:div>
    <w:div w:id="1349483699">
      <w:bodyDiv w:val="1"/>
      <w:marLeft w:val="0"/>
      <w:marRight w:val="0"/>
      <w:marTop w:val="0"/>
      <w:marBottom w:val="0"/>
      <w:divBdr>
        <w:top w:val="none" w:sz="0" w:space="0" w:color="auto"/>
        <w:left w:val="none" w:sz="0" w:space="0" w:color="auto"/>
        <w:bottom w:val="none" w:sz="0" w:space="0" w:color="auto"/>
        <w:right w:val="none" w:sz="0" w:space="0" w:color="auto"/>
      </w:divBdr>
    </w:div>
    <w:div w:id="1354455021">
      <w:bodyDiv w:val="1"/>
      <w:marLeft w:val="0"/>
      <w:marRight w:val="0"/>
      <w:marTop w:val="0"/>
      <w:marBottom w:val="0"/>
      <w:divBdr>
        <w:top w:val="none" w:sz="0" w:space="0" w:color="auto"/>
        <w:left w:val="none" w:sz="0" w:space="0" w:color="auto"/>
        <w:bottom w:val="none" w:sz="0" w:space="0" w:color="auto"/>
        <w:right w:val="none" w:sz="0" w:space="0" w:color="auto"/>
      </w:divBdr>
    </w:div>
    <w:div w:id="1363440475">
      <w:bodyDiv w:val="1"/>
      <w:marLeft w:val="0"/>
      <w:marRight w:val="0"/>
      <w:marTop w:val="0"/>
      <w:marBottom w:val="0"/>
      <w:divBdr>
        <w:top w:val="none" w:sz="0" w:space="0" w:color="auto"/>
        <w:left w:val="none" w:sz="0" w:space="0" w:color="auto"/>
        <w:bottom w:val="none" w:sz="0" w:space="0" w:color="auto"/>
        <w:right w:val="none" w:sz="0" w:space="0" w:color="auto"/>
      </w:divBdr>
    </w:div>
    <w:div w:id="1368065114">
      <w:bodyDiv w:val="1"/>
      <w:marLeft w:val="0"/>
      <w:marRight w:val="0"/>
      <w:marTop w:val="0"/>
      <w:marBottom w:val="0"/>
      <w:divBdr>
        <w:top w:val="none" w:sz="0" w:space="0" w:color="auto"/>
        <w:left w:val="none" w:sz="0" w:space="0" w:color="auto"/>
        <w:bottom w:val="none" w:sz="0" w:space="0" w:color="auto"/>
        <w:right w:val="none" w:sz="0" w:space="0" w:color="auto"/>
      </w:divBdr>
    </w:div>
    <w:div w:id="1380981615">
      <w:bodyDiv w:val="1"/>
      <w:marLeft w:val="0"/>
      <w:marRight w:val="0"/>
      <w:marTop w:val="0"/>
      <w:marBottom w:val="0"/>
      <w:divBdr>
        <w:top w:val="none" w:sz="0" w:space="0" w:color="auto"/>
        <w:left w:val="none" w:sz="0" w:space="0" w:color="auto"/>
        <w:bottom w:val="none" w:sz="0" w:space="0" w:color="auto"/>
        <w:right w:val="none" w:sz="0" w:space="0" w:color="auto"/>
      </w:divBdr>
    </w:div>
    <w:div w:id="1382243547">
      <w:bodyDiv w:val="1"/>
      <w:marLeft w:val="0"/>
      <w:marRight w:val="0"/>
      <w:marTop w:val="0"/>
      <w:marBottom w:val="0"/>
      <w:divBdr>
        <w:top w:val="none" w:sz="0" w:space="0" w:color="auto"/>
        <w:left w:val="none" w:sz="0" w:space="0" w:color="auto"/>
        <w:bottom w:val="none" w:sz="0" w:space="0" w:color="auto"/>
        <w:right w:val="none" w:sz="0" w:space="0" w:color="auto"/>
      </w:divBdr>
    </w:div>
    <w:div w:id="1408311045">
      <w:bodyDiv w:val="1"/>
      <w:marLeft w:val="0"/>
      <w:marRight w:val="0"/>
      <w:marTop w:val="0"/>
      <w:marBottom w:val="0"/>
      <w:divBdr>
        <w:top w:val="none" w:sz="0" w:space="0" w:color="auto"/>
        <w:left w:val="none" w:sz="0" w:space="0" w:color="auto"/>
        <w:bottom w:val="none" w:sz="0" w:space="0" w:color="auto"/>
        <w:right w:val="none" w:sz="0" w:space="0" w:color="auto"/>
      </w:divBdr>
    </w:div>
    <w:div w:id="1433281750">
      <w:bodyDiv w:val="1"/>
      <w:marLeft w:val="0"/>
      <w:marRight w:val="0"/>
      <w:marTop w:val="0"/>
      <w:marBottom w:val="0"/>
      <w:divBdr>
        <w:top w:val="none" w:sz="0" w:space="0" w:color="auto"/>
        <w:left w:val="none" w:sz="0" w:space="0" w:color="auto"/>
        <w:bottom w:val="none" w:sz="0" w:space="0" w:color="auto"/>
        <w:right w:val="none" w:sz="0" w:space="0" w:color="auto"/>
      </w:divBdr>
    </w:div>
    <w:div w:id="1444298840">
      <w:bodyDiv w:val="1"/>
      <w:marLeft w:val="0"/>
      <w:marRight w:val="0"/>
      <w:marTop w:val="0"/>
      <w:marBottom w:val="0"/>
      <w:divBdr>
        <w:top w:val="none" w:sz="0" w:space="0" w:color="auto"/>
        <w:left w:val="none" w:sz="0" w:space="0" w:color="auto"/>
        <w:bottom w:val="none" w:sz="0" w:space="0" w:color="auto"/>
        <w:right w:val="none" w:sz="0" w:space="0" w:color="auto"/>
      </w:divBdr>
    </w:div>
    <w:div w:id="1451511231">
      <w:bodyDiv w:val="1"/>
      <w:marLeft w:val="0"/>
      <w:marRight w:val="0"/>
      <w:marTop w:val="0"/>
      <w:marBottom w:val="0"/>
      <w:divBdr>
        <w:top w:val="none" w:sz="0" w:space="0" w:color="auto"/>
        <w:left w:val="none" w:sz="0" w:space="0" w:color="auto"/>
        <w:bottom w:val="none" w:sz="0" w:space="0" w:color="auto"/>
        <w:right w:val="none" w:sz="0" w:space="0" w:color="auto"/>
      </w:divBdr>
    </w:div>
    <w:div w:id="1452161945">
      <w:bodyDiv w:val="1"/>
      <w:marLeft w:val="0"/>
      <w:marRight w:val="0"/>
      <w:marTop w:val="0"/>
      <w:marBottom w:val="0"/>
      <w:divBdr>
        <w:top w:val="none" w:sz="0" w:space="0" w:color="auto"/>
        <w:left w:val="none" w:sz="0" w:space="0" w:color="auto"/>
        <w:bottom w:val="none" w:sz="0" w:space="0" w:color="auto"/>
        <w:right w:val="none" w:sz="0" w:space="0" w:color="auto"/>
      </w:divBdr>
    </w:div>
    <w:div w:id="1471360900">
      <w:bodyDiv w:val="1"/>
      <w:marLeft w:val="0"/>
      <w:marRight w:val="0"/>
      <w:marTop w:val="0"/>
      <w:marBottom w:val="0"/>
      <w:divBdr>
        <w:top w:val="none" w:sz="0" w:space="0" w:color="auto"/>
        <w:left w:val="none" w:sz="0" w:space="0" w:color="auto"/>
        <w:bottom w:val="none" w:sz="0" w:space="0" w:color="auto"/>
        <w:right w:val="none" w:sz="0" w:space="0" w:color="auto"/>
      </w:divBdr>
    </w:div>
    <w:div w:id="1473869638">
      <w:bodyDiv w:val="1"/>
      <w:marLeft w:val="0"/>
      <w:marRight w:val="0"/>
      <w:marTop w:val="0"/>
      <w:marBottom w:val="0"/>
      <w:divBdr>
        <w:top w:val="none" w:sz="0" w:space="0" w:color="auto"/>
        <w:left w:val="none" w:sz="0" w:space="0" w:color="auto"/>
        <w:bottom w:val="none" w:sz="0" w:space="0" w:color="auto"/>
        <w:right w:val="none" w:sz="0" w:space="0" w:color="auto"/>
      </w:divBdr>
    </w:div>
    <w:div w:id="1482456611">
      <w:bodyDiv w:val="1"/>
      <w:marLeft w:val="0"/>
      <w:marRight w:val="0"/>
      <w:marTop w:val="0"/>
      <w:marBottom w:val="0"/>
      <w:divBdr>
        <w:top w:val="none" w:sz="0" w:space="0" w:color="auto"/>
        <w:left w:val="none" w:sz="0" w:space="0" w:color="auto"/>
        <w:bottom w:val="none" w:sz="0" w:space="0" w:color="auto"/>
        <w:right w:val="none" w:sz="0" w:space="0" w:color="auto"/>
      </w:divBdr>
    </w:div>
    <w:div w:id="1485244379">
      <w:bodyDiv w:val="1"/>
      <w:marLeft w:val="0"/>
      <w:marRight w:val="0"/>
      <w:marTop w:val="0"/>
      <w:marBottom w:val="0"/>
      <w:divBdr>
        <w:top w:val="none" w:sz="0" w:space="0" w:color="auto"/>
        <w:left w:val="none" w:sz="0" w:space="0" w:color="auto"/>
        <w:bottom w:val="none" w:sz="0" w:space="0" w:color="auto"/>
        <w:right w:val="none" w:sz="0" w:space="0" w:color="auto"/>
      </w:divBdr>
    </w:div>
    <w:div w:id="1494836796">
      <w:bodyDiv w:val="1"/>
      <w:marLeft w:val="0"/>
      <w:marRight w:val="0"/>
      <w:marTop w:val="0"/>
      <w:marBottom w:val="0"/>
      <w:divBdr>
        <w:top w:val="none" w:sz="0" w:space="0" w:color="auto"/>
        <w:left w:val="none" w:sz="0" w:space="0" w:color="auto"/>
        <w:bottom w:val="none" w:sz="0" w:space="0" w:color="auto"/>
        <w:right w:val="none" w:sz="0" w:space="0" w:color="auto"/>
      </w:divBdr>
    </w:div>
    <w:div w:id="1495488681">
      <w:bodyDiv w:val="1"/>
      <w:marLeft w:val="0"/>
      <w:marRight w:val="0"/>
      <w:marTop w:val="0"/>
      <w:marBottom w:val="0"/>
      <w:divBdr>
        <w:top w:val="none" w:sz="0" w:space="0" w:color="auto"/>
        <w:left w:val="none" w:sz="0" w:space="0" w:color="auto"/>
        <w:bottom w:val="none" w:sz="0" w:space="0" w:color="auto"/>
        <w:right w:val="none" w:sz="0" w:space="0" w:color="auto"/>
      </w:divBdr>
    </w:div>
    <w:div w:id="1496530762">
      <w:bodyDiv w:val="1"/>
      <w:marLeft w:val="0"/>
      <w:marRight w:val="0"/>
      <w:marTop w:val="0"/>
      <w:marBottom w:val="0"/>
      <w:divBdr>
        <w:top w:val="none" w:sz="0" w:space="0" w:color="auto"/>
        <w:left w:val="none" w:sz="0" w:space="0" w:color="auto"/>
        <w:bottom w:val="none" w:sz="0" w:space="0" w:color="auto"/>
        <w:right w:val="none" w:sz="0" w:space="0" w:color="auto"/>
      </w:divBdr>
    </w:div>
    <w:div w:id="1499345402">
      <w:bodyDiv w:val="1"/>
      <w:marLeft w:val="0"/>
      <w:marRight w:val="0"/>
      <w:marTop w:val="0"/>
      <w:marBottom w:val="0"/>
      <w:divBdr>
        <w:top w:val="none" w:sz="0" w:space="0" w:color="auto"/>
        <w:left w:val="none" w:sz="0" w:space="0" w:color="auto"/>
        <w:bottom w:val="none" w:sz="0" w:space="0" w:color="auto"/>
        <w:right w:val="none" w:sz="0" w:space="0" w:color="auto"/>
      </w:divBdr>
    </w:div>
    <w:div w:id="1501505723">
      <w:bodyDiv w:val="1"/>
      <w:marLeft w:val="0"/>
      <w:marRight w:val="0"/>
      <w:marTop w:val="0"/>
      <w:marBottom w:val="0"/>
      <w:divBdr>
        <w:top w:val="none" w:sz="0" w:space="0" w:color="auto"/>
        <w:left w:val="none" w:sz="0" w:space="0" w:color="auto"/>
        <w:bottom w:val="none" w:sz="0" w:space="0" w:color="auto"/>
        <w:right w:val="none" w:sz="0" w:space="0" w:color="auto"/>
      </w:divBdr>
    </w:div>
    <w:div w:id="1506285231">
      <w:bodyDiv w:val="1"/>
      <w:marLeft w:val="0"/>
      <w:marRight w:val="0"/>
      <w:marTop w:val="0"/>
      <w:marBottom w:val="0"/>
      <w:divBdr>
        <w:top w:val="none" w:sz="0" w:space="0" w:color="auto"/>
        <w:left w:val="none" w:sz="0" w:space="0" w:color="auto"/>
        <w:bottom w:val="none" w:sz="0" w:space="0" w:color="auto"/>
        <w:right w:val="none" w:sz="0" w:space="0" w:color="auto"/>
      </w:divBdr>
    </w:div>
    <w:div w:id="1512833527">
      <w:bodyDiv w:val="1"/>
      <w:marLeft w:val="0"/>
      <w:marRight w:val="0"/>
      <w:marTop w:val="0"/>
      <w:marBottom w:val="0"/>
      <w:divBdr>
        <w:top w:val="none" w:sz="0" w:space="0" w:color="auto"/>
        <w:left w:val="none" w:sz="0" w:space="0" w:color="auto"/>
        <w:bottom w:val="none" w:sz="0" w:space="0" w:color="auto"/>
        <w:right w:val="none" w:sz="0" w:space="0" w:color="auto"/>
      </w:divBdr>
    </w:div>
    <w:div w:id="1517383105">
      <w:bodyDiv w:val="1"/>
      <w:marLeft w:val="0"/>
      <w:marRight w:val="0"/>
      <w:marTop w:val="0"/>
      <w:marBottom w:val="0"/>
      <w:divBdr>
        <w:top w:val="none" w:sz="0" w:space="0" w:color="auto"/>
        <w:left w:val="none" w:sz="0" w:space="0" w:color="auto"/>
        <w:bottom w:val="none" w:sz="0" w:space="0" w:color="auto"/>
        <w:right w:val="none" w:sz="0" w:space="0" w:color="auto"/>
      </w:divBdr>
    </w:div>
    <w:div w:id="1523935954">
      <w:bodyDiv w:val="1"/>
      <w:marLeft w:val="0"/>
      <w:marRight w:val="0"/>
      <w:marTop w:val="0"/>
      <w:marBottom w:val="0"/>
      <w:divBdr>
        <w:top w:val="none" w:sz="0" w:space="0" w:color="auto"/>
        <w:left w:val="none" w:sz="0" w:space="0" w:color="auto"/>
        <w:bottom w:val="none" w:sz="0" w:space="0" w:color="auto"/>
        <w:right w:val="none" w:sz="0" w:space="0" w:color="auto"/>
      </w:divBdr>
    </w:div>
    <w:div w:id="1528449903">
      <w:bodyDiv w:val="1"/>
      <w:marLeft w:val="0"/>
      <w:marRight w:val="0"/>
      <w:marTop w:val="0"/>
      <w:marBottom w:val="0"/>
      <w:divBdr>
        <w:top w:val="none" w:sz="0" w:space="0" w:color="auto"/>
        <w:left w:val="none" w:sz="0" w:space="0" w:color="auto"/>
        <w:bottom w:val="none" w:sz="0" w:space="0" w:color="auto"/>
        <w:right w:val="none" w:sz="0" w:space="0" w:color="auto"/>
      </w:divBdr>
    </w:div>
    <w:div w:id="1529761012">
      <w:bodyDiv w:val="1"/>
      <w:marLeft w:val="0"/>
      <w:marRight w:val="0"/>
      <w:marTop w:val="0"/>
      <w:marBottom w:val="0"/>
      <w:divBdr>
        <w:top w:val="none" w:sz="0" w:space="0" w:color="auto"/>
        <w:left w:val="none" w:sz="0" w:space="0" w:color="auto"/>
        <w:bottom w:val="none" w:sz="0" w:space="0" w:color="auto"/>
        <w:right w:val="none" w:sz="0" w:space="0" w:color="auto"/>
      </w:divBdr>
    </w:div>
    <w:div w:id="1531842055">
      <w:bodyDiv w:val="1"/>
      <w:marLeft w:val="0"/>
      <w:marRight w:val="0"/>
      <w:marTop w:val="0"/>
      <w:marBottom w:val="0"/>
      <w:divBdr>
        <w:top w:val="none" w:sz="0" w:space="0" w:color="auto"/>
        <w:left w:val="none" w:sz="0" w:space="0" w:color="auto"/>
        <w:bottom w:val="none" w:sz="0" w:space="0" w:color="auto"/>
        <w:right w:val="none" w:sz="0" w:space="0" w:color="auto"/>
      </w:divBdr>
    </w:div>
    <w:div w:id="1544244910">
      <w:bodyDiv w:val="1"/>
      <w:marLeft w:val="0"/>
      <w:marRight w:val="0"/>
      <w:marTop w:val="0"/>
      <w:marBottom w:val="0"/>
      <w:divBdr>
        <w:top w:val="none" w:sz="0" w:space="0" w:color="auto"/>
        <w:left w:val="none" w:sz="0" w:space="0" w:color="auto"/>
        <w:bottom w:val="none" w:sz="0" w:space="0" w:color="auto"/>
        <w:right w:val="none" w:sz="0" w:space="0" w:color="auto"/>
      </w:divBdr>
    </w:div>
    <w:div w:id="1552689482">
      <w:bodyDiv w:val="1"/>
      <w:marLeft w:val="0"/>
      <w:marRight w:val="0"/>
      <w:marTop w:val="0"/>
      <w:marBottom w:val="0"/>
      <w:divBdr>
        <w:top w:val="none" w:sz="0" w:space="0" w:color="auto"/>
        <w:left w:val="none" w:sz="0" w:space="0" w:color="auto"/>
        <w:bottom w:val="none" w:sz="0" w:space="0" w:color="auto"/>
        <w:right w:val="none" w:sz="0" w:space="0" w:color="auto"/>
      </w:divBdr>
    </w:div>
    <w:div w:id="1562329680">
      <w:bodyDiv w:val="1"/>
      <w:marLeft w:val="0"/>
      <w:marRight w:val="0"/>
      <w:marTop w:val="0"/>
      <w:marBottom w:val="0"/>
      <w:divBdr>
        <w:top w:val="none" w:sz="0" w:space="0" w:color="auto"/>
        <w:left w:val="none" w:sz="0" w:space="0" w:color="auto"/>
        <w:bottom w:val="none" w:sz="0" w:space="0" w:color="auto"/>
        <w:right w:val="none" w:sz="0" w:space="0" w:color="auto"/>
      </w:divBdr>
    </w:div>
    <w:div w:id="1574510593">
      <w:bodyDiv w:val="1"/>
      <w:marLeft w:val="0"/>
      <w:marRight w:val="0"/>
      <w:marTop w:val="0"/>
      <w:marBottom w:val="0"/>
      <w:divBdr>
        <w:top w:val="none" w:sz="0" w:space="0" w:color="auto"/>
        <w:left w:val="none" w:sz="0" w:space="0" w:color="auto"/>
        <w:bottom w:val="none" w:sz="0" w:space="0" w:color="auto"/>
        <w:right w:val="none" w:sz="0" w:space="0" w:color="auto"/>
      </w:divBdr>
    </w:div>
    <w:div w:id="1581796679">
      <w:bodyDiv w:val="1"/>
      <w:marLeft w:val="0"/>
      <w:marRight w:val="0"/>
      <w:marTop w:val="0"/>
      <w:marBottom w:val="0"/>
      <w:divBdr>
        <w:top w:val="none" w:sz="0" w:space="0" w:color="auto"/>
        <w:left w:val="none" w:sz="0" w:space="0" w:color="auto"/>
        <w:bottom w:val="none" w:sz="0" w:space="0" w:color="auto"/>
        <w:right w:val="none" w:sz="0" w:space="0" w:color="auto"/>
      </w:divBdr>
    </w:div>
    <w:div w:id="1583028560">
      <w:bodyDiv w:val="1"/>
      <w:marLeft w:val="0"/>
      <w:marRight w:val="0"/>
      <w:marTop w:val="0"/>
      <w:marBottom w:val="0"/>
      <w:divBdr>
        <w:top w:val="none" w:sz="0" w:space="0" w:color="auto"/>
        <w:left w:val="none" w:sz="0" w:space="0" w:color="auto"/>
        <w:bottom w:val="none" w:sz="0" w:space="0" w:color="auto"/>
        <w:right w:val="none" w:sz="0" w:space="0" w:color="auto"/>
      </w:divBdr>
    </w:div>
    <w:div w:id="1584415009">
      <w:bodyDiv w:val="1"/>
      <w:marLeft w:val="0"/>
      <w:marRight w:val="0"/>
      <w:marTop w:val="0"/>
      <w:marBottom w:val="0"/>
      <w:divBdr>
        <w:top w:val="none" w:sz="0" w:space="0" w:color="auto"/>
        <w:left w:val="none" w:sz="0" w:space="0" w:color="auto"/>
        <w:bottom w:val="none" w:sz="0" w:space="0" w:color="auto"/>
        <w:right w:val="none" w:sz="0" w:space="0" w:color="auto"/>
      </w:divBdr>
    </w:div>
    <w:div w:id="1587035769">
      <w:bodyDiv w:val="1"/>
      <w:marLeft w:val="0"/>
      <w:marRight w:val="0"/>
      <w:marTop w:val="0"/>
      <w:marBottom w:val="0"/>
      <w:divBdr>
        <w:top w:val="none" w:sz="0" w:space="0" w:color="auto"/>
        <w:left w:val="none" w:sz="0" w:space="0" w:color="auto"/>
        <w:bottom w:val="none" w:sz="0" w:space="0" w:color="auto"/>
        <w:right w:val="none" w:sz="0" w:space="0" w:color="auto"/>
      </w:divBdr>
    </w:div>
    <w:div w:id="1590581246">
      <w:bodyDiv w:val="1"/>
      <w:marLeft w:val="0"/>
      <w:marRight w:val="0"/>
      <w:marTop w:val="0"/>
      <w:marBottom w:val="0"/>
      <w:divBdr>
        <w:top w:val="none" w:sz="0" w:space="0" w:color="auto"/>
        <w:left w:val="none" w:sz="0" w:space="0" w:color="auto"/>
        <w:bottom w:val="none" w:sz="0" w:space="0" w:color="auto"/>
        <w:right w:val="none" w:sz="0" w:space="0" w:color="auto"/>
      </w:divBdr>
    </w:div>
    <w:div w:id="1597665470">
      <w:bodyDiv w:val="1"/>
      <w:marLeft w:val="0"/>
      <w:marRight w:val="0"/>
      <w:marTop w:val="0"/>
      <w:marBottom w:val="0"/>
      <w:divBdr>
        <w:top w:val="none" w:sz="0" w:space="0" w:color="auto"/>
        <w:left w:val="none" w:sz="0" w:space="0" w:color="auto"/>
        <w:bottom w:val="none" w:sz="0" w:space="0" w:color="auto"/>
        <w:right w:val="none" w:sz="0" w:space="0" w:color="auto"/>
      </w:divBdr>
    </w:div>
    <w:div w:id="1601142018">
      <w:bodyDiv w:val="1"/>
      <w:marLeft w:val="0"/>
      <w:marRight w:val="0"/>
      <w:marTop w:val="0"/>
      <w:marBottom w:val="0"/>
      <w:divBdr>
        <w:top w:val="none" w:sz="0" w:space="0" w:color="auto"/>
        <w:left w:val="none" w:sz="0" w:space="0" w:color="auto"/>
        <w:bottom w:val="none" w:sz="0" w:space="0" w:color="auto"/>
        <w:right w:val="none" w:sz="0" w:space="0" w:color="auto"/>
      </w:divBdr>
    </w:div>
    <w:div w:id="1620066478">
      <w:bodyDiv w:val="1"/>
      <w:marLeft w:val="0"/>
      <w:marRight w:val="0"/>
      <w:marTop w:val="0"/>
      <w:marBottom w:val="0"/>
      <w:divBdr>
        <w:top w:val="none" w:sz="0" w:space="0" w:color="auto"/>
        <w:left w:val="none" w:sz="0" w:space="0" w:color="auto"/>
        <w:bottom w:val="none" w:sz="0" w:space="0" w:color="auto"/>
        <w:right w:val="none" w:sz="0" w:space="0" w:color="auto"/>
      </w:divBdr>
    </w:div>
    <w:div w:id="1634556658">
      <w:bodyDiv w:val="1"/>
      <w:marLeft w:val="0"/>
      <w:marRight w:val="0"/>
      <w:marTop w:val="0"/>
      <w:marBottom w:val="0"/>
      <w:divBdr>
        <w:top w:val="none" w:sz="0" w:space="0" w:color="auto"/>
        <w:left w:val="none" w:sz="0" w:space="0" w:color="auto"/>
        <w:bottom w:val="none" w:sz="0" w:space="0" w:color="auto"/>
        <w:right w:val="none" w:sz="0" w:space="0" w:color="auto"/>
      </w:divBdr>
    </w:div>
    <w:div w:id="1661541864">
      <w:bodyDiv w:val="1"/>
      <w:marLeft w:val="0"/>
      <w:marRight w:val="0"/>
      <w:marTop w:val="0"/>
      <w:marBottom w:val="0"/>
      <w:divBdr>
        <w:top w:val="none" w:sz="0" w:space="0" w:color="auto"/>
        <w:left w:val="none" w:sz="0" w:space="0" w:color="auto"/>
        <w:bottom w:val="none" w:sz="0" w:space="0" w:color="auto"/>
        <w:right w:val="none" w:sz="0" w:space="0" w:color="auto"/>
      </w:divBdr>
    </w:div>
    <w:div w:id="1669946468">
      <w:bodyDiv w:val="1"/>
      <w:marLeft w:val="0"/>
      <w:marRight w:val="0"/>
      <w:marTop w:val="0"/>
      <w:marBottom w:val="0"/>
      <w:divBdr>
        <w:top w:val="none" w:sz="0" w:space="0" w:color="auto"/>
        <w:left w:val="none" w:sz="0" w:space="0" w:color="auto"/>
        <w:bottom w:val="none" w:sz="0" w:space="0" w:color="auto"/>
        <w:right w:val="none" w:sz="0" w:space="0" w:color="auto"/>
      </w:divBdr>
    </w:div>
    <w:div w:id="1675955590">
      <w:bodyDiv w:val="1"/>
      <w:marLeft w:val="0"/>
      <w:marRight w:val="0"/>
      <w:marTop w:val="0"/>
      <w:marBottom w:val="0"/>
      <w:divBdr>
        <w:top w:val="none" w:sz="0" w:space="0" w:color="auto"/>
        <w:left w:val="none" w:sz="0" w:space="0" w:color="auto"/>
        <w:bottom w:val="none" w:sz="0" w:space="0" w:color="auto"/>
        <w:right w:val="none" w:sz="0" w:space="0" w:color="auto"/>
      </w:divBdr>
    </w:div>
    <w:div w:id="1677884800">
      <w:bodyDiv w:val="1"/>
      <w:marLeft w:val="0"/>
      <w:marRight w:val="0"/>
      <w:marTop w:val="0"/>
      <w:marBottom w:val="0"/>
      <w:divBdr>
        <w:top w:val="none" w:sz="0" w:space="0" w:color="auto"/>
        <w:left w:val="none" w:sz="0" w:space="0" w:color="auto"/>
        <w:bottom w:val="none" w:sz="0" w:space="0" w:color="auto"/>
        <w:right w:val="none" w:sz="0" w:space="0" w:color="auto"/>
      </w:divBdr>
    </w:div>
    <w:div w:id="1679845499">
      <w:bodyDiv w:val="1"/>
      <w:marLeft w:val="0"/>
      <w:marRight w:val="0"/>
      <w:marTop w:val="0"/>
      <w:marBottom w:val="0"/>
      <w:divBdr>
        <w:top w:val="none" w:sz="0" w:space="0" w:color="auto"/>
        <w:left w:val="none" w:sz="0" w:space="0" w:color="auto"/>
        <w:bottom w:val="none" w:sz="0" w:space="0" w:color="auto"/>
        <w:right w:val="none" w:sz="0" w:space="0" w:color="auto"/>
      </w:divBdr>
      <w:divsChild>
        <w:div w:id="1385640529">
          <w:marLeft w:val="0"/>
          <w:marRight w:val="0"/>
          <w:marTop w:val="0"/>
          <w:marBottom w:val="0"/>
          <w:divBdr>
            <w:top w:val="none" w:sz="0" w:space="0" w:color="auto"/>
            <w:left w:val="none" w:sz="0" w:space="0" w:color="auto"/>
            <w:bottom w:val="none" w:sz="0" w:space="0" w:color="auto"/>
            <w:right w:val="none" w:sz="0" w:space="0" w:color="auto"/>
          </w:divBdr>
        </w:div>
        <w:div w:id="1866820144">
          <w:marLeft w:val="0"/>
          <w:marRight w:val="0"/>
          <w:marTop w:val="0"/>
          <w:marBottom w:val="0"/>
          <w:divBdr>
            <w:top w:val="none" w:sz="0" w:space="0" w:color="auto"/>
            <w:left w:val="none" w:sz="0" w:space="0" w:color="auto"/>
            <w:bottom w:val="none" w:sz="0" w:space="0" w:color="auto"/>
            <w:right w:val="none" w:sz="0" w:space="0" w:color="auto"/>
          </w:divBdr>
        </w:div>
      </w:divsChild>
    </w:div>
    <w:div w:id="1686860953">
      <w:bodyDiv w:val="1"/>
      <w:marLeft w:val="0"/>
      <w:marRight w:val="0"/>
      <w:marTop w:val="0"/>
      <w:marBottom w:val="0"/>
      <w:divBdr>
        <w:top w:val="none" w:sz="0" w:space="0" w:color="auto"/>
        <w:left w:val="none" w:sz="0" w:space="0" w:color="auto"/>
        <w:bottom w:val="none" w:sz="0" w:space="0" w:color="auto"/>
        <w:right w:val="none" w:sz="0" w:space="0" w:color="auto"/>
      </w:divBdr>
    </w:div>
    <w:div w:id="1687977425">
      <w:bodyDiv w:val="1"/>
      <w:marLeft w:val="0"/>
      <w:marRight w:val="0"/>
      <w:marTop w:val="0"/>
      <w:marBottom w:val="0"/>
      <w:divBdr>
        <w:top w:val="none" w:sz="0" w:space="0" w:color="auto"/>
        <w:left w:val="none" w:sz="0" w:space="0" w:color="auto"/>
        <w:bottom w:val="none" w:sz="0" w:space="0" w:color="auto"/>
        <w:right w:val="none" w:sz="0" w:space="0" w:color="auto"/>
      </w:divBdr>
    </w:div>
    <w:div w:id="1692992314">
      <w:bodyDiv w:val="1"/>
      <w:marLeft w:val="0"/>
      <w:marRight w:val="0"/>
      <w:marTop w:val="0"/>
      <w:marBottom w:val="0"/>
      <w:divBdr>
        <w:top w:val="none" w:sz="0" w:space="0" w:color="auto"/>
        <w:left w:val="none" w:sz="0" w:space="0" w:color="auto"/>
        <w:bottom w:val="none" w:sz="0" w:space="0" w:color="auto"/>
        <w:right w:val="none" w:sz="0" w:space="0" w:color="auto"/>
      </w:divBdr>
    </w:div>
    <w:div w:id="1700281357">
      <w:bodyDiv w:val="1"/>
      <w:marLeft w:val="0"/>
      <w:marRight w:val="0"/>
      <w:marTop w:val="0"/>
      <w:marBottom w:val="0"/>
      <w:divBdr>
        <w:top w:val="none" w:sz="0" w:space="0" w:color="auto"/>
        <w:left w:val="none" w:sz="0" w:space="0" w:color="auto"/>
        <w:bottom w:val="none" w:sz="0" w:space="0" w:color="auto"/>
        <w:right w:val="none" w:sz="0" w:space="0" w:color="auto"/>
      </w:divBdr>
    </w:div>
    <w:div w:id="1704482667">
      <w:bodyDiv w:val="1"/>
      <w:marLeft w:val="0"/>
      <w:marRight w:val="0"/>
      <w:marTop w:val="0"/>
      <w:marBottom w:val="0"/>
      <w:divBdr>
        <w:top w:val="none" w:sz="0" w:space="0" w:color="auto"/>
        <w:left w:val="none" w:sz="0" w:space="0" w:color="auto"/>
        <w:bottom w:val="none" w:sz="0" w:space="0" w:color="auto"/>
        <w:right w:val="none" w:sz="0" w:space="0" w:color="auto"/>
      </w:divBdr>
    </w:div>
    <w:div w:id="1715500788">
      <w:bodyDiv w:val="1"/>
      <w:marLeft w:val="0"/>
      <w:marRight w:val="0"/>
      <w:marTop w:val="0"/>
      <w:marBottom w:val="0"/>
      <w:divBdr>
        <w:top w:val="none" w:sz="0" w:space="0" w:color="auto"/>
        <w:left w:val="none" w:sz="0" w:space="0" w:color="auto"/>
        <w:bottom w:val="none" w:sz="0" w:space="0" w:color="auto"/>
        <w:right w:val="none" w:sz="0" w:space="0" w:color="auto"/>
      </w:divBdr>
    </w:div>
    <w:div w:id="1730303216">
      <w:bodyDiv w:val="1"/>
      <w:marLeft w:val="0"/>
      <w:marRight w:val="0"/>
      <w:marTop w:val="0"/>
      <w:marBottom w:val="0"/>
      <w:divBdr>
        <w:top w:val="none" w:sz="0" w:space="0" w:color="auto"/>
        <w:left w:val="none" w:sz="0" w:space="0" w:color="auto"/>
        <w:bottom w:val="none" w:sz="0" w:space="0" w:color="auto"/>
        <w:right w:val="none" w:sz="0" w:space="0" w:color="auto"/>
      </w:divBdr>
    </w:div>
    <w:div w:id="1732653196">
      <w:bodyDiv w:val="1"/>
      <w:marLeft w:val="0"/>
      <w:marRight w:val="0"/>
      <w:marTop w:val="0"/>
      <w:marBottom w:val="0"/>
      <w:divBdr>
        <w:top w:val="none" w:sz="0" w:space="0" w:color="auto"/>
        <w:left w:val="none" w:sz="0" w:space="0" w:color="auto"/>
        <w:bottom w:val="none" w:sz="0" w:space="0" w:color="auto"/>
        <w:right w:val="none" w:sz="0" w:space="0" w:color="auto"/>
      </w:divBdr>
    </w:div>
    <w:div w:id="1735397300">
      <w:bodyDiv w:val="1"/>
      <w:marLeft w:val="0"/>
      <w:marRight w:val="0"/>
      <w:marTop w:val="0"/>
      <w:marBottom w:val="0"/>
      <w:divBdr>
        <w:top w:val="none" w:sz="0" w:space="0" w:color="auto"/>
        <w:left w:val="none" w:sz="0" w:space="0" w:color="auto"/>
        <w:bottom w:val="none" w:sz="0" w:space="0" w:color="auto"/>
        <w:right w:val="none" w:sz="0" w:space="0" w:color="auto"/>
      </w:divBdr>
    </w:div>
    <w:div w:id="1748378654">
      <w:bodyDiv w:val="1"/>
      <w:marLeft w:val="0"/>
      <w:marRight w:val="0"/>
      <w:marTop w:val="0"/>
      <w:marBottom w:val="0"/>
      <w:divBdr>
        <w:top w:val="none" w:sz="0" w:space="0" w:color="auto"/>
        <w:left w:val="none" w:sz="0" w:space="0" w:color="auto"/>
        <w:bottom w:val="none" w:sz="0" w:space="0" w:color="auto"/>
        <w:right w:val="none" w:sz="0" w:space="0" w:color="auto"/>
      </w:divBdr>
    </w:div>
    <w:div w:id="1751001947">
      <w:bodyDiv w:val="1"/>
      <w:marLeft w:val="0"/>
      <w:marRight w:val="0"/>
      <w:marTop w:val="0"/>
      <w:marBottom w:val="0"/>
      <w:divBdr>
        <w:top w:val="none" w:sz="0" w:space="0" w:color="auto"/>
        <w:left w:val="none" w:sz="0" w:space="0" w:color="auto"/>
        <w:bottom w:val="none" w:sz="0" w:space="0" w:color="auto"/>
        <w:right w:val="none" w:sz="0" w:space="0" w:color="auto"/>
      </w:divBdr>
    </w:div>
    <w:div w:id="1758672954">
      <w:bodyDiv w:val="1"/>
      <w:marLeft w:val="0"/>
      <w:marRight w:val="0"/>
      <w:marTop w:val="0"/>
      <w:marBottom w:val="0"/>
      <w:divBdr>
        <w:top w:val="none" w:sz="0" w:space="0" w:color="auto"/>
        <w:left w:val="none" w:sz="0" w:space="0" w:color="auto"/>
        <w:bottom w:val="none" w:sz="0" w:space="0" w:color="auto"/>
        <w:right w:val="none" w:sz="0" w:space="0" w:color="auto"/>
      </w:divBdr>
    </w:div>
    <w:div w:id="1764103371">
      <w:bodyDiv w:val="1"/>
      <w:marLeft w:val="0"/>
      <w:marRight w:val="0"/>
      <w:marTop w:val="0"/>
      <w:marBottom w:val="0"/>
      <w:divBdr>
        <w:top w:val="none" w:sz="0" w:space="0" w:color="auto"/>
        <w:left w:val="none" w:sz="0" w:space="0" w:color="auto"/>
        <w:bottom w:val="none" w:sz="0" w:space="0" w:color="auto"/>
        <w:right w:val="none" w:sz="0" w:space="0" w:color="auto"/>
      </w:divBdr>
    </w:div>
    <w:div w:id="1768620326">
      <w:bodyDiv w:val="1"/>
      <w:marLeft w:val="0"/>
      <w:marRight w:val="0"/>
      <w:marTop w:val="0"/>
      <w:marBottom w:val="0"/>
      <w:divBdr>
        <w:top w:val="none" w:sz="0" w:space="0" w:color="auto"/>
        <w:left w:val="none" w:sz="0" w:space="0" w:color="auto"/>
        <w:bottom w:val="none" w:sz="0" w:space="0" w:color="auto"/>
        <w:right w:val="none" w:sz="0" w:space="0" w:color="auto"/>
      </w:divBdr>
    </w:div>
    <w:div w:id="1782458151">
      <w:bodyDiv w:val="1"/>
      <w:marLeft w:val="0"/>
      <w:marRight w:val="0"/>
      <w:marTop w:val="0"/>
      <w:marBottom w:val="0"/>
      <w:divBdr>
        <w:top w:val="none" w:sz="0" w:space="0" w:color="auto"/>
        <w:left w:val="none" w:sz="0" w:space="0" w:color="auto"/>
        <w:bottom w:val="none" w:sz="0" w:space="0" w:color="auto"/>
        <w:right w:val="none" w:sz="0" w:space="0" w:color="auto"/>
      </w:divBdr>
    </w:div>
    <w:div w:id="1800605020">
      <w:bodyDiv w:val="1"/>
      <w:marLeft w:val="0"/>
      <w:marRight w:val="0"/>
      <w:marTop w:val="0"/>
      <w:marBottom w:val="0"/>
      <w:divBdr>
        <w:top w:val="none" w:sz="0" w:space="0" w:color="auto"/>
        <w:left w:val="none" w:sz="0" w:space="0" w:color="auto"/>
        <w:bottom w:val="none" w:sz="0" w:space="0" w:color="auto"/>
        <w:right w:val="none" w:sz="0" w:space="0" w:color="auto"/>
      </w:divBdr>
    </w:div>
    <w:div w:id="1807236512">
      <w:bodyDiv w:val="1"/>
      <w:marLeft w:val="0"/>
      <w:marRight w:val="0"/>
      <w:marTop w:val="0"/>
      <w:marBottom w:val="0"/>
      <w:divBdr>
        <w:top w:val="none" w:sz="0" w:space="0" w:color="auto"/>
        <w:left w:val="none" w:sz="0" w:space="0" w:color="auto"/>
        <w:bottom w:val="none" w:sz="0" w:space="0" w:color="auto"/>
        <w:right w:val="none" w:sz="0" w:space="0" w:color="auto"/>
      </w:divBdr>
    </w:div>
    <w:div w:id="1813054899">
      <w:bodyDiv w:val="1"/>
      <w:marLeft w:val="0"/>
      <w:marRight w:val="0"/>
      <w:marTop w:val="0"/>
      <w:marBottom w:val="0"/>
      <w:divBdr>
        <w:top w:val="none" w:sz="0" w:space="0" w:color="auto"/>
        <w:left w:val="none" w:sz="0" w:space="0" w:color="auto"/>
        <w:bottom w:val="none" w:sz="0" w:space="0" w:color="auto"/>
        <w:right w:val="none" w:sz="0" w:space="0" w:color="auto"/>
      </w:divBdr>
    </w:div>
    <w:div w:id="1825900764">
      <w:bodyDiv w:val="1"/>
      <w:marLeft w:val="0"/>
      <w:marRight w:val="0"/>
      <w:marTop w:val="0"/>
      <w:marBottom w:val="0"/>
      <w:divBdr>
        <w:top w:val="none" w:sz="0" w:space="0" w:color="auto"/>
        <w:left w:val="none" w:sz="0" w:space="0" w:color="auto"/>
        <w:bottom w:val="none" w:sz="0" w:space="0" w:color="auto"/>
        <w:right w:val="none" w:sz="0" w:space="0" w:color="auto"/>
      </w:divBdr>
    </w:div>
    <w:div w:id="1832331833">
      <w:bodyDiv w:val="1"/>
      <w:marLeft w:val="0"/>
      <w:marRight w:val="0"/>
      <w:marTop w:val="0"/>
      <w:marBottom w:val="0"/>
      <w:divBdr>
        <w:top w:val="none" w:sz="0" w:space="0" w:color="auto"/>
        <w:left w:val="none" w:sz="0" w:space="0" w:color="auto"/>
        <w:bottom w:val="none" w:sz="0" w:space="0" w:color="auto"/>
        <w:right w:val="none" w:sz="0" w:space="0" w:color="auto"/>
      </w:divBdr>
    </w:div>
    <w:div w:id="1849824943">
      <w:bodyDiv w:val="1"/>
      <w:marLeft w:val="0"/>
      <w:marRight w:val="0"/>
      <w:marTop w:val="0"/>
      <w:marBottom w:val="0"/>
      <w:divBdr>
        <w:top w:val="none" w:sz="0" w:space="0" w:color="auto"/>
        <w:left w:val="none" w:sz="0" w:space="0" w:color="auto"/>
        <w:bottom w:val="none" w:sz="0" w:space="0" w:color="auto"/>
        <w:right w:val="none" w:sz="0" w:space="0" w:color="auto"/>
      </w:divBdr>
    </w:div>
    <w:div w:id="1850175740">
      <w:bodyDiv w:val="1"/>
      <w:marLeft w:val="0"/>
      <w:marRight w:val="0"/>
      <w:marTop w:val="0"/>
      <w:marBottom w:val="0"/>
      <w:divBdr>
        <w:top w:val="none" w:sz="0" w:space="0" w:color="auto"/>
        <w:left w:val="none" w:sz="0" w:space="0" w:color="auto"/>
        <w:bottom w:val="none" w:sz="0" w:space="0" w:color="auto"/>
        <w:right w:val="none" w:sz="0" w:space="0" w:color="auto"/>
      </w:divBdr>
    </w:div>
    <w:div w:id="1855070368">
      <w:bodyDiv w:val="1"/>
      <w:marLeft w:val="0"/>
      <w:marRight w:val="0"/>
      <w:marTop w:val="0"/>
      <w:marBottom w:val="0"/>
      <w:divBdr>
        <w:top w:val="none" w:sz="0" w:space="0" w:color="auto"/>
        <w:left w:val="none" w:sz="0" w:space="0" w:color="auto"/>
        <w:bottom w:val="none" w:sz="0" w:space="0" w:color="auto"/>
        <w:right w:val="none" w:sz="0" w:space="0" w:color="auto"/>
      </w:divBdr>
    </w:div>
    <w:div w:id="1870140831">
      <w:bodyDiv w:val="1"/>
      <w:marLeft w:val="0"/>
      <w:marRight w:val="0"/>
      <w:marTop w:val="0"/>
      <w:marBottom w:val="0"/>
      <w:divBdr>
        <w:top w:val="none" w:sz="0" w:space="0" w:color="auto"/>
        <w:left w:val="none" w:sz="0" w:space="0" w:color="auto"/>
        <w:bottom w:val="none" w:sz="0" w:space="0" w:color="auto"/>
        <w:right w:val="none" w:sz="0" w:space="0" w:color="auto"/>
      </w:divBdr>
    </w:div>
    <w:div w:id="1874882272">
      <w:bodyDiv w:val="1"/>
      <w:marLeft w:val="0"/>
      <w:marRight w:val="0"/>
      <w:marTop w:val="0"/>
      <w:marBottom w:val="0"/>
      <w:divBdr>
        <w:top w:val="none" w:sz="0" w:space="0" w:color="auto"/>
        <w:left w:val="none" w:sz="0" w:space="0" w:color="auto"/>
        <w:bottom w:val="none" w:sz="0" w:space="0" w:color="auto"/>
        <w:right w:val="none" w:sz="0" w:space="0" w:color="auto"/>
      </w:divBdr>
    </w:div>
    <w:div w:id="1878081073">
      <w:bodyDiv w:val="1"/>
      <w:marLeft w:val="0"/>
      <w:marRight w:val="0"/>
      <w:marTop w:val="0"/>
      <w:marBottom w:val="0"/>
      <w:divBdr>
        <w:top w:val="none" w:sz="0" w:space="0" w:color="auto"/>
        <w:left w:val="none" w:sz="0" w:space="0" w:color="auto"/>
        <w:bottom w:val="none" w:sz="0" w:space="0" w:color="auto"/>
        <w:right w:val="none" w:sz="0" w:space="0" w:color="auto"/>
      </w:divBdr>
    </w:div>
    <w:div w:id="1907376936">
      <w:bodyDiv w:val="1"/>
      <w:marLeft w:val="0"/>
      <w:marRight w:val="0"/>
      <w:marTop w:val="0"/>
      <w:marBottom w:val="0"/>
      <w:divBdr>
        <w:top w:val="none" w:sz="0" w:space="0" w:color="auto"/>
        <w:left w:val="none" w:sz="0" w:space="0" w:color="auto"/>
        <w:bottom w:val="none" w:sz="0" w:space="0" w:color="auto"/>
        <w:right w:val="none" w:sz="0" w:space="0" w:color="auto"/>
      </w:divBdr>
    </w:div>
    <w:div w:id="1908950568">
      <w:bodyDiv w:val="1"/>
      <w:marLeft w:val="0"/>
      <w:marRight w:val="0"/>
      <w:marTop w:val="0"/>
      <w:marBottom w:val="0"/>
      <w:divBdr>
        <w:top w:val="none" w:sz="0" w:space="0" w:color="auto"/>
        <w:left w:val="none" w:sz="0" w:space="0" w:color="auto"/>
        <w:bottom w:val="none" w:sz="0" w:space="0" w:color="auto"/>
        <w:right w:val="none" w:sz="0" w:space="0" w:color="auto"/>
      </w:divBdr>
    </w:div>
    <w:div w:id="1916865313">
      <w:bodyDiv w:val="1"/>
      <w:marLeft w:val="0"/>
      <w:marRight w:val="0"/>
      <w:marTop w:val="0"/>
      <w:marBottom w:val="0"/>
      <w:divBdr>
        <w:top w:val="none" w:sz="0" w:space="0" w:color="auto"/>
        <w:left w:val="none" w:sz="0" w:space="0" w:color="auto"/>
        <w:bottom w:val="none" w:sz="0" w:space="0" w:color="auto"/>
        <w:right w:val="none" w:sz="0" w:space="0" w:color="auto"/>
      </w:divBdr>
    </w:div>
    <w:div w:id="1921864925">
      <w:bodyDiv w:val="1"/>
      <w:marLeft w:val="0"/>
      <w:marRight w:val="0"/>
      <w:marTop w:val="0"/>
      <w:marBottom w:val="0"/>
      <w:divBdr>
        <w:top w:val="none" w:sz="0" w:space="0" w:color="auto"/>
        <w:left w:val="none" w:sz="0" w:space="0" w:color="auto"/>
        <w:bottom w:val="none" w:sz="0" w:space="0" w:color="auto"/>
        <w:right w:val="none" w:sz="0" w:space="0" w:color="auto"/>
      </w:divBdr>
    </w:div>
    <w:div w:id="1925141314">
      <w:bodyDiv w:val="1"/>
      <w:marLeft w:val="0"/>
      <w:marRight w:val="0"/>
      <w:marTop w:val="0"/>
      <w:marBottom w:val="0"/>
      <w:divBdr>
        <w:top w:val="none" w:sz="0" w:space="0" w:color="auto"/>
        <w:left w:val="none" w:sz="0" w:space="0" w:color="auto"/>
        <w:bottom w:val="none" w:sz="0" w:space="0" w:color="auto"/>
        <w:right w:val="none" w:sz="0" w:space="0" w:color="auto"/>
      </w:divBdr>
    </w:div>
    <w:div w:id="1926306047">
      <w:bodyDiv w:val="1"/>
      <w:marLeft w:val="0"/>
      <w:marRight w:val="0"/>
      <w:marTop w:val="0"/>
      <w:marBottom w:val="0"/>
      <w:divBdr>
        <w:top w:val="none" w:sz="0" w:space="0" w:color="auto"/>
        <w:left w:val="none" w:sz="0" w:space="0" w:color="auto"/>
        <w:bottom w:val="none" w:sz="0" w:space="0" w:color="auto"/>
        <w:right w:val="none" w:sz="0" w:space="0" w:color="auto"/>
      </w:divBdr>
    </w:div>
    <w:div w:id="1929927680">
      <w:bodyDiv w:val="1"/>
      <w:marLeft w:val="0"/>
      <w:marRight w:val="0"/>
      <w:marTop w:val="0"/>
      <w:marBottom w:val="0"/>
      <w:divBdr>
        <w:top w:val="none" w:sz="0" w:space="0" w:color="auto"/>
        <w:left w:val="none" w:sz="0" w:space="0" w:color="auto"/>
        <w:bottom w:val="none" w:sz="0" w:space="0" w:color="auto"/>
        <w:right w:val="none" w:sz="0" w:space="0" w:color="auto"/>
      </w:divBdr>
    </w:div>
    <w:div w:id="1935434959">
      <w:bodyDiv w:val="1"/>
      <w:marLeft w:val="0"/>
      <w:marRight w:val="0"/>
      <w:marTop w:val="0"/>
      <w:marBottom w:val="0"/>
      <w:divBdr>
        <w:top w:val="none" w:sz="0" w:space="0" w:color="auto"/>
        <w:left w:val="none" w:sz="0" w:space="0" w:color="auto"/>
        <w:bottom w:val="none" w:sz="0" w:space="0" w:color="auto"/>
        <w:right w:val="none" w:sz="0" w:space="0" w:color="auto"/>
      </w:divBdr>
    </w:div>
    <w:div w:id="1963414198">
      <w:bodyDiv w:val="1"/>
      <w:marLeft w:val="0"/>
      <w:marRight w:val="0"/>
      <w:marTop w:val="0"/>
      <w:marBottom w:val="0"/>
      <w:divBdr>
        <w:top w:val="none" w:sz="0" w:space="0" w:color="auto"/>
        <w:left w:val="none" w:sz="0" w:space="0" w:color="auto"/>
        <w:bottom w:val="none" w:sz="0" w:space="0" w:color="auto"/>
        <w:right w:val="none" w:sz="0" w:space="0" w:color="auto"/>
      </w:divBdr>
    </w:div>
    <w:div w:id="1966505110">
      <w:bodyDiv w:val="1"/>
      <w:marLeft w:val="0"/>
      <w:marRight w:val="0"/>
      <w:marTop w:val="0"/>
      <w:marBottom w:val="0"/>
      <w:divBdr>
        <w:top w:val="none" w:sz="0" w:space="0" w:color="auto"/>
        <w:left w:val="none" w:sz="0" w:space="0" w:color="auto"/>
        <w:bottom w:val="none" w:sz="0" w:space="0" w:color="auto"/>
        <w:right w:val="none" w:sz="0" w:space="0" w:color="auto"/>
      </w:divBdr>
      <w:divsChild>
        <w:div w:id="174536601">
          <w:marLeft w:val="0"/>
          <w:marRight w:val="0"/>
          <w:marTop w:val="0"/>
          <w:marBottom w:val="0"/>
          <w:divBdr>
            <w:top w:val="none" w:sz="0" w:space="0" w:color="auto"/>
            <w:left w:val="none" w:sz="0" w:space="0" w:color="auto"/>
            <w:bottom w:val="none" w:sz="0" w:space="0" w:color="auto"/>
            <w:right w:val="none" w:sz="0" w:space="0" w:color="auto"/>
          </w:divBdr>
          <w:divsChild>
            <w:div w:id="1414661485">
              <w:marLeft w:val="0"/>
              <w:marRight w:val="0"/>
              <w:marTop w:val="0"/>
              <w:marBottom w:val="0"/>
              <w:divBdr>
                <w:top w:val="none" w:sz="0" w:space="0" w:color="auto"/>
                <w:left w:val="none" w:sz="0" w:space="0" w:color="auto"/>
                <w:bottom w:val="none" w:sz="0" w:space="0" w:color="auto"/>
                <w:right w:val="none" w:sz="0" w:space="0" w:color="auto"/>
              </w:divBdr>
            </w:div>
            <w:div w:id="1311448193">
              <w:marLeft w:val="0"/>
              <w:marRight w:val="0"/>
              <w:marTop w:val="0"/>
              <w:marBottom w:val="0"/>
              <w:divBdr>
                <w:top w:val="none" w:sz="0" w:space="0" w:color="auto"/>
                <w:left w:val="none" w:sz="0" w:space="0" w:color="auto"/>
                <w:bottom w:val="none" w:sz="0" w:space="0" w:color="auto"/>
                <w:right w:val="none" w:sz="0" w:space="0" w:color="auto"/>
              </w:divBdr>
              <w:divsChild>
                <w:div w:id="599408645">
                  <w:marLeft w:val="0"/>
                  <w:marRight w:val="0"/>
                  <w:marTop w:val="0"/>
                  <w:marBottom w:val="0"/>
                  <w:divBdr>
                    <w:top w:val="none" w:sz="0" w:space="0" w:color="auto"/>
                    <w:left w:val="none" w:sz="0" w:space="0" w:color="auto"/>
                    <w:bottom w:val="none" w:sz="0" w:space="0" w:color="auto"/>
                    <w:right w:val="none" w:sz="0" w:space="0" w:color="auto"/>
                  </w:divBdr>
                </w:div>
                <w:div w:id="427698941">
                  <w:marLeft w:val="0"/>
                  <w:marRight w:val="0"/>
                  <w:marTop w:val="0"/>
                  <w:marBottom w:val="0"/>
                  <w:divBdr>
                    <w:top w:val="none" w:sz="0" w:space="0" w:color="auto"/>
                    <w:left w:val="none" w:sz="0" w:space="0" w:color="auto"/>
                    <w:bottom w:val="none" w:sz="0" w:space="0" w:color="auto"/>
                    <w:right w:val="none" w:sz="0" w:space="0" w:color="auto"/>
                  </w:divBdr>
                </w:div>
                <w:div w:id="9691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77383">
      <w:bodyDiv w:val="1"/>
      <w:marLeft w:val="0"/>
      <w:marRight w:val="0"/>
      <w:marTop w:val="0"/>
      <w:marBottom w:val="0"/>
      <w:divBdr>
        <w:top w:val="none" w:sz="0" w:space="0" w:color="auto"/>
        <w:left w:val="none" w:sz="0" w:space="0" w:color="auto"/>
        <w:bottom w:val="none" w:sz="0" w:space="0" w:color="auto"/>
        <w:right w:val="none" w:sz="0" w:space="0" w:color="auto"/>
      </w:divBdr>
    </w:div>
    <w:div w:id="2023778905">
      <w:bodyDiv w:val="1"/>
      <w:marLeft w:val="0"/>
      <w:marRight w:val="0"/>
      <w:marTop w:val="0"/>
      <w:marBottom w:val="0"/>
      <w:divBdr>
        <w:top w:val="none" w:sz="0" w:space="0" w:color="auto"/>
        <w:left w:val="none" w:sz="0" w:space="0" w:color="auto"/>
        <w:bottom w:val="none" w:sz="0" w:space="0" w:color="auto"/>
        <w:right w:val="none" w:sz="0" w:space="0" w:color="auto"/>
      </w:divBdr>
    </w:div>
    <w:div w:id="2056199459">
      <w:bodyDiv w:val="1"/>
      <w:marLeft w:val="0"/>
      <w:marRight w:val="0"/>
      <w:marTop w:val="0"/>
      <w:marBottom w:val="0"/>
      <w:divBdr>
        <w:top w:val="none" w:sz="0" w:space="0" w:color="auto"/>
        <w:left w:val="none" w:sz="0" w:space="0" w:color="auto"/>
        <w:bottom w:val="none" w:sz="0" w:space="0" w:color="auto"/>
        <w:right w:val="none" w:sz="0" w:space="0" w:color="auto"/>
      </w:divBdr>
    </w:div>
    <w:div w:id="2069306857">
      <w:bodyDiv w:val="1"/>
      <w:marLeft w:val="0"/>
      <w:marRight w:val="0"/>
      <w:marTop w:val="0"/>
      <w:marBottom w:val="0"/>
      <w:divBdr>
        <w:top w:val="none" w:sz="0" w:space="0" w:color="auto"/>
        <w:left w:val="none" w:sz="0" w:space="0" w:color="auto"/>
        <w:bottom w:val="none" w:sz="0" w:space="0" w:color="auto"/>
        <w:right w:val="none" w:sz="0" w:space="0" w:color="auto"/>
      </w:divBdr>
    </w:div>
    <w:div w:id="2074355440">
      <w:bodyDiv w:val="1"/>
      <w:marLeft w:val="0"/>
      <w:marRight w:val="0"/>
      <w:marTop w:val="0"/>
      <w:marBottom w:val="0"/>
      <w:divBdr>
        <w:top w:val="none" w:sz="0" w:space="0" w:color="auto"/>
        <w:left w:val="none" w:sz="0" w:space="0" w:color="auto"/>
        <w:bottom w:val="none" w:sz="0" w:space="0" w:color="auto"/>
        <w:right w:val="none" w:sz="0" w:space="0" w:color="auto"/>
      </w:divBdr>
    </w:div>
    <w:div w:id="2074959250">
      <w:bodyDiv w:val="1"/>
      <w:marLeft w:val="0"/>
      <w:marRight w:val="0"/>
      <w:marTop w:val="0"/>
      <w:marBottom w:val="0"/>
      <w:divBdr>
        <w:top w:val="none" w:sz="0" w:space="0" w:color="auto"/>
        <w:left w:val="none" w:sz="0" w:space="0" w:color="auto"/>
        <w:bottom w:val="none" w:sz="0" w:space="0" w:color="auto"/>
        <w:right w:val="none" w:sz="0" w:space="0" w:color="auto"/>
      </w:divBdr>
    </w:div>
    <w:div w:id="2083018577">
      <w:bodyDiv w:val="1"/>
      <w:marLeft w:val="0"/>
      <w:marRight w:val="0"/>
      <w:marTop w:val="0"/>
      <w:marBottom w:val="0"/>
      <w:divBdr>
        <w:top w:val="none" w:sz="0" w:space="0" w:color="auto"/>
        <w:left w:val="none" w:sz="0" w:space="0" w:color="auto"/>
        <w:bottom w:val="none" w:sz="0" w:space="0" w:color="auto"/>
        <w:right w:val="none" w:sz="0" w:space="0" w:color="auto"/>
      </w:divBdr>
    </w:div>
    <w:div w:id="2098405015">
      <w:bodyDiv w:val="1"/>
      <w:marLeft w:val="0"/>
      <w:marRight w:val="0"/>
      <w:marTop w:val="0"/>
      <w:marBottom w:val="0"/>
      <w:divBdr>
        <w:top w:val="none" w:sz="0" w:space="0" w:color="auto"/>
        <w:left w:val="none" w:sz="0" w:space="0" w:color="auto"/>
        <w:bottom w:val="none" w:sz="0" w:space="0" w:color="auto"/>
        <w:right w:val="none" w:sz="0" w:space="0" w:color="auto"/>
      </w:divBdr>
    </w:div>
    <w:div w:id="2099984448">
      <w:bodyDiv w:val="1"/>
      <w:marLeft w:val="0"/>
      <w:marRight w:val="0"/>
      <w:marTop w:val="0"/>
      <w:marBottom w:val="0"/>
      <w:divBdr>
        <w:top w:val="none" w:sz="0" w:space="0" w:color="auto"/>
        <w:left w:val="none" w:sz="0" w:space="0" w:color="auto"/>
        <w:bottom w:val="none" w:sz="0" w:space="0" w:color="auto"/>
        <w:right w:val="none" w:sz="0" w:space="0" w:color="auto"/>
      </w:divBdr>
    </w:div>
    <w:div w:id="2103909326">
      <w:bodyDiv w:val="1"/>
      <w:marLeft w:val="0"/>
      <w:marRight w:val="0"/>
      <w:marTop w:val="0"/>
      <w:marBottom w:val="0"/>
      <w:divBdr>
        <w:top w:val="none" w:sz="0" w:space="0" w:color="auto"/>
        <w:left w:val="none" w:sz="0" w:space="0" w:color="auto"/>
        <w:bottom w:val="none" w:sz="0" w:space="0" w:color="auto"/>
        <w:right w:val="none" w:sz="0" w:space="0" w:color="auto"/>
      </w:divBdr>
    </w:div>
    <w:div w:id="2111467940">
      <w:bodyDiv w:val="1"/>
      <w:marLeft w:val="0"/>
      <w:marRight w:val="0"/>
      <w:marTop w:val="0"/>
      <w:marBottom w:val="0"/>
      <w:divBdr>
        <w:top w:val="none" w:sz="0" w:space="0" w:color="auto"/>
        <w:left w:val="none" w:sz="0" w:space="0" w:color="auto"/>
        <w:bottom w:val="none" w:sz="0" w:space="0" w:color="auto"/>
        <w:right w:val="none" w:sz="0" w:space="0" w:color="auto"/>
      </w:divBdr>
    </w:div>
    <w:div w:id="2130005052">
      <w:bodyDiv w:val="1"/>
      <w:marLeft w:val="0"/>
      <w:marRight w:val="0"/>
      <w:marTop w:val="0"/>
      <w:marBottom w:val="0"/>
      <w:divBdr>
        <w:top w:val="none" w:sz="0" w:space="0" w:color="auto"/>
        <w:left w:val="none" w:sz="0" w:space="0" w:color="auto"/>
        <w:bottom w:val="none" w:sz="0" w:space="0" w:color="auto"/>
        <w:right w:val="none" w:sz="0" w:space="0" w:color="auto"/>
      </w:divBdr>
    </w:div>
    <w:div w:id="214180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yperlink" Target="consultantplus://offline/ref=37D28717AE6E68485D3D7CAFCC257E3FD82B593052E05EF5DB98064595B552764BDCA054871C6B97A02D1F6FDEB31C5F6AC87948177CAArB75X"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consultantplus://offline/ref=BCB4766B1BA79DA4BAD1D42ACDED16A1E2705A9C3BA63D88EF5D91FD11F57A01BFDCF6063390103742438A9CA84808378C334CDE2BE39366v0r8C"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hyperlink" Target="consultantplus://offline/ref=202A1CB49333DC5317EA545505B7D375D3C567CE975CBAC35085F37E30CB84E88061C593FE9266F91C6B9522D39E453BC06C21E19F5F2845D4E38EM7O1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consultantplus://offline/ref=FB9DFF63E6D2F4BFAF75E045DC13FDB71C86D4951E4A5A0D2974F7EE03A962BA95E7AF9DC1F06D4738AC9283C4741275E7DE6DA73316D11EnDp4B"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3.xml"/><Relationship Id="rId28" Type="http://schemas.openxmlformats.org/officeDocument/2006/relationships/hyperlink" Target="consultantplus://offline/ref=37D28717AE6E68485D3D7CAFCC257E3FD82B593052E05EF5DB98064595B552764BDCA054871C6B97A02D1F6FDEB31C5F6AC87948177CAArB75X" TargetMode="Externa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hyperlink" Target="consultantplus://offline/ref=85379B0290E36F20D089AA25D6006AE9F39B002B82238514AE2FBAA1F6F89498C6294E6820B010B8161002A20F8FDBF2170D7C41A5E63F73kEQ1A"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2.xml"/><Relationship Id="rId27" Type="http://schemas.openxmlformats.org/officeDocument/2006/relationships/hyperlink" Target="consultantplus://offline/ref=FB9DFF63E6D2F4BFAF75E045DC13FDB71C86D4951E4A5A0D2974F7EE03A962BA95E7AF9DC1F06D4738AC9283C4741275E7DE6DA73316D11EnDp4B" TargetMode="External"/><Relationship Id="rId30" Type="http://schemas.openxmlformats.org/officeDocument/2006/relationships/hyperlink" Target="consultantplus://offline/ref=85379B0290E36F20D089AA25D6006AE9F39B002B82238514AE2FBAA1F6F89498C6294E6820B01DBC101002A20F8FDBF2170D7C41A5E63F73kEQ1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A2ADCEC5ADC98AD86A1C5FC0F4566E3BBEB7EE106CB2F7C036730AC992841EADDD8452FEE6512B908A009B3BFA825E38m9k2V" TargetMode="External"/><Relationship Id="rId1" Type="http://schemas.openxmlformats.org/officeDocument/2006/relationships/hyperlink" Target="consultantplus://offline/ref=BCB4766B1BA79DA4BAD1D42ACDED16A1E2705A9C3BA63D88EF5D91FD11F57A01BFDCF6063390103742438A9CA84808378C334CDE2BE39366v0r8C"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1043;&#1086;&#1083;&#1086;&#1074;&#1072;&#1095;&#1105;&#1074;&#1072;\Desktop\&#1055;&#1088;&#1080;&#1083;&#1086;&#1078;&#1077;&#1085;&#1080;&#1077;%20&#1043;&#1055;%202021%20&#1056;&#1040;&#1041;&#1054;&#1063;&#1048;&#1049;.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1043;&#1086;&#1083;&#1086;&#1074;&#1072;&#1095;&#1105;&#1074;&#1072;\Desktop\&#1056;&#1077;&#1075;&#1087;&#1088;&#1086;&#1077;&#1082;&#1090;&#1099;_2021\&#1052;&#1054;&#1053;&#1048;&#1058;&#1054;&#1056;&#1048;&#1053;&#1043;_&#1056;&#1055;_2021%20&#1085;&#1072;%2001.01.2022%20&#1056;&#1040;&#1041;&#1054;&#1063;&#1048;&#1049;.xlsx" TargetMode="External"/><Relationship Id="rId2" Type="http://schemas.microsoft.com/office/2011/relationships/chartColorStyle" Target="colors8.xml"/><Relationship Id="rId1" Type="http://schemas.microsoft.com/office/2011/relationships/chartStyle" Target="style8.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1043;&#1086;&#1083;&#1086;&#1074;&#1072;&#1095;&#1105;&#1074;&#1072;\Desktop\&#1056;&#1077;&#1075;&#1087;&#1088;&#1086;&#1077;&#1082;&#1090;&#1099;_2021\&#1052;&#1054;&#1053;&#1048;&#1058;&#1054;&#1056;&#1048;&#1053;&#1043;_&#1056;&#1055;_2021%20&#1085;&#1072;%2001.01.2022%20&#1056;&#1040;&#1041;&#1054;&#1063;&#1048;&#1049;.xlsx" TargetMode="External"/><Relationship Id="rId2" Type="http://schemas.microsoft.com/office/2011/relationships/chartColorStyle" Target="colors9.xml"/><Relationship Id="rId1" Type="http://schemas.microsoft.com/office/2011/relationships/chartStyle" Target="style9.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1043;&#1086;&#1083;&#1086;&#1074;&#1072;&#1095;&#1105;&#1074;&#1072;\Desktop\&#1056;&#1077;&#1075;&#1087;&#1088;&#1086;&#1077;&#1082;&#1090;&#1099;_2021\&#1052;&#1054;&#1053;&#1048;&#1058;&#1054;&#1056;&#1048;&#1053;&#1043;_&#1056;&#1055;_2021%20&#1085;&#1072;%2001.01.2022%20&#1056;&#1040;&#1041;&#1054;&#1063;&#1048;&#1049;.xlsx" TargetMode="External"/><Relationship Id="rId2" Type="http://schemas.microsoft.com/office/2011/relationships/chartColorStyle" Target="colors10.xml"/><Relationship Id="rId1" Type="http://schemas.microsoft.com/office/2011/relationships/chartStyle" Target="style10.xml"/></Relationships>
</file>

<file path=word/charts/_rels/chart13.xml.rels><?xml version="1.0" encoding="UTF-8" standalone="yes"?>
<Relationships xmlns="http://schemas.openxmlformats.org/package/2006/relationships"><Relationship Id="rId3" Type="http://schemas.openxmlformats.org/officeDocument/2006/relationships/oleObject" Target="file:///\\palata.tsl\schet\&#1044;&#1054;&#1050;&#1059;&#1052;&#1045;&#1053;&#1058;&#1067;\&#1054;&#1041;&#1052;&#1045;&#1053;%20%20&#1048;&#1053;&#1060;&#1054;&#1056;&#1052;&#1040;&#1062;&#1048;&#1045;&#1049;\&#1055;&#1086;&#1095;&#1090;&#1072;\&#1048;&#1074;&#1072;&#1085;&#1086;&#1074;&#1072;\&#1043;&#1054;&#1057;&#1055;&#1056;&#1054;&#1043;&#1056;&#1040;&#1052;&#1052;&#1067;\&#1055;&#1088;&#1080;&#1083;&#1086;&#1078;&#1077;&#1085;&#1080;&#1077;%20&#1043;&#1055;%201_&#1082;&#1074;_2022%20&#1056;&#1040;&#1041;&#1054;&#1063;&#1048;&#1049;.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1" Type="http://schemas.openxmlformats.org/officeDocument/2006/relationships/oleObject" Target="file:///\\palata.tsl\schet\&#1044;&#1054;&#1050;&#1059;&#1052;&#1045;&#1053;&#1058;&#1067;\&#1054;&#1041;&#1052;&#1045;&#1053;%20%20&#1048;&#1053;&#1060;&#1054;&#1056;&#1052;&#1040;&#1062;&#1048;&#1045;&#1049;\&#1055;&#1086;&#1095;&#1090;&#1072;\&#1048;&#1074;&#1072;&#1085;&#1086;&#1074;&#1072;\&#1056;&#1045;&#1043;&#1055;&#1056;&#1054;&#1045;&#1050;&#1058;&#1067;\&#1056;&#1077;&#1075;&#1087;&#1088;&#1086;&#1077;&#1082;&#1090;&#1099;%20&#1079;&#1072;%202021\&#1053;&#1055;_&#1086;&#1082;&#1086;&#1085;\&#1055;&#1088;&#1080;&#1083;&#1086;&#1078;&#1077;&#1085;&#1080;&#1077;%20&#1082;%20&#1047;&#1072;&#1082;&#1083;&#1102;&#1095;&#1077;&#1085;&#1080;&#11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palata.tsl\schet\&#1044;&#1054;&#1050;&#1059;&#1052;&#1045;&#1053;&#1058;&#1067;\&#1054;&#1041;&#1052;&#1045;&#1053;%20%20&#1048;&#1053;&#1060;&#1054;&#1056;&#1052;&#1040;&#1062;&#1048;&#1045;&#1049;\&#1055;&#1086;&#1095;&#1090;&#1072;\&#1048;&#1074;&#1072;&#1085;&#1086;&#1074;&#1072;\&#1056;&#1045;&#1043;&#1055;&#1056;&#1054;&#1045;&#1050;&#1058;&#1067;\&#1056;&#1077;&#1075;&#1087;&#1088;&#1086;&#1077;&#1082;&#1090;&#1099;%20&#1079;&#1072;%202021\&#1053;&#1055;_&#1086;&#1082;&#1086;&#1085;\&#1055;&#1088;&#1080;&#1083;&#1086;&#1078;&#1077;&#1085;&#1080;&#1077;%20&#1082;%20&#1047;&#1072;&#1082;&#1083;&#1102;&#1095;&#1077;&#1085;&#1080;&#1102;.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1043;&#1086;&#1083;&#1086;&#1074;&#1072;&#1095;&#1105;&#1074;&#1072;\Desktop\&#1056;&#1077;&#1075;&#1087;&#1088;&#1086;&#1077;&#1082;&#1090;&#1099;_2021\&#1052;&#1054;&#1053;&#1048;&#1058;&#1054;&#1056;&#1048;&#1053;&#1043;_&#1056;&#1055;_2021%20&#1085;&#1072;%2001.01.2022%20&#1056;&#1040;&#1041;&#1054;&#1063;&#1048;&#1049;.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1043;&#1086;&#1083;&#1086;&#1074;&#1072;&#1095;&#1105;&#1074;&#1072;\Desktop\&#1056;&#1077;&#1075;&#1087;&#1088;&#1086;&#1077;&#1082;&#1090;&#1099;_2021\&#1052;&#1054;&#1053;&#1048;&#1058;&#1054;&#1056;&#1048;&#1053;&#1043;_&#1056;&#1055;_2021%20&#1085;&#1072;%2001.01.2022%20&#1056;&#1040;&#1041;&#1054;&#1063;&#1048;&#1049;.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1043;&#1086;&#1083;&#1086;&#1074;&#1072;&#1095;&#1105;&#1074;&#1072;\Desktop\&#1056;&#1077;&#1075;&#1087;&#1088;&#1086;&#1077;&#1082;&#1090;&#1099;_2021\&#1052;&#1054;&#1053;&#1048;&#1058;&#1054;&#1056;&#1048;&#1053;&#1043;_&#1056;&#1055;_2021%20&#1085;&#1072;%2001.01.2022%20&#1056;&#1040;&#1041;&#1054;&#1063;&#1048;&#1049;.xlsx" TargetMode="External"/><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1043;&#1086;&#1083;&#1086;&#1074;&#1072;&#1095;&#1105;&#1074;&#1072;\Desktop\&#1056;&#1077;&#1075;&#1087;&#1088;&#1086;&#1077;&#1082;&#1090;&#1099;_2021\&#1052;&#1054;&#1053;&#1048;&#1058;&#1054;&#1056;&#1048;&#1053;&#1043;_&#1056;&#1055;_2021%20-1.xlsx" TargetMode="External"/><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1043;&#1086;&#1083;&#1086;&#1074;&#1072;&#1095;&#1105;&#1074;&#1072;\Desktop\&#1056;&#1077;&#1075;&#1087;&#1088;&#1086;&#1077;&#1082;&#1090;&#1099;_2021\&#1052;&#1054;&#1053;&#1048;&#1058;&#1054;&#1056;&#1048;&#1053;&#1043;_&#1056;&#1055;_2021%20&#1085;&#1072;%2001.01.2022%20&#1056;&#1040;&#1041;&#1054;&#1063;&#1048;&#1049;.xlsx" TargetMode="External"/><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1043;&#1086;&#1083;&#1086;&#1074;&#1072;&#1095;&#1105;&#1074;&#1072;\Desktop\&#1056;&#1077;&#1075;&#1087;&#1088;&#1086;&#1077;&#1082;&#1090;&#1099;_2021\&#1052;&#1054;&#1053;&#1048;&#1058;&#1054;&#1056;&#1048;&#1053;&#1043;_&#1056;&#1055;_2021%20&#1085;&#1072;%2001.01.2022%20&#1056;&#1040;&#1041;&#1054;&#1063;&#1048;&#1049;.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0"/>
              <c:layout/>
              <c:tx>
                <c:rich>
                  <a:bodyPr/>
                  <a:lstStyle/>
                  <a:p>
                    <a:r>
                      <a:rPr lang="en-US"/>
                      <a:t>56 821 493,5</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F57-4D00-A1AC-C3316F98512B}"/>
                </c:ext>
                <c:ext xmlns:c15="http://schemas.microsoft.com/office/drawing/2012/chart" uri="{CE6537A1-D6FC-4f65-9D91-7224C49458BB}">
                  <c15:layout/>
                </c:ext>
              </c:extLst>
            </c:dLbl>
            <c:dLbl>
              <c:idx val="1"/>
              <c:layout/>
              <c:tx>
                <c:rich>
                  <a:bodyPr/>
                  <a:lstStyle/>
                  <a:p>
                    <a:r>
                      <a:rPr lang="en-US"/>
                      <a:t>54 062 281,5</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F57-4D00-A1AC-C3316F98512B}"/>
                </c:ext>
                <c:ext xmlns:c15="http://schemas.microsoft.com/office/drawing/2012/chart" uri="{CE6537A1-D6FC-4f65-9D91-7224C49458BB}">
                  <c15:layout/>
                </c:ext>
              </c:extLst>
            </c:dLbl>
            <c:dLbl>
              <c:idx val="2"/>
              <c:layout/>
              <c:tx>
                <c:rich>
                  <a:bodyPr/>
                  <a:lstStyle/>
                  <a:p>
                    <a:r>
                      <a:rPr lang="en-US"/>
                      <a:t>54 182 345,6</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F57-4D00-A1AC-C3316F98512B}"/>
                </c:ext>
                <c:ext xmlns:c15="http://schemas.microsoft.com/office/drawing/2012/chart" uri="{CE6537A1-D6FC-4f65-9D91-7224C49458BB}">
                  <c15:layout/>
                </c:ext>
              </c:extLst>
            </c:dLbl>
            <c:dLbl>
              <c:idx val="3"/>
              <c:layout/>
              <c:tx>
                <c:rich>
                  <a:bodyPr/>
                  <a:lstStyle/>
                  <a:p>
                    <a:r>
                      <a:rPr lang="en-US"/>
                      <a:t>52 677 350,5</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F57-4D00-A1AC-C3316F98512B}"/>
                </c:ext>
                <c:ext xmlns:c15="http://schemas.microsoft.com/office/drawing/2012/chart" uri="{CE6537A1-D6FC-4f65-9D91-7224C49458BB}">
                  <c15:layout/>
                </c:ext>
              </c:extLst>
            </c:dLbl>
            <c:dLbl>
              <c:idx val="4"/>
              <c:layout/>
              <c:tx>
                <c:rich>
                  <a:bodyPr/>
                  <a:lstStyle/>
                  <a:p>
                    <a:r>
                      <a:rPr lang="en-US"/>
                      <a:t>50 845 131,9</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F57-4D00-A1AC-C3316F98512B}"/>
                </c:ext>
                <c:ext xmlns:c15="http://schemas.microsoft.com/office/drawing/2012/chart" uri="{CE6537A1-D6FC-4f65-9D91-7224C49458BB}">
                  <c15:layout/>
                </c:ext>
              </c:extLst>
            </c:dLbl>
            <c:dLbl>
              <c:idx val="5"/>
              <c:layout/>
              <c:tx>
                <c:rich>
                  <a:bodyPr/>
                  <a:lstStyle/>
                  <a:p>
                    <a:r>
                      <a:rPr lang="en-US"/>
                      <a:t>49 994 171,6</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F57-4D00-A1AC-C3316F98512B}"/>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Лист1!$B$6:$G$7</c:f>
              <c:multiLvlStrCache>
                <c:ptCount val="6"/>
                <c:lvl>
                  <c:pt idx="0">
                    <c:v>Паспортом</c:v>
                  </c:pt>
                  <c:pt idx="1">
                    <c:v>Законом о бюджете</c:v>
                  </c:pt>
                  <c:pt idx="2">
                    <c:v>СБР</c:v>
                  </c:pt>
                  <c:pt idx="4">
                    <c:v>отчет</c:v>
                  </c:pt>
                  <c:pt idx="5">
                    <c:v>данные СП</c:v>
                  </c:pt>
                </c:lvl>
                <c:lvl>
                  <c:pt idx="0">
                    <c:v>Утверждено</c:v>
                  </c:pt>
                  <c:pt idx="3">
                    <c:v>Профинансировано</c:v>
                  </c:pt>
                  <c:pt idx="4">
                    <c:v>Фактическое выполнение</c:v>
                  </c:pt>
                </c:lvl>
              </c:multiLvlStrCache>
            </c:multiLvlStrRef>
          </c:cat>
          <c:val>
            <c:numRef>
              <c:f>Лист1!$B$8:$G$8</c:f>
              <c:numCache>
                <c:formatCode>_-* #\ ##0.0\ _₽_-;\-* #\ ##0.0\ _₽_-;_-* "-"??\ _₽_-;_-@_-</c:formatCode>
                <c:ptCount val="6"/>
                <c:pt idx="0">
                  <c:v>55178171.899999999</c:v>
                </c:pt>
                <c:pt idx="1">
                  <c:v>54062281.5</c:v>
                </c:pt>
                <c:pt idx="2">
                  <c:v>54182345.5</c:v>
                </c:pt>
                <c:pt idx="3">
                  <c:v>52677350.5</c:v>
                </c:pt>
                <c:pt idx="4">
                  <c:v>50845131.899999999</c:v>
                </c:pt>
                <c:pt idx="5">
                  <c:v>50084439.100000001</c:v>
                </c:pt>
              </c:numCache>
            </c:numRef>
          </c:val>
          <c:extLst xmlns:c16r2="http://schemas.microsoft.com/office/drawing/2015/06/chart">
            <c:ext xmlns:c16="http://schemas.microsoft.com/office/drawing/2014/chart" uri="{C3380CC4-5D6E-409C-BE32-E72D297353CC}">
              <c16:uniqueId val="{00000006-4F57-4D00-A1AC-C3316F98512B}"/>
            </c:ext>
          </c:extLst>
        </c:ser>
        <c:dLbls>
          <c:dLblPos val="inEnd"/>
          <c:showLegendKey val="0"/>
          <c:showVal val="1"/>
          <c:showCatName val="0"/>
          <c:showSerName val="0"/>
          <c:showPercent val="0"/>
          <c:showBubbleSize val="0"/>
        </c:dLbls>
        <c:gapWidth val="41"/>
        <c:axId val="108112056"/>
        <c:axId val="108112840"/>
      </c:barChart>
      <c:catAx>
        <c:axId val="1081120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108112840"/>
        <c:crosses val="autoZero"/>
        <c:auto val="1"/>
        <c:lblAlgn val="ctr"/>
        <c:lblOffset val="100"/>
        <c:noMultiLvlLbl val="0"/>
      </c:catAx>
      <c:valAx>
        <c:axId val="108112840"/>
        <c:scaling>
          <c:orientation val="minMax"/>
        </c:scaling>
        <c:delete val="1"/>
        <c:axPos val="l"/>
        <c:numFmt formatCode="_-* #\ ##0.0\ _₽_-;\-* #\ ##0.0\ _₽_-;_-* &quot;-&quot;??\ _₽_-;_-@_-" sourceLinked="1"/>
        <c:majorTickMark val="none"/>
        <c:minorTickMark val="none"/>
        <c:tickLblPos val="nextTo"/>
        <c:crossAx val="1081120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multiLvlStrRef>
              <c:f>Приложение_отчет!$M$42:$R$43</c:f>
              <c:multiLvlStrCache>
                <c:ptCount val="6"/>
                <c:lvl>
                  <c:pt idx="0">
                    <c:v>утверждено</c:v>
                  </c:pt>
                  <c:pt idx="1">
                    <c:v>исполнено</c:v>
                  </c:pt>
                  <c:pt idx="2">
                    <c:v>утверждено</c:v>
                  </c:pt>
                  <c:pt idx="3">
                    <c:v>исполнено</c:v>
                  </c:pt>
                  <c:pt idx="4">
                    <c:v>отчеты ГАБС</c:v>
                  </c:pt>
                  <c:pt idx="5">
                    <c:v>данные СП</c:v>
                  </c:pt>
                </c:lvl>
                <c:lvl>
                  <c:pt idx="0">
                    <c:v>Отчеты о ходе реализации РП</c:v>
                  </c:pt>
                  <c:pt idx="2">
                    <c:v>Отчет об исполнении бюджета</c:v>
                  </c:pt>
                  <c:pt idx="4">
                    <c:v>Фактическое выполнение</c:v>
                  </c:pt>
                </c:lvl>
              </c:multiLvlStrCache>
            </c:multiLvlStrRef>
          </c:cat>
          <c:val>
            <c:numRef>
              <c:f>Приложение_отчет!$M$44:$R$44</c:f>
              <c:numCache>
                <c:formatCode>0.0</c:formatCode>
                <c:ptCount val="6"/>
                <c:pt idx="0">
                  <c:v>353.67</c:v>
                </c:pt>
                <c:pt idx="1">
                  <c:v>351.99</c:v>
                </c:pt>
                <c:pt idx="2">
                  <c:v>340.37</c:v>
                </c:pt>
                <c:pt idx="3">
                  <c:v>338.31</c:v>
                </c:pt>
                <c:pt idx="4">
                  <c:v>338.31</c:v>
                </c:pt>
                <c:pt idx="5">
                  <c:v>288.91000000000003</c:v>
                </c:pt>
              </c:numCache>
            </c:numRef>
          </c:val>
          <c:extLst xmlns:c16r2="http://schemas.microsoft.com/office/drawing/2015/06/chart">
            <c:ext xmlns:c16="http://schemas.microsoft.com/office/drawing/2014/chart" uri="{C3380CC4-5D6E-409C-BE32-E72D297353CC}">
              <c16:uniqueId val="{00000000-AEF3-4E38-BA7A-1B3DC88414DE}"/>
            </c:ext>
          </c:extLst>
        </c:ser>
        <c:dLbls>
          <c:dLblPos val="inEnd"/>
          <c:showLegendKey val="0"/>
          <c:showVal val="1"/>
          <c:showCatName val="0"/>
          <c:showSerName val="0"/>
          <c:showPercent val="0"/>
          <c:showBubbleSize val="0"/>
        </c:dLbls>
        <c:gapWidth val="41"/>
        <c:axId val="111549360"/>
        <c:axId val="111547400"/>
      </c:barChart>
      <c:catAx>
        <c:axId val="1115493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111547400"/>
        <c:crosses val="autoZero"/>
        <c:auto val="1"/>
        <c:lblAlgn val="ctr"/>
        <c:lblOffset val="100"/>
        <c:noMultiLvlLbl val="0"/>
      </c:catAx>
      <c:valAx>
        <c:axId val="111547400"/>
        <c:scaling>
          <c:orientation val="minMax"/>
        </c:scaling>
        <c:delete val="1"/>
        <c:axPos val="l"/>
        <c:numFmt formatCode="0.0" sourceLinked="1"/>
        <c:majorTickMark val="none"/>
        <c:minorTickMark val="none"/>
        <c:tickLblPos val="nextTo"/>
        <c:crossAx val="1115493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1"/>
              <c:layout/>
              <c:tx>
                <c:rich>
                  <a:bodyPr/>
                  <a:lstStyle/>
                  <a:p>
                    <a:r>
                      <a:rPr lang="en-US"/>
                      <a:t>0,2</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4E1-481C-A334-F86D5D10E241}"/>
                </c:ext>
                <c:ext xmlns:c15="http://schemas.microsoft.com/office/drawing/2012/chart" uri="{CE6537A1-D6FC-4f65-9D91-7224C49458BB}">
                  <c15:layout/>
                </c:ext>
              </c:extLst>
            </c:dLbl>
            <c:dLbl>
              <c:idx val="2"/>
              <c:layout>
                <c:manualLayout>
                  <c:x val="0"/>
                  <c:y val="0.178894005277834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4E1-481C-A334-F86D5D10E241}"/>
                </c:ext>
                <c:ext xmlns:c15="http://schemas.microsoft.com/office/drawing/2012/chart" uri="{CE6537A1-D6FC-4f65-9D91-7224C49458BB}">
                  <c15:layout/>
                </c:ext>
              </c:extLst>
            </c:dLbl>
            <c:dLbl>
              <c:idx val="3"/>
              <c:layout>
                <c:manualLayout>
                  <c:x val="-8.4348385311933696E-17"/>
                  <c:y val="0.18794111048194956"/>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4E1-481C-A334-F86D5D10E241}"/>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multiLvlStrRef>
              <c:f>Приложение_отчет!$M$52:$Q$53</c:f>
              <c:multiLvlStrCache>
                <c:ptCount val="5"/>
                <c:lvl>
                  <c:pt idx="0">
                    <c:v>утверждено</c:v>
                  </c:pt>
                  <c:pt idx="1">
                    <c:v>исполнено</c:v>
                  </c:pt>
                  <c:pt idx="2">
                    <c:v>утверждено</c:v>
                  </c:pt>
                  <c:pt idx="3">
                    <c:v>исполнено</c:v>
                  </c:pt>
                  <c:pt idx="4">
                    <c:v>фактическое выполнение</c:v>
                  </c:pt>
                </c:lvl>
                <c:lvl>
                  <c:pt idx="0">
                    <c:v>Отчеты о ходе реализации РП</c:v>
                  </c:pt>
                  <c:pt idx="2">
                    <c:v>Отчет об исполнении бюджета</c:v>
                  </c:pt>
                  <c:pt idx="4">
                    <c:v>Отчеты ГАБС</c:v>
                  </c:pt>
                </c:lvl>
              </c:multiLvlStrCache>
            </c:multiLvlStrRef>
          </c:cat>
          <c:val>
            <c:numRef>
              <c:f>Приложение_отчет!$M$54:$Q$54</c:f>
              <c:numCache>
                <c:formatCode>0.0</c:formatCode>
                <c:ptCount val="5"/>
                <c:pt idx="0">
                  <c:v>12.47</c:v>
                </c:pt>
                <c:pt idx="1">
                  <c:v>0</c:v>
                </c:pt>
                <c:pt idx="2">
                  <c:v>192.41</c:v>
                </c:pt>
                <c:pt idx="3">
                  <c:v>185.43</c:v>
                </c:pt>
                <c:pt idx="4">
                  <c:v>13.1</c:v>
                </c:pt>
              </c:numCache>
            </c:numRef>
          </c:val>
          <c:extLst xmlns:c16r2="http://schemas.microsoft.com/office/drawing/2015/06/chart">
            <c:ext xmlns:c16="http://schemas.microsoft.com/office/drawing/2014/chart" uri="{C3380CC4-5D6E-409C-BE32-E72D297353CC}">
              <c16:uniqueId val="{00000003-F4E1-481C-A334-F86D5D10E241}"/>
            </c:ext>
          </c:extLst>
        </c:ser>
        <c:dLbls>
          <c:dLblPos val="inEnd"/>
          <c:showLegendKey val="0"/>
          <c:showVal val="1"/>
          <c:showCatName val="0"/>
          <c:showSerName val="0"/>
          <c:showPercent val="0"/>
          <c:showBubbleSize val="0"/>
        </c:dLbls>
        <c:gapWidth val="41"/>
        <c:axId val="111550536"/>
        <c:axId val="111548576"/>
      </c:barChart>
      <c:catAx>
        <c:axId val="1115505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111548576"/>
        <c:crosses val="autoZero"/>
        <c:auto val="1"/>
        <c:lblAlgn val="ctr"/>
        <c:lblOffset val="100"/>
        <c:noMultiLvlLbl val="0"/>
      </c:catAx>
      <c:valAx>
        <c:axId val="111548576"/>
        <c:scaling>
          <c:orientation val="minMax"/>
        </c:scaling>
        <c:delete val="1"/>
        <c:axPos val="l"/>
        <c:numFmt formatCode="0.0" sourceLinked="1"/>
        <c:majorTickMark val="none"/>
        <c:minorTickMark val="none"/>
        <c:tickLblPos val="nextTo"/>
        <c:crossAx val="1115505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0"/>
              <c:layout>
                <c:manualLayout>
                  <c:x val="-1.145104406467757E-17"/>
                  <c:y val="3.38216213539345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2C8-41DE-ACFE-8A7F42D3E58E}"/>
                </c:ext>
                <c:ext xmlns:c15="http://schemas.microsoft.com/office/drawing/2012/chart" uri="{CE6537A1-D6FC-4f65-9D91-7224C49458BB}">
                  <c15:layout/>
                </c:ext>
              </c:extLst>
            </c:dLbl>
            <c:dLbl>
              <c:idx val="1"/>
              <c:layout>
                <c:manualLayout>
                  <c:x val="2.4984384759525295E-3"/>
                  <c:y val="3.108205813895902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2C8-41DE-ACFE-8A7F42D3E58E}"/>
                </c:ext>
                <c:ext xmlns:c15="http://schemas.microsoft.com/office/drawing/2012/chart" uri="{CE6537A1-D6FC-4f65-9D91-7224C49458BB}">
                  <c15:layout/>
                </c:ext>
              </c:extLst>
            </c:dLbl>
            <c:dLbl>
              <c:idx val="2"/>
              <c:layout>
                <c:manualLayout>
                  <c:x val="0"/>
                  <c:y val="4.428663398207298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2C8-41DE-ACFE-8A7F42D3E58E}"/>
                </c:ext>
                <c:ext xmlns:c15="http://schemas.microsoft.com/office/drawing/2012/chart" uri="{CE6537A1-D6FC-4f65-9D91-7224C49458BB}">
                  <c15:layout/>
                </c:ext>
              </c:extLst>
            </c:dLbl>
            <c:dLbl>
              <c:idx val="3"/>
              <c:layout>
                <c:manualLayout>
                  <c:x val="-9.1608352517420563E-17"/>
                  <c:y val="3.108205813895902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2C8-41DE-ACFE-8A7F42D3E58E}"/>
                </c:ext>
                <c:ext xmlns:c15="http://schemas.microsoft.com/office/drawing/2012/chart" uri="{CE6537A1-D6FC-4f65-9D91-7224C49458BB}">
                  <c15:layout/>
                </c:ext>
              </c:extLst>
            </c:dLbl>
            <c:dLbl>
              <c:idx val="4"/>
              <c:layout>
                <c:manualLayout>
                  <c:x val="1.1706860220087256E-3"/>
                  <c:y val="1.3530976630387293E-2"/>
                </c:manualLayout>
              </c:layout>
              <c:tx>
                <c:rich>
                  <a:bodyPr/>
                  <a:lstStyle/>
                  <a:p>
                    <a:r>
                      <a:rPr lang="en-US"/>
                      <a:t>102,7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2C8-41DE-ACFE-8A7F42D3E58E}"/>
                </c:ext>
                <c:ext xmlns:c15="http://schemas.microsoft.com/office/drawing/2012/chart" uri="{CE6537A1-D6FC-4f65-9D91-7224C49458BB}">
                  <c15:layout>
                    <c:manualLayout>
                      <c:w val="6.7314446265511585E-2"/>
                      <c:h val="0.1645504237987514"/>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Приложение_отчет!$M$56:$Q$57</c:f>
              <c:multiLvlStrCache>
                <c:ptCount val="5"/>
                <c:lvl>
                  <c:pt idx="0">
                    <c:v>утверждено</c:v>
                  </c:pt>
                  <c:pt idx="1">
                    <c:v>исполнено</c:v>
                  </c:pt>
                  <c:pt idx="2">
                    <c:v>утверждено</c:v>
                  </c:pt>
                  <c:pt idx="3">
                    <c:v>исполнено</c:v>
                  </c:pt>
                  <c:pt idx="4">
                    <c:v>фактическое выполнение</c:v>
                  </c:pt>
                </c:lvl>
                <c:lvl>
                  <c:pt idx="0">
                    <c:v>Отчеты о ходе реализации РП</c:v>
                  </c:pt>
                  <c:pt idx="2">
                    <c:v>Отчет об исполнении бюджета</c:v>
                  </c:pt>
                  <c:pt idx="4">
                    <c:v>Отчеты ГАБС</c:v>
                  </c:pt>
                </c:lvl>
              </c:multiLvlStrCache>
            </c:multiLvlStrRef>
          </c:cat>
          <c:val>
            <c:numRef>
              <c:f>Приложение_отчет!$M$58:$Q$58</c:f>
              <c:numCache>
                <c:formatCode>0.0</c:formatCode>
                <c:ptCount val="5"/>
                <c:pt idx="0">
                  <c:v>110.03</c:v>
                </c:pt>
                <c:pt idx="1">
                  <c:v>109.68</c:v>
                </c:pt>
                <c:pt idx="2">
                  <c:v>109.76</c:v>
                </c:pt>
                <c:pt idx="3">
                  <c:v>109.68</c:v>
                </c:pt>
                <c:pt idx="4">
                  <c:v>93.8</c:v>
                </c:pt>
              </c:numCache>
            </c:numRef>
          </c:val>
          <c:extLst xmlns:c16r2="http://schemas.microsoft.com/office/drawing/2015/06/chart">
            <c:ext xmlns:c16="http://schemas.microsoft.com/office/drawing/2014/chart" uri="{C3380CC4-5D6E-409C-BE32-E72D297353CC}">
              <c16:uniqueId val="{00000005-C2C8-41DE-ACFE-8A7F42D3E58E}"/>
            </c:ext>
          </c:extLst>
        </c:ser>
        <c:dLbls>
          <c:dLblPos val="inEnd"/>
          <c:showLegendKey val="0"/>
          <c:showVal val="1"/>
          <c:showCatName val="0"/>
          <c:showSerName val="0"/>
          <c:showPercent val="0"/>
          <c:showBubbleSize val="0"/>
        </c:dLbls>
        <c:gapWidth val="41"/>
        <c:axId val="111547008"/>
        <c:axId val="111550928"/>
      </c:barChart>
      <c:catAx>
        <c:axId val="1115470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111550928"/>
        <c:crosses val="autoZero"/>
        <c:auto val="1"/>
        <c:lblAlgn val="ctr"/>
        <c:lblOffset val="100"/>
        <c:noMultiLvlLbl val="0"/>
      </c:catAx>
      <c:valAx>
        <c:axId val="111550928"/>
        <c:scaling>
          <c:orientation val="minMax"/>
        </c:scaling>
        <c:delete val="1"/>
        <c:axPos val="l"/>
        <c:numFmt formatCode="0.0" sourceLinked="1"/>
        <c:majorTickMark val="none"/>
        <c:minorTickMark val="none"/>
        <c:tickLblPos val="nextTo"/>
        <c:crossAx val="1115470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Pt>
            <c:idx val="1"/>
            <c:invertIfNegative val="0"/>
            <c:bubble3D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01-4990-48B9-A8AA-73DAD5AAD286}"/>
              </c:ext>
            </c:extLst>
          </c:dPt>
          <c:dPt>
            <c:idx val="2"/>
            <c:invertIfNegative val="0"/>
            <c:bubble3D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03-4990-48B9-A8AA-73DAD5AAD286}"/>
              </c:ext>
            </c:extLst>
          </c:dPt>
          <c:dPt>
            <c:idx val="3"/>
            <c:invertIfNegative val="0"/>
            <c:bubble3D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05-4990-48B9-A8AA-73DAD5AAD286}"/>
              </c:ext>
            </c:extLst>
          </c:dPt>
          <c:dPt>
            <c:idx val="4"/>
            <c:invertIfNegative val="0"/>
            <c:bubble3D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07-4990-48B9-A8AA-73DAD5AAD286}"/>
              </c:ext>
            </c:extLst>
          </c:dPt>
          <c:dLbls>
            <c:dLbl>
              <c:idx val="0"/>
              <c:layout>
                <c:manualLayout>
                  <c:x val="-9.5904590644218404E-18"/>
                  <c:y val="-5.9040590405904231E-3"/>
                </c:manualLayout>
              </c:layout>
              <c:tx>
                <c:rich>
                  <a:bodyPr rot="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i="0" u="none" strike="noStrike" baseline="0">
                        <a:effectLst/>
                      </a:rPr>
                      <a:t>49 642 354,8</a:t>
                    </a:r>
                    <a:endParaRPr lang="en-US" sz="800">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4990-48B9-A8AA-73DAD5AAD286}"/>
                </c:ext>
                <c:ext xmlns:c15="http://schemas.microsoft.com/office/drawing/2012/chart" uri="{CE6537A1-D6FC-4f65-9D91-7224C49458BB}">
                  <c15:spPr xmlns:c15="http://schemas.microsoft.com/office/drawing/2012/chart">
                    <a:prstGeom prst="rect">
                      <a:avLst/>
                    </a:prstGeom>
                    <a:noFill/>
                    <a:ln>
                      <a:noFill/>
                    </a:ln>
                  </c15:spPr>
                  <c15:layout/>
                </c:ext>
              </c:extLst>
            </c:dLbl>
            <c:dLbl>
              <c:idx val="1"/>
              <c:layout>
                <c:manualLayout>
                  <c:x val="-4.1849759363883658E-3"/>
                  <c:y val="7.1135899679206768E-3"/>
                </c:manualLayout>
              </c:layout>
              <c:tx>
                <c:rich>
                  <a:bodyPr/>
                  <a:lstStyle/>
                  <a:p>
                    <a:r>
                      <a:rPr lang="en-US"/>
                      <a:t>50</a:t>
                    </a:r>
                    <a:r>
                      <a:rPr lang="en-US" baseline="0"/>
                      <a:t> 952 603,0</a:t>
                    </a:r>
                    <a:endParaRPr lang="en-US"/>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990-48B9-A8AA-73DAD5AAD286}"/>
                </c:ext>
                <c:ext xmlns:c15="http://schemas.microsoft.com/office/drawing/2012/chart" uri="{CE6537A1-D6FC-4f65-9D91-7224C49458BB}">
                  <c15:layout/>
                </c:ext>
              </c:extLst>
            </c:dLbl>
            <c:dLbl>
              <c:idx val="2"/>
              <c:layout>
                <c:manualLayout>
                  <c:x val="0"/>
                  <c:y val="1.4760147601475845E-3"/>
                </c:manualLayout>
              </c:layout>
              <c:tx>
                <c:rich>
                  <a:bodyPr/>
                  <a:lstStyle/>
                  <a:p>
                    <a:r>
                      <a:rPr lang="en-US"/>
                      <a:t>51 137 588,1</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990-48B9-A8AA-73DAD5AAD286}"/>
                </c:ext>
                <c:ext xmlns:c15="http://schemas.microsoft.com/office/drawing/2012/chart" uri="{CE6537A1-D6FC-4f65-9D91-7224C49458BB}">
                  <c15:layout/>
                </c:ext>
              </c:extLst>
            </c:dLbl>
            <c:dLbl>
              <c:idx val="3"/>
              <c:layout>
                <c:manualLayout>
                  <c:x val="-4.1849759363883658E-3"/>
                  <c:y val="1.0493070285033627E-2"/>
                </c:manualLayout>
              </c:layout>
              <c:tx>
                <c:rich>
                  <a:bodyPr/>
                  <a:lstStyle/>
                  <a:p>
                    <a:r>
                      <a:rPr lang="en-US"/>
                      <a:t>8 272 615,5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990-48B9-A8AA-73DAD5AAD286}"/>
                </c:ext>
                <c:ext xmlns:c15="http://schemas.microsoft.com/office/drawing/2012/chart" uri="{CE6537A1-D6FC-4f65-9D91-7224C49458BB}">
                  <c15:layout/>
                </c:ext>
              </c:extLst>
            </c:dLbl>
            <c:dLbl>
              <c:idx val="4"/>
              <c:layout>
                <c:manualLayout>
                  <c:x val="-2.0924879681941829E-3"/>
                  <c:y val="3.1350785948804369E-3"/>
                </c:manualLayout>
              </c:layout>
              <c:tx>
                <c:rich>
                  <a:bodyPr/>
                  <a:lstStyle/>
                  <a:p>
                    <a:r>
                      <a:rPr lang="en-US"/>
                      <a:t>8</a:t>
                    </a:r>
                    <a:r>
                      <a:rPr lang="en-US" baseline="0"/>
                      <a:t> 274 625,5</a:t>
                    </a:r>
                    <a:endParaRPr lang="en-US"/>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990-48B9-A8AA-73DAD5AAD286}"/>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Диаграмма!$A$31:$E$32</c:f>
              <c:multiLvlStrCache>
                <c:ptCount val="5"/>
                <c:lvl>
                  <c:pt idx="0">
                    <c:v>Паспортом ГП </c:v>
                  </c:pt>
                  <c:pt idx="1">
                    <c:v>Законом 67-ОЗ</c:v>
                  </c:pt>
                  <c:pt idx="2">
                    <c:v>СБР</c:v>
                  </c:pt>
                  <c:pt idx="3">
                    <c:v>(ф. 0503117)</c:v>
                  </c:pt>
                  <c:pt idx="4">
                    <c:v>Отчет</c:v>
                  </c:pt>
                </c:lvl>
                <c:lvl>
                  <c:pt idx="0">
                    <c:v>Утверждено</c:v>
                  </c:pt>
                  <c:pt idx="3">
                    <c:v>Профинансировано</c:v>
                  </c:pt>
                  <c:pt idx="4">
                    <c:v>Исполнено</c:v>
                  </c:pt>
                </c:lvl>
              </c:multiLvlStrCache>
            </c:multiLvlStrRef>
          </c:cat>
          <c:val>
            <c:numRef>
              <c:f>Диаграмма!$A$33:$E$33</c:f>
              <c:numCache>
                <c:formatCode>#\ ##0.0</c:formatCode>
                <c:ptCount val="5"/>
                <c:pt idx="0">
                  <c:v>49642354.799999997</c:v>
                </c:pt>
                <c:pt idx="1">
                  <c:v>50952603</c:v>
                </c:pt>
                <c:pt idx="2">
                  <c:v>51137588.100000001</c:v>
                </c:pt>
                <c:pt idx="3">
                  <c:v>8272615.5</c:v>
                </c:pt>
                <c:pt idx="4">
                  <c:v>8274625.5</c:v>
                </c:pt>
              </c:numCache>
            </c:numRef>
          </c:val>
          <c:extLst xmlns:c16r2="http://schemas.microsoft.com/office/drawing/2015/06/chart">
            <c:ext xmlns:c16="http://schemas.microsoft.com/office/drawing/2014/chart" uri="{C3380CC4-5D6E-409C-BE32-E72D297353CC}">
              <c16:uniqueId val="{00000009-4990-48B9-A8AA-73DAD5AAD286}"/>
            </c:ext>
          </c:extLst>
        </c:ser>
        <c:dLbls>
          <c:dLblPos val="inEnd"/>
          <c:showLegendKey val="0"/>
          <c:showVal val="1"/>
          <c:showCatName val="0"/>
          <c:showSerName val="0"/>
          <c:showPercent val="0"/>
          <c:showBubbleSize val="0"/>
        </c:dLbls>
        <c:gapWidth val="41"/>
        <c:axId val="111545048"/>
        <c:axId val="111548184"/>
      </c:barChart>
      <c:catAx>
        <c:axId val="1115450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111548184"/>
        <c:crosses val="autoZero"/>
        <c:auto val="1"/>
        <c:lblAlgn val="ctr"/>
        <c:lblOffset val="100"/>
        <c:noMultiLvlLbl val="0"/>
      </c:catAx>
      <c:valAx>
        <c:axId val="111548184"/>
        <c:scaling>
          <c:orientation val="minMax"/>
        </c:scaling>
        <c:delete val="1"/>
        <c:axPos val="l"/>
        <c:numFmt formatCode="#\ ##0.0" sourceLinked="1"/>
        <c:majorTickMark val="none"/>
        <c:minorTickMark val="none"/>
        <c:tickLblPos val="nextTo"/>
        <c:crossAx val="111545048"/>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0"/>
              <c:layout/>
              <c:tx>
                <c:rich>
                  <a:bodyPr/>
                  <a:lstStyle/>
                  <a:p>
                    <a:r>
                      <a:rPr lang="en-US"/>
                      <a:t>3 317 195,8</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C7C-4C0E-9F46-A8CAB8CB7F8E}"/>
                </c:ext>
                <c:ext xmlns:c15="http://schemas.microsoft.com/office/drawing/2012/chart" uri="{CE6537A1-D6FC-4f65-9D91-7224C49458BB}">
                  <c15:layout/>
                </c:ext>
              </c:extLst>
            </c:dLbl>
            <c:dLbl>
              <c:idx val="1"/>
              <c:layout/>
              <c:tx>
                <c:rich>
                  <a:bodyPr/>
                  <a:lstStyle/>
                  <a:p>
                    <a:r>
                      <a:rPr lang="en-US"/>
                      <a:t>2 805 483,9</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C7C-4C0E-9F46-A8CAB8CB7F8E}"/>
                </c:ext>
                <c:ext xmlns:c15="http://schemas.microsoft.com/office/drawing/2012/chart" uri="{CE6537A1-D6FC-4f65-9D91-7224C49458BB}">
                  <c15:layout/>
                </c:ext>
              </c:extLst>
            </c:dLbl>
            <c:dLbl>
              <c:idx val="2"/>
              <c:layout/>
              <c:tx>
                <c:rich>
                  <a:bodyPr/>
                  <a:lstStyle/>
                  <a:p>
                    <a:r>
                      <a:rPr lang="en-US"/>
                      <a:t>3 392 208,1</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C7C-4C0E-9F46-A8CAB8CB7F8E}"/>
                </c:ext>
                <c:ext xmlns:c15="http://schemas.microsoft.com/office/drawing/2012/chart" uri="{CE6537A1-D6FC-4f65-9D91-7224C49458BB}">
                  <c15:layout/>
                </c:ext>
              </c:extLst>
            </c:dLbl>
            <c:dLbl>
              <c:idx val="3"/>
              <c:layout/>
              <c:tx>
                <c:rich>
                  <a:bodyPr/>
                  <a:lstStyle/>
                  <a:p>
                    <a:r>
                      <a:rPr lang="en-US"/>
                      <a:t>2 981 844,8</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C7C-4C0E-9F46-A8CAB8CB7F8E}"/>
                </c:ext>
                <c:ext xmlns:c15="http://schemas.microsoft.com/office/drawing/2012/chart" uri="{CE6537A1-D6FC-4f65-9D91-7224C49458BB}">
                  <c15:layout/>
                </c:ext>
              </c:extLst>
            </c:dLbl>
            <c:dLbl>
              <c:idx val="4"/>
              <c:layout/>
              <c:tx>
                <c:rich>
                  <a:bodyPr/>
                  <a:lstStyle/>
                  <a:p>
                    <a:r>
                      <a:rPr lang="en-US"/>
                      <a:t>1 810</a:t>
                    </a:r>
                    <a:r>
                      <a:rPr lang="en-US" baseline="0"/>
                      <a:t> 706,9</a:t>
                    </a:r>
                    <a:endParaRPr lang="en-US"/>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C7C-4C0E-9F46-A8CAB8CB7F8E}"/>
                </c:ext>
                <c:ext xmlns:c15="http://schemas.microsoft.com/office/drawing/2012/chart" uri="{CE6537A1-D6FC-4f65-9D91-7224C49458BB}">
                  <c15:layout/>
                </c:ext>
              </c:extLst>
            </c:dLbl>
            <c:dLbl>
              <c:idx val="5"/>
              <c:layout/>
              <c:tx>
                <c:rich>
                  <a:bodyPr rot="0" spcFirstLastPara="1" vertOverflow="ellipsis" vert="horz" wrap="square" lIns="38100" tIns="19050" rIns="38100" bIns="19050" anchor="ctr" anchorCtr="1">
                    <a:noAutofit/>
                  </a:bodyPr>
                  <a:lstStyle/>
                  <a:p>
                    <a:pPr>
                      <a:defRPr sz="800" b="1" i="0" u="none" strike="noStrike" kern="1200" baseline="0">
                        <a:solidFill>
                          <a:schemeClr val="lt1"/>
                        </a:solidFill>
                        <a:latin typeface="Times New Roman" panose="02020603050405020304" pitchFamily="18" charset="0"/>
                        <a:ea typeface="+mn-ea"/>
                        <a:cs typeface="Times New Roman" panose="02020603050405020304" pitchFamily="18" charset="0"/>
                      </a:defRPr>
                    </a:pPr>
                    <a:r>
                      <a:rPr lang="en-US"/>
                      <a:t>1 746 987,5</a:t>
                    </a:r>
                  </a:p>
                </c:rich>
              </c:tx>
              <c:spPr>
                <a:noFill/>
                <a:ln>
                  <a:noFill/>
                </a:ln>
                <a:effectLst/>
              </c:spPr>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C7C-4C0E-9F46-A8CAB8CB7F8E}"/>
                </c:ext>
                <c:ext xmlns:c15="http://schemas.microsoft.com/office/drawing/2012/chart" uri="{CE6537A1-D6FC-4f65-9D91-7224C49458BB}">
                  <c15:spPr xmlns:c15="http://schemas.microsoft.com/office/drawing/2012/chart">
                    <a:prstGeom prst="rect">
                      <a:avLst/>
                    </a:prstGeom>
                  </c15:spPr>
                  <c15:layout/>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Приложение_отчет!$O$72:$T$73</c:f>
              <c:multiLvlStrCache>
                <c:ptCount val="6"/>
                <c:lvl>
                  <c:pt idx="0">
                    <c:v>утверждено</c:v>
                  </c:pt>
                  <c:pt idx="1">
                    <c:v>исполнено</c:v>
                  </c:pt>
                  <c:pt idx="2">
                    <c:v>утверждено</c:v>
                  </c:pt>
                  <c:pt idx="3">
                    <c:v>исполнено</c:v>
                  </c:pt>
                  <c:pt idx="4">
                    <c:v>отчеты ГАБС</c:v>
                  </c:pt>
                  <c:pt idx="5">
                    <c:v>данные СП</c:v>
                  </c:pt>
                </c:lvl>
                <c:lvl>
                  <c:pt idx="0">
                    <c:v>Отчеты о ходе реализации РП</c:v>
                  </c:pt>
                  <c:pt idx="2">
                    <c:v>Отчет об исполнении бюджета</c:v>
                  </c:pt>
                  <c:pt idx="4">
                    <c:v>Фактическое выполнение</c:v>
                  </c:pt>
                </c:lvl>
              </c:multiLvlStrCache>
            </c:multiLvlStrRef>
          </c:cat>
          <c:val>
            <c:numRef>
              <c:f>Приложение_отчет!$O$74:$T$74</c:f>
              <c:numCache>
                <c:formatCode>_-* #\ ##0.0\ _₽_-;\-* #\ ##0.0\ _₽_-;_-* "-"??\ _₽_-;_-@_-</c:formatCode>
                <c:ptCount val="6"/>
                <c:pt idx="0">
                  <c:v>3317.2</c:v>
                </c:pt>
                <c:pt idx="1">
                  <c:v>2805.5</c:v>
                </c:pt>
                <c:pt idx="2">
                  <c:v>3392.2</c:v>
                </c:pt>
                <c:pt idx="3">
                  <c:v>2981.8</c:v>
                </c:pt>
                <c:pt idx="4">
                  <c:v>1810.7</c:v>
                </c:pt>
                <c:pt idx="5">
                  <c:v>1747.5</c:v>
                </c:pt>
              </c:numCache>
            </c:numRef>
          </c:val>
          <c:extLst xmlns:c16r2="http://schemas.microsoft.com/office/drawing/2015/06/chart">
            <c:ext xmlns:c16="http://schemas.microsoft.com/office/drawing/2014/chart" uri="{C3380CC4-5D6E-409C-BE32-E72D297353CC}">
              <c16:uniqueId val="{00000006-9C7C-4C0E-9F46-A8CAB8CB7F8E}"/>
            </c:ext>
          </c:extLst>
        </c:ser>
        <c:dLbls>
          <c:dLblPos val="inEnd"/>
          <c:showLegendKey val="0"/>
          <c:showVal val="1"/>
          <c:showCatName val="0"/>
          <c:showSerName val="0"/>
          <c:showPercent val="0"/>
          <c:showBubbleSize val="0"/>
        </c:dLbls>
        <c:gapWidth val="41"/>
        <c:axId val="110919832"/>
        <c:axId val="110916696"/>
      </c:barChart>
      <c:catAx>
        <c:axId val="1109198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110916696"/>
        <c:crosses val="autoZero"/>
        <c:auto val="1"/>
        <c:lblAlgn val="ctr"/>
        <c:lblOffset val="100"/>
        <c:noMultiLvlLbl val="0"/>
      </c:catAx>
      <c:valAx>
        <c:axId val="110916696"/>
        <c:scaling>
          <c:orientation val="minMax"/>
        </c:scaling>
        <c:delete val="1"/>
        <c:axPos val="l"/>
        <c:numFmt formatCode="_-* #\ ##0.0\ _₽_-;\-* #\ ##0.0\ _₽_-;_-* &quot;-&quot;??\ _₽_-;_-@_-" sourceLinked="1"/>
        <c:majorTickMark val="none"/>
        <c:minorTickMark val="none"/>
        <c:tickLblPos val="nextTo"/>
        <c:crossAx val="1109198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5"/>
              <c:layout/>
              <c:tx>
                <c:rich>
                  <a:bodyPr rot="0" spcFirstLastPara="1" vertOverflow="ellipsis" vert="horz" wrap="square" lIns="38100" tIns="19050" rIns="38100" bIns="19050" anchor="ctr" anchorCtr="1">
                    <a:noAutofit/>
                  </a:bodyPr>
                  <a:lstStyle/>
                  <a:p>
                    <a:pPr>
                      <a:defRPr sz="800" b="1" i="0" u="none" strike="noStrike" kern="1200" baseline="0">
                        <a:solidFill>
                          <a:schemeClr val="lt1"/>
                        </a:solidFill>
                        <a:latin typeface="Times New Roman" panose="02020603050405020304" pitchFamily="18" charset="0"/>
                        <a:ea typeface="+mn-ea"/>
                        <a:cs typeface="Times New Roman" panose="02020603050405020304" pitchFamily="18" charset="0"/>
                      </a:defRPr>
                    </a:pPr>
                    <a:r>
                      <a:rPr lang="en-US"/>
                      <a:t>1 747,0</a:t>
                    </a:r>
                  </a:p>
                </c:rich>
              </c:tx>
              <c:spPr>
                <a:noFill/>
                <a:ln>
                  <a:noFill/>
                </a:ln>
                <a:effectLst/>
              </c:spPr>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0AD-4CCC-BD2F-FC9EB817640C}"/>
                </c:ext>
                <c:ext xmlns:c15="http://schemas.microsoft.com/office/drawing/2012/chart" uri="{CE6537A1-D6FC-4f65-9D91-7224C49458BB}">
                  <c15:spPr xmlns:c15="http://schemas.microsoft.com/office/drawing/2012/chart">
                    <a:prstGeom prst="rect">
                      <a:avLst/>
                    </a:prstGeom>
                  </c15:spPr>
                  <c15:layout/>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multiLvlStrRef>
              <c:f>Приложение_отчет!$O$72:$T$73</c:f>
              <c:multiLvlStrCache>
                <c:ptCount val="6"/>
                <c:lvl>
                  <c:pt idx="0">
                    <c:v>утверждено</c:v>
                  </c:pt>
                  <c:pt idx="1">
                    <c:v>исполнено</c:v>
                  </c:pt>
                  <c:pt idx="2">
                    <c:v>утверждено</c:v>
                  </c:pt>
                  <c:pt idx="3">
                    <c:v>исполнено</c:v>
                  </c:pt>
                  <c:pt idx="4">
                    <c:v>отчеты ГАБС</c:v>
                  </c:pt>
                  <c:pt idx="5">
                    <c:v>данные СП</c:v>
                  </c:pt>
                </c:lvl>
                <c:lvl>
                  <c:pt idx="0">
                    <c:v>Отчеты о ходе реализации РП</c:v>
                  </c:pt>
                  <c:pt idx="2">
                    <c:v>Отчет об исполнении бюджета</c:v>
                  </c:pt>
                  <c:pt idx="4">
                    <c:v>Фактическое выполнение</c:v>
                  </c:pt>
                </c:lvl>
              </c:multiLvlStrCache>
            </c:multiLvlStrRef>
          </c:cat>
          <c:val>
            <c:numRef>
              <c:f>Приложение_отчет!$O$74:$T$74</c:f>
              <c:numCache>
                <c:formatCode>_-* #\ ##0.0\ _₽_-;\-* #\ ##0.0\ _₽_-;_-* "-"??\ _₽_-;_-@_-</c:formatCode>
                <c:ptCount val="6"/>
                <c:pt idx="0">
                  <c:v>3317.2</c:v>
                </c:pt>
                <c:pt idx="1">
                  <c:v>2805.5</c:v>
                </c:pt>
                <c:pt idx="2">
                  <c:v>3392.2</c:v>
                </c:pt>
                <c:pt idx="3">
                  <c:v>2981.8</c:v>
                </c:pt>
                <c:pt idx="4">
                  <c:v>1810.7</c:v>
                </c:pt>
                <c:pt idx="5">
                  <c:v>1747.5</c:v>
                </c:pt>
              </c:numCache>
            </c:numRef>
          </c:val>
          <c:extLst xmlns:c16r2="http://schemas.microsoft.com/office/drawing/2015/06/chart">
            <c:ext xmlns:c16="http://schemas.microsoft.com/office/drawing/2014/chart" uri="{C3380CC4-5D6E-409C-BE32-E72D297353CC}">
              <c16:uniqueId val="{00000001-A0AD-4CCC-BD2F-FC9EB817640C}"/>
            </c:ext>
          </c:extLst>
        </c:ser>
        <c:dLbls>
          <c:dLblPos val="inEnd"/>
          <c:showLegendKey val="0"/>
          <c:showVal val="1"/>
          <c:showCatName val="0"/>
          <c:showSerName val="0"/>
          <c:showPercent val="0"/>
          <c:showBubbleSize val="0"/>
        </c:dLbls>
        <c:gapWidth val="41"/>
        <c:axId val="110917872"/>
        <c:axId val="110920616"/>
      </c:barChart>
      <c:catAx>
        <c:axId val="1109178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110920616"/>
        <c:crosses val="autoZero"/>
        <c:auto val="1"/>
        <c:lblAlgn val="ctr"/>
        <c:lblOffset val="100"/>
        <c:noMultiLvlLbl val="0"/>
      </c:catAx>
      <c:valAx>
        <c:axId val="110920616"/>
        <c:scaling>
          <c:orientation val="minMax"/>
        </c:scaling>
        <c:delete val="1"/>
        <c:axPos val="l"/>
        <c:numFmt formatCode="_-* #\ ##0.0\ _₽_-;\-* #\ ##0.0\ _₽_-;_-* &quot;-&quot;??\ _₽_-;_-@_-" sourceLinked="1"/>
        <c:majorTickMark val="none"/>
        <c:minorTickMark val="none"/>
        <c:tickLblPos val="nextTo"/>
        <c:crossAx val="1109178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0"/>
              <c:layout>
                <c:manualLayout>
                  <c:x val="-7.457121551081294E-3"/>
                  <c:y val="3.9819892680754386E-3"/>
                </c:manualLayout>
              </c:layout>
              <c:tx>
                <c:rich>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675,7</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034-4803-AA22-A6E9CD6171E3}"/>
                </c:ext>
                <c:ext xmlns:c15="http://schemas.microsoft.com/office/drawing/2012/chart" uri="{CE6537A1-D6FC-4f65-9D91-7224C49458BB}">
                  <c15:layout/>
                </c:ext>
              </c:extLst>
            </c:dLbl>
            <c:dLbl>
              <c:idx val="1"/>
              <c:layout>
                <c:manualLayout>
                  <c:x val="2.4857071836937154E-3"/>
                  <c:y val="2.0811391651635005E-2"/>
                </c:manualLayout>
              </c:layout>
              <c:tx>
                <c:rich>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525,5</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034-4803-AA22-A6E9CD6171E3}"/>
                </c:ext>
                <c:ext xmlns:c15="http://schemas.microsoft.com/office/drawing/2012/chart" uri="{CE6537A1-D6FC-4f65-9D91-7224C49458BB}">
                  <c15:layout/>
                </c:ext>
              </c:extLst>
            </c:dLbl>
            <c:dLbl>
              <c:idx val="2"/>
              <c:layout>
                <c:manualLayout>
                  <c:x val="-2.4857071836937609E-3"/>
                  <c:y val="1.5522670168248575E-2"/>
                </c:manualLayout>
              </c:layout>
              <c:tx>
                <c:rich>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673,7</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034-4803-AA22-A6E9CD6171E3}"/>
                </c:ext>
                <c:ext xmlns:c15="http://schemas.microsoft.com/office/drawing/2012/chart" uri="{CE6537A1-D6FC-4f65-9D91-7224C49458BB}">
                  <c15:layout/>
                </c:ext>
              </c:extLst>
            </c:dLbl>
            <c:dLbl>
              <c:idx val="3"/>
              <c:layout>
                <c:manualLayout>
                  <c:x val="-9.1141543860545809E-17"/>
                  <c:y val="2.09149851652271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034-4803-AA22-A6E9CD6171E3}"/>
                </c:ext>
                <c:ext xmlns:c15="http://schemas.microsoft.com/office/drawing/2012/chart" uri="{CE6537A1-D6FC-4f65-9D91-7224C49458BB}">
                  <c15:layout/>
                </c:ext>
              </c:extLst>
            </c:dLbl>
            <c:dLbl>
              <c:idx val="4"/>
              <c:layout>
                <c:manualLayout>
                  <c:x val="-1.8228308772109162E-16"/>
                  <c:y val="-4.5072265562879488E-4"/>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034-4803-AA22-A6E9CD6171E3}"/>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Приложение_отчет!$M$7:$Q$8</c:f>
              <c:multiLvlStrCache>
                <c:ptCount val="5"/>
                <c:lvl>
                  <c:pt idx="0">
                    <c:v>утверждено</c:v>
                  </c:pt>
                  <c:pt idx="1">
                    <c:v>исполнено</c:v>
                  </c:pt>
                  <c:pt idx="2">
                    <c:v>утверждено</c:v>
                  </c:pt>
                  <c:pt idx="3">
                    <c:v>исполнено</c:v>
                  </c:pt>
                  <c:pt idx="4">
                    <c:v>фактическое выполнение</c:v>
                  </c:pt>
                </c:lvl>
                <c:lvl>
                  <c:pt idx="0">
                    <c:v>Отчеты о ходе реализации РП</c:v>
                  </c:pt>
                  <c:pt idx="2">
                    <c:v>Отчет об исполнении бюджета</c:v>
                  </c:pt>
                  <c:pt idx="4">
                    <c:v>Отчеты ГАБС</c:v>
                  </c:pt>
                </c:lvl>
              </c:multiLvlStrCache>
            </c:multiLvlStrRef>
          </c:cat>
          <c:val>
            <c:numRef>
              <c:f>Приложение_отчет!$M$9:$Q$9</c:f>
              <c:numCache>
                <c:formatCode>0.0</c:formatCode>
                <c:ptCount val="5"/>
                <c:pt idx="0">
                  <c:v>675.75</c:v>
                </c:pt>
                <c:pt idx="1">
                  <c:v>524.39</c:v>
                </c:pt>
                <c:pt idx="2">
                  <c:v>673.75</c:v>
                </c:pt>
                <c:pt idx="3">
                  <c:v>524.66999999999996</c:v>
                </c:pt>
                <c:pt idx="4">
                  <c:v>529.30999999999995</c:v>
                </c:pt>
              </c:numCache>
            </c:numRef>
          </c:val>
          <c:extLst xmlns:c16r2="http://schemas.microsoft.com/office/drawing/2015/06/chart">
            <c:ext xmlns:c16="http://schemas.microsoft.com/office/drawing/2014/chart" uri="{C3380CC4-5D6E-409C-BE32-E72D297353CC}">
              <c16:uniqueId val="{00000005-7034-4803-AA22-A6E9CD6171E3}"/>
            </c:ext>
          </c:extLst>
        </c:ser>
        <c:dLbls>
          <c:dLblPos val="inEnd"/>
          <c:showLegendKey val="0"/>
          <c:showVal val="1"/>
          <c:showCatName val="0"/>
          <c:showSerName val="0"/>
          <c:showPercent val="0"/>
          <c:showBubbleSize val="0"/>
        </c:dLbls>
        <c:gapWidth val="41"/>
        <c:axId val="110920224"/>
        <c:axId val="110916304"/>
      </c:barChart>
      <c:catAx>
        <c:axId val="1109202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110916304"/>
        <c:crosses val="autoZero"/>
        <c:auto val="1"/>
        <c:lblAlgn val="ctr"/>
        <c:lblOffset val="100"/>
        <c:noMultiLvlLbl val="0"/>
      </c:catAx>
      <c:valAx>
        <c:axId val="110916304"/>
        <c:scaling>
          <c:orientation val="minMax"/>
        </c:scaling>
        <c:delete val="1"/>
        <c:axPos val="l"/>
        <c:numFmt formatCode="0.0" sourceLinked="1"/>
        <c:majorTickMark val="none"/>
        <c:minorTickMark val="none"/>
        <c:tickLblPos val="nextTo"/>
        <c:crossAx val="1109202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0"/>
              <c:layout>
                <c:manualLayout>
                  <c:x val="-1.1559345238050939E-17"/>
                  <c:y val="6.1450539342398315E-3"/>
                </c:manualLayout>
              </c:layout>
              <c:tx>
                <c:rich>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424,0</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778-49F1-924A-92474655F53F}"/>
                </c:ext>
                <c:ext xmlns:c15="http://schemas.microsoft.com/office/drawing/2012/chart" uri="{CE6537A1-D6FC-4f65-9D91-7224C49458BB}">
                  <c15:layout/>
                </c:ext>
              </c:extLst>
            </c:dLbl>
            <c:dLbl>
              <c:idx val="1"/>
              <c:layout>
                <c:manualLayout>
                  <c:x val="0"/>
                  <c:y val="2.2322344915106273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778-49F1-924A-92474655F53F}"/>
                </c:ext>
                <c:ext xmlns:c15="http://schemas.microsoft.com/office/drawing/2012/chart" uri="{CE6537A1-D6FC-4f65-9D91-7224C49458BB}">
                  <c15:layout/>
                </c:ext>
              </c:extLst>
            </c:dLbl>
            <c:dLbl>
              <c:idx val="2"/>
              <c:layout>
                <c:manualLayout>
                  <c:x val="-9.2474761904407509E-17"/>
                  <c:y val="3.7321727428743924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778-49F1-924A-92474655F53F}"/>
                </c:ext>
                <c:ext xmlns:c15="http://schemas.microsoft.com/office/drawing/2012/chart" uri="{CE6537A1-D6FC-4f65-9D91-7224C49458BB}">
                  <c15:layout/>
                </c:ext>
              </c:extLst>
            </c:dLbl>
            <c:dLbl>
              <c:idx val="3"/>
              <c:layout>
                <c:manualLayout>
                  <c:x val="-2.52206809583868E-3"/>
                  <c:y val="6.8902960953571765E-4"/>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778-49F1-924A-92474655F53F}"/>
                </c:ext>
                <c:ext xmlns:c15="http://schemas.microsoft.com/office/drawing/2012/chart" uri="{CE6537A1-D6FC-4f65-9D91-7224C49458BB}">
                  <c15:layout/>
                </c:ext>
              </c:extLst>
            </c:dLbl>
            <c:dLbl>
              <c:idx val="4"/>
              <c:layout>
                <c:manualLayout>
                  <c:x val="0"/>
                  <c:y val="4.4135370044671943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778-49F1-924A-92474655F53F}"/>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Приложение_отчет!$M$15:$Q$16</c:f>
              <c:multiLvlStrCache>
                <c:ptCount val="5"/>
                <c:lvl>
                  <c:pt idx="0">
                    <c:v>утверждено</c:v>
                  </c:pt>
                  <c:pt idx="1">
                    <c:v>исполнено</c:v>
                  </c:pt>
                  <c:pt idx="2">
                    <c:v>утверждено</c:v>
                  </c:pt>
                  <c:pt idx="3">
                    <c:v>исполнено</c:v>
                  </c:pt>
                  <c:pt idx="4">
                    <c:v>фактическое выполнение</c:v>
                  </c:pt>
                </c:lvl>
                <c:lvl>
                  <c:pt idx="0">
                    <c:v>Отчеты о ходе реализации РП</c:v>
                  </c:pt>
                  <c:pt idx="2">
                    <c:v>Отчет об исполнении бюджета</c:v>
                  </c:pt>
                  <c:pt idx="4">
                    <c:v>Отчеты ГАБС</c:v>
                  </c:pt>
                </c:lvl>
              </c:multiLvlStrCache>
            </c:multiLvlStrRef>
          </c:cat>
          <c:val>
            <c:numRef>
              <c:f>Приложение_отчет!$M$17:$Q$17</c:f>
              <c:numCache>
                <c:formatCode>0.0</c:formatCode>
                <c:ptCount val="5"/>
                <c:pt idx="0">
                  <c:v>424.04999999999995</c:v>
                </c:pt>
                <c:pt idx="1">
                  <c:v>440.3</c:v>
                </c:pt>
                <c:pt idx="2">
                  <c:v>464.82</c:v>
                </c:pt>
                <c:pt idx="3">
                  <c:v>440.3</c:v>
                </c:pt>
                <c:pt idx="4">
                  <c:v>436.8</c:v>
                </c:pt>
              </c:numCache>
            </c:numRef>
          </c:val>
          <c:extLst xmlns:c16r2="http://schemas.microsoft.com/office/drawing/2015/06/chart">
            <c:ext xmlns:c16="http://schemas.microsoft.com/office/drawing/2014/chart" uri="{C3380CC4-5D6E-409C-BE32-E72D297353CC}">
              <c16:uniqueId val="{00000005-7778-49F1-924A-92474655F53F}"/>
            </c:ext>
          </c:extLst>
        </c:ser>
        <c:dLbls>
          <c:dLblPos val="inEnd"/>
          <c:showLegendKey val="0"/>
          <c:showVal val="1"/>
          <c:showCatName val="0"/>
          <c:showSerName val="0"/>
          <c:showPercent val="0"/>
          <c:showBubbleSize val="0"/>
        </c:dLbls>
        <c:gapWidth val="41"/>
        <c:axId val="110923360"/>
        <c:axId val="110921008"/>
      </c:barChart>
      <c:catAx>
        <c:axId val="1109233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110921008"/>
        <c:crosses val="autoZero"/>
        <c:auto val="1"/>
        <c:lblAlgn val="ctr"/>
        <c:lblOffset val="100"/>
        <c:noMultiLvlLbl val="0"/>
      </c:catAx>
      <c:valAx>
        <c:axId val="110921008"/>
        <c:scaling>
          <c:orientation val="minMax"/>
        </c:scaling>
        <c:delete val="1"/>
        <c:axPos val="l"/>
        <c:numFmt formatCode="0.0" sourceLinked="1"/>
        <c:majorTickMark val="none"/>
        <c:minorTickMark val="none"/>
        <c:tickLblPos val="nextTo"/>
        <c:crossAx val="1109233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0"/>
              <c:layout>
                <c:manualLayout>
                  <c:x val="-4.586629973626878E-3"/>
                  <c:y val="3.3425597081263598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337-40F3-9143-69A760DEDABA}"/>
                </c:ext>
                <c:ext xmlns:c15="http://schemas.microsoft.com/office/drawing/2012/chart" uri="{CE6537A1-D6FC-4f65-9D91-7224C49458BB}">
                  <c15:layout/>
                </c:ext>
              </c:extLst>
            </c:dLbl>
            <c:dLbl>
              <c:idx val="1"/>
              <c:layout>
                <c:manualLayout>
                  <c:x val="-4.2043622400066024E-17"/>
                  <c:y val="2.6752273943285179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337-40F3-9143-69A760DEDABA}"/>
                </c:ext>
                <c:ext xmlns:c15="http://schemas.microsoft.com/office/drawing/2012/chart" uri="{CE6537A1-D6FC-4f65-9D91-7224C49458BB}">
                  <c15:layout/>
                </c:ext>
              </c:extLst>
            </c:dLbl>
            <c:dLbl>
              <c:idx val="2"/>
              <c:layout>
                <c:manualLayout>
                  <c:x val="-6.8799449604403165E-3"/>
                  <c:y val="1.2647295492557613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337-40F3-9143-69A760DEDABA}"/>
                </c:ext>
                <c:ext xmlns:c15="http://schemas.microsoft.com/office/drawing/2012/chart" uri="{CE6537A1-D6FC-4f65-9D91-7224C49458BB}">
                  <c15:layout/>
                </c:ext>
              </c:extLst>
            </c:dLbl>
            <c:dLbl>
              <c:idx val="3"/>
              <c:layout>
                <c:manualLayout>
                  <c:x val="-2.2933149868135231E-3"/>
                  <c:y val="-5.3504547886570296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337-40F3-9143-69A760DEDABA}"/>
                </c:ext>
                <c:ext xmlns:c15="http://schemas.microsoft.com/office/drawing/2012/chart" uri="{CE6537A1-D6FC-4f65-9D91-7224C49458BB}">
                  <c15:layout/>
                </c:ext>
              </c:extLst>
            </c:dLbl>
            <c:dLbl>
              <c:idx val="4"/>
              <c:layout>
                <c:manualLayout>
                  <c:x val="-4.9721596977880343E-3"/>
                  <c:y val="2.1775087102876137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337-40F3-9143-69A760DEDABA}"/>
                </c:ext>
                <c:ext xmlns:c15="http://schemas.microsoft.com/office/drawing/2012/chart" uri="{CE6537A1-D6FC-4f65-9D91-7224C49458BB}">
                  <c15:layout>
                    <c:manualLayout>
                      <c:w val="6.2952049290115192E-2"/>
                      <c:h val="0.18013631937682567"/>
                    </c:manualLayout>
                  </c15:layout>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Приложение_отчет!$M$23:$Q$24</c:f>
              <c:multiLvlStrCache>
                <c:ptCount val="5"/>
                <c:lvl>
                  <c:pt idx="0">
                    <c:v>утверждено</c:v>
                  </c:pt>
                  <c:pt idx="1">
                    <c:v>исполнено</c:v>
                  </c:pt>
                  <c:pt idx="2">
                    <c:v>утверждено</c:v>
                  </c:pt>
                  <c:pt idx="3">
                    <c:v>исполнено</c:v>
                  </c:pt>
                  <c:pt idx="4">
                    <c:v>фактическое выполнение</c:v>
                  </c:pt>
                </c:lvl>
                <c:lvl>
                  <c:pt idx="0">
                    <c:v>Отчеты о ходе реализации РП</c:v>
                  </c:pt>
                  <c:pt idx="2">
                    <c:v>Отчет об исполнении бюджета</c:v>
                  </c:pt>
                  <c:pt idx="4">
                    <c:v>Отчеты ГАБС</c:v>
                  </c:pt>
                </c:lvl>
              </c:multiLvlStrCache>
            </c:multiLvlStrRef>
          </c:cat>
          <c:val>
            <c:numRef>
              <c:f>Приложение_отчет!$M$25:$Q$25</c:f>
              <c:numCache>
                <c:formatCode>0.0</c:formatCode>
                <c:ptCount val="5"/>
                <c:pt idx="0">
                  <c:v>365.89</c:v>
                </c:pt>
                <c:pt idx="1">
                  <c:v>286.10000000000002</c:v>
                </c:pt>
                <c:pt idx="2">
                  <c:v>367.89</c:v>
                </c:pt>
                <c:pt idx="3">
                  <c:v>287.51</c:v>
                </c:pt>
                <c:pt idx="4">
                  <c:v>58.2</c:v>
                </c:pt>
              </c:numCache>
            </c:numRef>
          </c:val>
          <c:extLst xmlns:c16r2="http://schemas.microsoft.com/office/drawing/2015/06/chart">
            <c:ext xmlns:c16="http://schemas.microsoft.com/office/drawing/2014/chart" uri="{C3380CC4-5D6E-409C-BE32-E72D297353CC}">
              <c16:uniqueId val="{00000005-4337-40F3-9143-69A760DEDABA}"/>
            </c:ext>
          </c:extLst>
        </c:ser>
        <c:dLbls>
          <c:dLblPos val="inEnd"/>
          <c:showLegendKey val="0"/>
          <c:showVal val="1"/>
          <c:showCatName val="0"/>
          <c:showSerName val="0"/>
          <c:showPercent val="0"/>
          <c:showBubbleSize val="0"/>
        </c:dLbls>
        <c:gapWidth val="41"/>
        <c:axId val="110918264"/>
        <c:axId val="110919440"/>
      </c:barChart>
      <c:catAx>
        <c:axId val="1109182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110919440"/>
        <c:crosses val="autoZero"/>
        <c:auto val="1"/>
        <c:lblAlgn val="ctr"/>
        <c:lblOffset val="100"/>
        <c:noMultiLvlLbl val="0"/>
      </c:catAx>
      <c:valAx>
        <c:axId val="110919440"/>
        <c:scaling>
          <c:orientation val="minMax"/>
        </c:scaling>
        <c:delete val="1"/>
        <c:axPos val="l"/>
        <c:numFmt formatCode="0.0" sourceLinked="1"/>
        <c:majorTickMark val="none"/>
        <c:minorTickMark val="none"/>
        <c:tickLblPos val="nextTo"/>
        <c:crossAx val="1109182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134760302933497E-2"/>
          <c:y val="6.0777857313290398E-2"/>
          <c:w val="0.95441322858274247"/>
          <c:h val="0.55842744255898491"/>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4"/>
              <c:layout/>
              <c:tx>
                <c:rich>
                  <a:bodyPr/>
                  <a:lstStyle/>
                  <a:p>
                    <a:r>
                      <a:rPr lang="en-US"/>
                      <a:t>129,0</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6F8-40ED-8C1E-6267B5339A37}"/>
                </c:ext>
                <c:ext xmlns:c15="http://schemas.microsoft.com/office/drawing/2012/chart" uri="{CE6537A1-D6FC-4f65-9D91-7224C49458BB}">
                  <c15:layout/>
                </c:ext>
              </c:extLst>
            </c:dLbl>
            <c:dLbl>
              <c:idx val="5"/>
              <c:layout/>
              <c:tx>
                <c:rich>
                  <a:bodyPr/>
                  <a:lstStyle/>
                  <a:p>
                    <a:r>
                      <a:rPr lang="en-US"/>
                      <a:t>114,7</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6F8-40ED-8C1E-6267B5339A37}"/>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multiLvlStrRef>
              <c:f>Приложение_отчет!$K$78:$P$79</c:f>
              <c:multiLvlStrCache>
                <c:ptCount val="6"/>
                <c:lvl>
                  <c:pt idx="0">
                    <c:v>утверждено</c:v>
                  </c:pt>
                  <c:pt idx="1">
                    <c:v>исполнено</c:v>
                  </c:pt>
                  <c:pt idx="2">
                    <c:v>утверждено</c:v>
                  </c:pt>
                  <c:pt idx="3">
                    <c:v>исполнено</c:v>
                  </c:pt>
                  <c:pt idx="4">
                    <c:v>отчеты ГАБС</c:v>
                  </c:pt>
                  <c:pt idx="5">
                    <c:v>данные СП</c:v>
                  </c:pt>
                </c:lvl>
                <c:lvl>
                  <c:pt idx="0">
                    <c:v>Отчеты о ходе реализации РП</c:v>
                  </c:pt>
                  <c:pt idx="2">
                    <c:v>Отчет об исполнении бюджета</c:v>
                  </c:pt>
                  <c:pt idx="4">
                    <c:v>Фактическое выполнение</c:v>
                  </c:pt>
                </c:lvl>
              </c:multiLvlStrCache>
            </c:multiLvlStrRef>
          </c:cat>
          <c:val>
            <c:numRef>
              <c:f>Приложение_отчет!$K$80:$P$80</c:f>
              <c:numCache>
                <c:formatCode>_-* #\ ##0.0\ _₽_-;\-* #\ ##0.0\ _₽_-;_-* "-"??\ _₽_-;_-@_-</c:formatCode>
                <c:ptCount val="6"/>
                <c:pt idx="0">
                  <c:v>1039</c:v>
                </c:pt>
                <c:pt idx="1">
                  <c:v>892.6</c:v>
                </c:pt>
                <c:pt idx="2">
                  <c:v>1039</c:v>
                </c:pt>
                <c:pt idx="3">
                  <c:v>892.6</c:v>
                </c:pt>
                <c:pt idx="4">
                  <c:v>129.1</c:v>
                </c:pt>
                <c:pt idx="5">
                  <c:v>115.1</c:v>
                </c:pt>
              </c:numCache>
            </c:numRef>
          </c:val>
          <c:extLst xmlns:c16r2="http://schemas.microsoft.com/office/drawing/2015/06/chart">
            <c:ext xmlns:c16="http://schemas.microsoft.com/office/drawing/2014/chart" uri="{C3380CC4-5D6E-409C-BE32-E72D297353CC}">
              <c16:uniqueId val="{00000002-56F8-40ED-8C1E-6267B5339A37}"/>
            </c:ext>
          </c:extLst>
        </c:ser>
        <c:dLbls>
          <c:dLblPos val="inEnd"/>
          <c:showLegendKey val="0"/>
          <c:showVal val="1"/>
          <c:showCatName val="0"/>
          <c:showSerName val="0"/>
          <c:showPercent val="0"/>
          <c:showBubbleSize val="0"/>
        </c:dLbls>
        <c:gapWidth val="41"/>
        <c:axId val="110918656"/>
        <c:axId val="110921400"/>
      </c:barChart>
      <c:catAx>
        <c:axId val="1109186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110921400"/>
        <c:crosses val="autoZero"/>
        <c:auto val="1"/>
        <c:lblAlgn val="ctr"/>
        <c:lblOffset val="100"/>
        <c:noMultiLvlLbl val="0"/>
      </c:catAx>
      <c:valAx>
        <c:axId val="110921400"/>
        <c:scaling>
          <c:orientation val="minMax"/>
        </c:scaling>
        <c:delete val="1"/>
        <c:axPos val="l"/>
        <c:numFmt formatCode="_-* #\ ##0.0\ _₽_-;\-* #\ ##0.0\ _₽_-;_-* &quot;-&quot;??\ _₽_-;_-@_-" sourceLinked="1"/>
        <c:majorTickMark val="none"/>
        <c:minorTickMark val="none"/>
        <c:tickLblPos val="nextTo"/>
        <c:crossAx val="1109186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0"/>
              <c:layout>
                <c:manualLayout>
                  <c:x val="0"/>
                  <c:y val="3.8448728391709652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7E5-4E8D-B168-F7BE44D23228}"/>
                </c:ext>
                <c:ext xmlns:c15="http://schemas.microsoft.com/office/drawing/2012/chart" uri="{CE6537A1-D6FC-4f65-9D91-7224C49458BB}">
                  <c15:layout/>
                </c:ext>
              </c:extLst>
            </c:dLbl>
            <c:dLbl>
              <c:idx val="1"/>
              <c:layout>
                <c:manualLayout>
                  <c:x val="-2.2647491790284227E-3"/>
                  <c:y val="1.883066340845322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7E5-4E8D-B168-F7BE44D23228}"/>
                </c:ext>
                <c:ext xmlns:c15="http://schemas.microsoft.com/office/drawing/2012/chart" uri="{CE6537A1-D6FC-4f65-9D91-7224C49458BB}">
                  <c15:layout/>
                </c:ext>
              </c:extLst>
            </c:dLbl>
            <c:dLbl>
              <c:idx val="2"/>
              <c:layout>
                <c:manualLayout>
                  <c:x val="-2.2647491790285055E-3"/>
                  <c:y val="2.695447551814642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7E5-4E8D-B168-F7BE44D23228}"/>
                </c:ext>
                <c:ext xmlns:c15="http://schemas.microsoft.com/office/drawing/2012/chart" uri="{CE6537A1-D6FC-4f65-9D91-7224C49458BB}">
                  <c15:layout/>
                </c:ext>
              </c:extLst>
            </c:dLbl>
            <c:dLbl>
              <c:idx val="3"/>
              <c:layout>
                <c:manualLayout>
                  <c:x val="-8.3039843947678811E-17"/>
                  <c:y val="3.8448728391709659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7E5-4E8D-B168-F7BE44D23228}"/>
                </c:ext>
                <c:ext xmlns:c15="http://schemas.microsoft.com/office/drawing/2012/chart" uri="{CE6537A1-D6FC-4f65-9D91-7224C49458BB}">
                  <c15:layout/>
                </c:ext>
              </c:extLst>
            </c:dLbl>
            <c:dLbl>
              <c:idx val="4"/>
              <c:layout>
                <c:manualLayout>
                  <c:x val="-2.2647491790284227E-3"/>
                  <c:y val="3.965969771019995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7E5-4E8D-B168-F7BE44D23228}"/>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Приложение_отчет!$M$37:$Q$38</c:f>
              <c:multiLvlStrCache>
                <c:ptCount val="5"/>
                <c:lvl>
                  <c:pt idx="0">
                    <c:v>утверждено</c:v>
                  </c:pt>
                  <c:pt idx="1">
                    <c:v>исполнено</c:v>
                  </c:pt>
                  <c:pt idx="2">
                    <c:v>утверждено</c:v>
                  </c:pt>
                  <c:pt idx="3">
                    <c:v>исполнено</c:v>
                  </c:pt>
                  <c:pt idx="4">
                    <c:v>фактическое выполнение</c:v>
                  </c:pt>
                </c:lvl>
                <c:lvl>
                  <c:pt idx="0">
                    <c:v>Отчеты о ходе реализации РП</c:v>
                  </c:pt>
                  <c:pt idx="2">
                    <c:v>Отчет об исполнении бюджета</c:v>
                  </c:pt>
                  <c:pt idx="4">
                    <c:v>Отчеты ГАБС</c:v>
                  </c:pt>
                </c:lvl>
              </c:multiLvlStrCache>
            </c:multiLvlStrRef>
          </c:cat>
          <c:val>
            <c:numRef>
              <c:f>Приложение_отчет!$M$39:$Q$39</c:f>
              <c:numCache>
                <c:formatCode>0.0</c:formatCode>
                <c:ptCount val="5"/>
                <c:pt idx="0">
                  <c:v>15.659999999999997</c:v>
                </c:pt>
                <c:pt idx="1">
                  <c:v>10.89</c:v>
                </c:pt>
                <c:pt idx="2">
                  <c:v>15.89</c:v>
                </c:pt>
                <c:pt idx="3">
                  <c:v>15.13</c:v>
                </c:pt>
                <c:pt idx="4">
                  <c:v>15.1</c:v>
                </c:pt>
              </c:numCache>
            </c:numRef>
          </c:val>
          <c:extLst xmlns:c16r2="http://schemas.microsoft.com/office/drawing/2015/06/chart">
            <c:ext xmlns:c16="http://schemas.microsoft.com/office/drawing/2014/chart" uri="{C3380CC4-5D6E-409C-BE32-E72D297353CC}">
              <c16:uniqueId val="{00000005-57E5-4E8D-B168-F7BE44D23228}"/>
            </c:ext>
          </c:extLst>
        </c:ser>
        <c:dLbls>
          <c:dLblPos val="inEnd"/>
          <c:showLegendKey val="0"/>
          <c:showVal val="1"/>
          <c:showCatName val="0"/>
          <c:showSerName val="0"/>
          <c:showPercent val="0"/>
          <c:showBubbleSize val="0"/>
        </c:dLbls>
        <c:gapWidth val="41"/>
        <c:axId val="110922576"/>
        <c:axId val="111543872"/>
      </c:barChart>
      <c:catAx>
        <c:axId val="1109225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111543872"/>
        <c:crosses val="autoZero"/>
        <c:auto val="1"/>
        <c:lblAlgn val="ctr"/>
        <c:lblOffset val="100"/>
        <c:noMultiLvlLbl val="0"/>
      </c:catAx>
      <c:valAx>
        <c:axId val="111543872"/>
        <c:scaling>
          <c:orientation val="minMax"/>
        </c:scaling>
        <c:delete val="1"/>
        <c:axPos val="l"/>
        <c:numFmt formatCode="0.0" sourceLinked="1"/>
        <c:majorTickMark val="none"/>
        <c:minorTickMark val="none"/>
        <c:tickLblPos val="nextTo"/>
        <c:crossAx val="1109225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0"/>
              <c:layout>
                <c:manualLayout>
                  <c:x val="1.1700996647656874E-17"/>
                  <c:y val="0.1701912260967379"/>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CEC-4B97-80E1-8022FFCEEE25}"/>
                </c:ext>
                <c:ext xmlns:c15="http://schemas.microsoft.com/office/drawing/2012/chart" uri="{CE6537A1-D6FC-4f65-9D91-7224C49458BB}">
                  <c15:layout/>
                </c:ext>
              </c:extLst>
            </c:dLbl>
            <c:dLbl>
              <c:idx val="4"/>
              <c:layout/>
              <c:tx>
                <c:rich>
                  <a:bodyPr/>
                  <a:lstStyle/>
                  <a:p>
                    <a:r>
                      <a:rPr lang="en-US"/>
                      <a:t>188,2</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CEC-4B97-80E1-8022FFCEEE25}"/>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multiLvlStrRef>
              <c:f>Приложение_отчет!$M$46:$Q$47</c:f>
              <c:multiLvlStrCache>
                <c:ptCount val="5"/>
                <c:lvl>
                  <c:pt idx="0">
                    <c:v>утверждено</c:v>
                  </c:pt>
                  <c:pt idx="1">
                    <c:v>исполнено</c:v>
                  </c:pt>
                  <c:pt idx="2">
                    <c:v>утверждено</c:v>
                  </c:pt>
                  <c:pt idx="3">
                    <c:v>исполнено</c:v>
                  </c:pt>
                  <c:pt idx="4">
                    <c:v>фактическое выполнение</c:v>
                  </c:pt>
                </c:lvl>
                <c:lvl>
                  <c:pt idx="0">
                    <c:v>Отчеты о ходе реализации РП</c:v>
                  </c:pt>
                  <c:pt idx="2">
                    <c:v>Отчет об исполнении бюджета</c:v>
                  </c:pt>
                  <c:pt idx="4">
                    <c:v>Отчеты ГАБС</c:v>
                  </c:pt>
                </c:lvl>
              </c:multiLvlStrCache>
            </c:multiLvlStrRef>
          </c:cat>
          <c:val>
            <c:numRef>
              <c:f>Приложение_отчет!$M$48:$Q$48</c:f>
              <c:numCache>
                <c:formatCode>0.0</c:formatCode>
                <c:ptCount val="5"/>
                <c:pt idx="0">
                  <c:v>172.6</c:v>
                </c:pt>
                <c:pt idx="1">
                  <c:v>188.15</c:v>
                </c:pt>
                <c:pt idx="2">
                  <c:v>188.34</c:v>
                </c:pt>
                <c:pt idx="3">
                  <c:v>188.15</c:v>
                </c:pt>
                <c:pt idx="4">
                  <c:v>188.1</c:v>
                </c:pt>
              </c:numCache>
            </c:numRef>
          </c:val>
          <c:extLst xmlns:c16r2="http://schemas.microsoft.com/office/drawing/2015/06/chart">
            <c:ext xmlns:c16="http://schemas.microsoft.com/office/drawing/2014/chart" uri="{C3380CC4-5D6E-409C-BE32-E72D297353CC}">
              <c16:uniqueId val="{00000002-7CEC-4B97-80E1-8022FFCEEE25}"/>
            </c:ext>
          </c:extLst>
        </c:ser>
        <c:dLbls>
          <c:dLblPos val="inEnd"/>
          <c:showLegendKey val="0"/>
          <c:showVal val="1"/>
          <c:showCatName val="0"/>
          <c:showSerName val="0"/>
          <c:showPercent val="0"/>
          <c:showBubbleSize val="0"/>
        </c:dLbls>
        <c:gapWidth val="41"/>
        <c:axId val="111546224"/>
        <c:axId val="111546616"/>
      </c:barChart>
      <c:catAx>
        <c:axId val="1115462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111546616"/>
        <c:crosses val="autoZero"/>
        <c:auto val="1"/>
        <c:lblAlgn val="ctr"/>
        <c:lblOffset val="100"/>
        <c:noMultiLvlLbl val="0"/>
      </c:catAx>
      <c:valAx>
        <c:axId val="111546616"/>
        <c:scaling>
          <c:orientation val="minMax"/>
        </c:scaling>
        <c:delete val="1"/>
        <c:axPos val="l"/>
        <c:numFmt formatCode="0.0" sourceLinked="1"/>
        <c:majorTickMark val="none"/>
        <c:minorTickMark val="none"/>
        <c:tickLblPos val="nextTo"/>
        <c:crossAx val="1115462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2435F-0CB1-4D9E-BF06-E3F314148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230</Pages>
  <Words>83269</Words>
  <Characters>474634</Characters>
  <Application>Microsoft Office Word</Application>
  <DocSecurity>0</DocSecurity>
  <Lines>3955</Lines>
  <Paragraphs>1113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Кочеткова</dc:creator>
  <cp:lastModifiedBy>Наталья Николаевна Васильева</cp:lastModifiedBy>
  <cp:revision>6</cp:revision>
  <cp:lastPrinted>2022-08-02T23:56:00Z</cp:lastPrinted>
  <dcterms:created xsi:type="dcterms:W3CDTF">2022-06-15T22:52:00Z</dcterms:created>
  <dcterms:modified xsi:type="dcterms:W3CDTF">2022-08-03T00:39:00Z</dcterms:modified>
</cp:coreProperties>
</file>